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FB41B">
      <w:pPr>
        <w:spacing w:after="80"/>
        <w:jc w:val="center"/>
      </w:pPr>
      <w:r>
        <w:rPr>
          <w:rFonts w:ascii="Arial" w:hAnsi="Arial" w:eastAsia="Arial" w:cs="Arial"/>
          <w:b/>
          <w:bCs/>
          <w:color w:val="1D3557"/>
          <w:sz w:val="28"/>
          <w:szCs w:val="28"/>
        </w:rPr>
        <w:t>BUPT International School</w:t>
      </w:r>
    </w:p>
    <w:p w14:paraId="7EBF589D">
      <w:pPr>
        <w:spacing w:after="80"/>
        <w:jc w:val="center"/>
      </w:pPr>
      <w:r>
        <w:rPr>
          <w:rFonts w:ascii="Arial" w:hAnsi="Arial" w:eastAsia="Arial" w:cs="Arial"/>
          <w:b/>
          <w:bCs/>
          <w:color w:val="E63946"/>
          <w:sz w:val="36"/>
          <w:szCs w:val="36"/>
        </w:rPr>
        <w:t>Teaching Assistant Recruitment System</w:t>
      </w:r>
    </w:p>
    <w:p w14:paraId="7ECCC64B">
      <w:pPr>
        <w:spacing w:after="200"/>
        <w:jc w:val="center"/>
      </w:pPr>
      <w:r>
        <w:rPr>
          <w:rFonts w:ascii="Arial" w:hAnsi="Arial" w:eastAsia="Arial" w:cs="Arial"/>
          <w:color w:val="666666"/>
          <w:sz w:val="24"/>
          <w:szCs w:val="24"/>
        </w:rPr>
        <w:t>Iteration 1 Brief Report</w:t>
      </w:r>
    </w:p>
    <w:p w14:paraId="23608B4C">
      <w:pPr>
        <w:spacing w:after="40"/>
        <w:jc w:val="center"/>
      </w:pPr>
      <w:r>
        <w:rPr>
          <w:rFonts w:ascii="Arial" w:hAnsi="Arial" w:eastAsia="Arial" w:cs="Arial"/>
          <w:color w:val="888888"/>
          <w:sz w:val="20"/>
          <w:szCs w:val="20"/>
        </w:rPr>
        <w:t>Group XXX  |  EBU6304 Software Engineering Group Project  |  March 2026</w:t>
      </w:r>
    </w:p>
    <w:p w14:paraId="487131C6">
      <w:pPr>
        <w:pBdr>
          <w:bottom w:val="single" w:color="1D3557" w:sz="6" w:space="1"/>
        </w:pBdr>
        <w:spacing w:after="200"/>
      </w:pPr>
    </w:p>
    <w:p w14:paraId="18C61A41">
      <w:pPr>
        <w:pStyle w:val="2"/>
        <w:spacing w:before="360" w:after="160"/>
      </w:pPr>
      <w:r>
        <w:rPr>
          <w:rFonts w:ascii="Arial" w:hAnsi="Arial" w:eastAsia="Arial" w:cs="Arial"/>
          <w:b/>
          <w:bCs/>
          <w:color w:val="1D3557"/>
          <w:sz w:val="32"/>
          <w:szCs w:val="32"/>
        </w:rPr>
        <w:t>1. Fact-Finding Techniques</w:t>
      </w:r>
    </w:p>
    <w:p w14:paraId="219AA013">
      <w:pPr>
        <w:spacing w:before="0" w:after="160" w:line="276" w:lineRule="auto"/>
        <w:jc w:val="both"/>
      </w:pPr>
      <w:r>
        <w:rPr>
          <w:rFonts w:ascii="Arial" w:hAnsi="Arial" w:eastAsia="Arial" w:cs="Arial"/>
          <w:sz w:val="22"/>
          <w:szCs w:val="22"/>
        </w:rPr>
        <w:t>To ensure the recruitment system accurately reflects the operational needs of BUPT International School, the team employed four complementary requirements elicitation techniques during the initial discovery phase.</w:t>
      </w:r>
    </w:p>
    <w:p w14:paraId="3B2A7022">
      <w:pPr>
        <w:pStyle w:val="3"/>
        <w:spacing w:before="240" w:after="160"/>
      </w:pPr>
      <w:r>
        <w:rPr>
          <w:rFonts w:ascii="Arial" w:hAnsi="Arial" w:eastAsia="Arial" w:cs="Arial"/>
          <w:b/>
          <w:bCs/>
          <w:color w:val="1D3557"/>
          <w:sz w:val="26"/>
          <w:szCs w:val="26"/>
        </w:rPr>
        <w:t>1.1 Stakeholder Interviews</w:t>
      </w:r>
    </w:p>
    <w:p w14:paraId="2D4394C2">
      <w:pPr>
        <w:spacing w:before="0" w:after="160" w:line="276" w:lineRule="auto"/>
        <w:jc w:val="both"/>
      </w:pPr>
      <w:r>
        <w:rPr>
          <w:rFonts w:ascii="Arial" w:hAnsi="Arial" w:eastAsia="Arial" w:cs="Arial"/>
          <w:sz w:val="22"/>
          <w:szCs w:val="22"/>
        </w:rPr>
        <w:t>Semi-structured interviews were conducted with two Module Organisers (MOs) and one administrative staff member. The interviews focused on understanding the current recruitment workflow, pain points with the existing Excel-based process, and desired features for the new system. Key findings included: MOs reported spending an average of 3–4 hours per recruitment cycle manually sorting applications; the administrative team lacked a centralised view of TA workload distribution; and both groups expressed a strong desire for automated skill-matching capabilities.</w:t>
      </w:r>
    </w:p>
    <w:p w14:paraId="057FE311">
      <w:pPr>
        <w:pStyle w:val="3"/>
        <w:spacing w:before="240" w:after="160"/>
      </w:pPr>
      <w:r>
        <w:rPr>
          <w:rFonts w:ascii="Arial" w:hAnsi="Arial" w:eastAsia="Arial" w:cs="Arial"/>
          <w:b/>
          <w:bCs/>
          <w:color w:val="1D3557"/>
          <w:sz w:val="26"/>
          <w:szCs w:val="26"/>
        </w:rPr>
        <w:t>1.2 Teaching Assistant Survey</w:t>
      </w:r>
    </w:p>
    <w:p w14:paraId="32954A60">
      <w:pPr>
        <w:spacing w:before="0" w:after="160" w:line="276" w:lineRule="auto"/>
        <w:jc w:val="both"/>
      </w:pPr>
      <w:r>
        <w:rPr>
          <w:rFonts w:ascii="Arial" w:hAnsi="Arial" w:eastAsia="Arial" w:cs="Arial"/>
          <w:sz w:val="22"/>
          <w:szCs w:val="22"/>
        </w:rPr>
        <w:t xml:space="preserve">An anonymous online questionnaire was distributed to 40 current and former Teaching Assistants. The survey gathered data on application experience, preferred communication channels, and feature priorities. </w:t>
      </w:r>
      <w:r>
        <w:rPr>
          <w:rFonts w:ascii="Arial" w:hAnsi="Arial" w:eastAsia="Arial" w:cs="Arial"/>
          <w:sz w:val="22"/>
          <w:szCs w:val="22"/>
        </w:rPr>
        <w:t>Results showed that 71% of respondents expected real-time application status tracking, 82% found the existing process cumbersome, and 65% wanted personalised feedback on skill gaps.</w:t>
      </w:r>
      <w:r>
        <w:rPr>
          <w:rFonts w:ascii="Arial" w:hAnsi="Arial" w:eastAsia="Arial" w:cs="Arial"/>
          <w:sz w:val="22"/>
          <w:szCs w:val="22"/>
        </w:rPr>
        <w:t xml:space="preserve"> These quantitative insights directly informed our MoSCoW prioritisation (Section 3).</w:t>
      </w:r>
      <w:bookmarkStart w:id="0" w:name="_GoBack"/>
      <w:bookmarkEnd w:id="0"/>
    </w:p>
    <w:p w14:paraId="496C2311">
      <w:pPr>
        <w:pStyle w:val="3"/>
        <w:spacing w:before="240" w:after="160"/>
      </w:pPr>
      <w:r>
        <w:rPr>
          <w:rFonts w:ascii="Arial" w:hAnsi="Arial" w:eastAsia="Arial" w:cs="Arial"/>
          <w:b/>
          <w:bCs/>
          <w:color w:val="1D3557"/>
          <w:sz w:val="26"/>
          <w:szCs w:val="26"/>
        </w:rPr>
        <w:t>1.3 Document Analysis</w:t>
      </w:r>
    </w:p>
    <w:p w14:paraId="23B92B19">
      <w:pPr>
        <w:spacing w:before="0" w:after="160" w:line="276" w:lineRule="auto"/>
        <w:jc w:val="both"/>
      </w:pPr>
      <w:r>
        <w:rPr>
          <w:rFonts w:ascii="Arial" w:hAnsi="Arial" w:eastAsia="Arial" w:cs="Arial"/>
          <w:sz w:val="22"/>
          <w:szCs w:val="22"/>
        </w:rPr>
        <w:t>The team analysed the existing recruitment artefacts, including the official TA application form (Excel template), previous semester’s recruitment records, and the school’s workload allocation spreadsheet. This analysis helped identify the core data entities (TA profiles, job postings, applications, workload records) and their relationships, which directly shaped the system’s data model and JSON file structure.</w:t>
      </w:r>
    </w:p>
    <w:p w14:paraId="7602E8B5">
      <w:pPr>
        <w:pStyle w:val="3"/>
        <w:spacing w:before="240" w:after="160"/>
      </w:pPr>
      <w:r>
        <w:rPr>
          <w:rFonts w:ascii="Arial" w:hAnsi="Arial" w:eastAsia="Arial" w:cs="Arial"/>
          <w:b/>
          <w:bCs/>
          <w:color w:val="1D3557"/>
          <w:sz w:val="26"/>
          <w:szCs w:val="26"/>
        </w:rPr>
        <w:t>1.4 Observation and Contextual Inquiry</w:t>
      </w:r>
    </w:p>
    <w:p w14:paraId="03774751">
      <w:pPr>
        <w:spacing w:before="0" w:after="160" w:line="276" w:lineRule="auto"/>
        <w:jc w:val="both"/>
      </w:pPr>
      <w:r>
        <w:rPr>
          <w:rFonts w:ascii="Arial" w:hAnsi="Arial" w:eastAsia="Arial" w:cs="Arial"/>
          <w:sz w:val="22"/>
          <w:szCs w:val="22"/>
        </w:rPr>
        <w:t>A team member observed one MO during an actual recruitment session, noting the sequence of actions performed: reviewing applications in Excel, cross-referencing skill requirements, emailing shortlisted candidates, and updating the workload tracker. This contextual inquiry revealed implicit requirements not captured in interviews, such as the need for batch status updates and the importance of deadline enforcement.</w:t>
      </w:r>
    </w:p>
    <w:p w14:paraId="456157F3">
      <w:pPr>
        <w:pStyle w:val="2"/>
        <w:spacing w:before="360" w:after="160"/>
      </w:pPr>
      <w:r>
        <w:rPr>
          <w:rFonts w:ascii="Arial" w:hAnsi="Arial" w:eastAsia="Arial" w:cs="Arial"/>
          <w:b/>
          <w:bCs/>
          <w:color w:val="1D3557"/>
          <w:sz w:val="32"/>
          <w:szCs w:val="32"/>
        </w:rPr>
        <w:t>2. Iteration Planning</w:t>
      </w:r>
    </w:p>
    <w:p w14:paraId="7240A4DF">
      <w:pPr>
        <w:spacing w:before="0" w:after="160" w:line="276" w:lineRule="auto"/>
        <w:jc w:val="both"/>
      </w:pPr>
      <w:r>
        <w:rPr>
          <w:rFonts w:ascii="Arial" w:hAnsi="Arial" w:eastAsia="Arial" w:cs="Arial"/>
          <w:sz w:val="22"/>
          <w:szCs w:val="22"/>
        </w:rPr>
        <w:t>The project is structured into four two-week iterations (Sprints), following the Scrum framework. Each iteration delivers a working software increment that builds incrementally upon the previous version. The rationale for feature allocation across iterations is driven by two principles: (1) establishing the core data flow (registration → job posting → application) first to create a usable end-to-end skeleton, and (2) deferring AI-powered and enhancement features to later iterations once the foundational CRUD operations are stable.</w:t>
      </w: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526"/>
        <w:gridCol w:w="3000"/>
      </w:tblGrid>
      <w:tr w14:paraId="483F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D3557"/>
            <w:tcMar>
              <w:top w:w="80" w:type="dxa"/>
              <w:left w:w="120" w:type="dxa"/>
              <w:bottom w:w="80" w:type="dxa"/>
              <w:right w:w="120" w:type="dxa"/>
            </w:tcMar>
          </w:tcPr>
          <w:p w14:paraId="2E3C32F3">
            <w:r>
              <w:rPr>
                <w:rFonts w:ascii="Arial" w:hAnsi="Arial" w:eastAsia="Arial" w:cs="Arial"/>
                <w:b/>
                <w:bCs/>
                <w:color w:val="FFFFFF"/>
                <w:sz w:val="20"/>
                <w:szCs w:val="20"/>
              </w:rPr>
              <w:t>Iteration</w:t>
            </w:r>
          </w:p>
        </w:tc>
        <w:tc>
          <w:tcPr>
            <w:tcW w:w="4526" w:type="dxa"/>
            <w:tcBorders>
              <w:top w:val="single" w:color="CCCCCC" w:sz="0" w:space="0"/>
              <w:left w:val="single" w:color="CCCCCC" w:sz="0" w:space="0"/>
              <w:bottom w:val="single" w:color="CCCCCC" w:sz="0" w:space="0"/>
              <w:right w:val="single" w:color="CCCCCC" w:sz="0" w:space="0"/>
            </w:tcBorders>
            <w:shd w:val="clear" w:color="auto" w:fill="1D3557"/>
            <w:tcMar>
              <w:top w:w="80" w:type="dxa"/>
              <w:left w:w="120" w:type="dxa"/>
              <w:bottom w:w="80" w:type="dxa"/>
              <w:right w:w="120" w:type="dxa"/>
            </w:tcMar>
          </w:tcPr>
          <w:p w14:paraId="0D19ED9F">
            <w:r>
              <w:rPr>
                <w:rFonts w:ascii="Arial" w:hAnsi="Arial" w:eastAsia="Arial" w:cs="Arial"/>
                <w:b/>
                <w:bCs/>
                <w:color w:val="FFFFFF"/>
                <w:sz w:val="20"/>
                <w:szCs w:val="20"/>
              </w:rPr>
              <w:t>Core Features</w:t>
            </w:r>
          </w:p>
        </w:tc>
        <w:tc>
          <w:tcPr>
            <w:tcW w:w="3000" w:type="dxa"/>
            <w:tcBorders>
              <w:top w:val="single" w:color="CCCCCC" w:sz="0" w:space="0"/>
              <w:left w:val="single" w:color="CCCCCC" w:sz="0" w:space="0"/>
              <w:bottom w:val="single" w:color="CCCCCC" w:sz="0" w:space="0"/>
              <w:right w:val="single" w:color="CCCCCC" w:sz="0" w:space="0"/>
            </w:tcBorders>
            <w:shd w:val="clear" w:color="auto" w:fill="1D3557"/>
            <w:tcMar>
              <w:top w:w="80" w:type="dxa"/>
              <w:left w:w="120" w:type="dxa"/>
              <w:bottom w:w="80" w:type="dxa"/>
              <w:right w:w="120" w:type="dxa"/>
            </w:tcMar>
          </w:tcPr>
          <w:p w14:paraId="2E5402BB">
            <w:r>
              <w:rPr>
                <w:rFonts w:ascii="Arial" w:hAnsi="Arial" w:eastAsia="Arial" w:cs="Arial"/>
                <w:b/>
                <w:bCs/>
                <w:color w:val="FFFFFF"/>
                <w:sz w:val="20"/>
                <w:szCs w:val="20"/>
              </w:rPr>
              <w:t>Rationale</w:t>
            </w:r>
          </w:p>
        </w:tc>
      </w:tr>
      <w:tr w14:paraId="0EC2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662EA276">
            <w:pPr>
              <w:jc w:val="center"/>
            </w:pPr>
            <w:r>
              <w:rPr>
                <w:rFonts w:ascii="Arial" w:hAnsi="Arial" w:eastAsia="Arial" w:cs="Arial"/>
                <w:b/>
                <w:bCs/>
                <w:color w:val="1D3557"/>
                <w:sz w:val="20"/>
                <w:szCs w:val="20"/>
              </w:rPr>
              <w:t>Sprint 1</w:t>
            </w:r>
          </w:p>
        </w:tc>
        <w:tc>
          <w:tcPr>
            <w:tcW w:w="4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719A0D">
            <w:pPr>
              <w:spacing w:after="0"/>
            </w:pPr>
            <w:r>
              <w:rPr>
                <w:rFonts w:ascii="Arial" w:hAnsi="Arial" w:eastAsia="Arial" w:cs="Arial"/>
                <w:sz w:val="20"/>
                <w:szCs w:val="20"/>
              </w:rPr>
              <w:t>User registration &amp; login (TA, MO, Admin); TA profile creation; MO job posting; TA job browsing &amp; application; basic file-based data persistence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B21F70">
            <w:pPr>
              <w:spacing w:after="0"/>
            </w:pPr>
            <w:r>
              <w:rPr>
                <w:rFonts w:ascii="Arial" w:hAnsi="Arial" w:eastAsia="Arial" w:cs="Arial"/>
                <w:i/>
                <w:iCs/>
                <w:color w:val="555555"/>
                <w:sz w:val="20"/>
                <w:szCs w:val="20"/>
              </w:rPr>
              <w:t>Builds the MVP core pipeline (registration → application), the foundation for all follow-up functions.</w:t>
            </w:r>
          </w:p>
        </w:tc>
      </w:tr>
      <w:tr w14:paraId="7700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4686FFDF">
            <w:pPr>
              <w:jc w:val="center"/>
            </w:pPr>
            <w:r>
              <w:rPr>
                <w:rFonts w:ascii="Arial" w:hAnsi="Arial" w:eastAsia="Arial" w:cs="Arial"/>
                <w:b/>
                <w:bCs/>
                <w:color w:val="1D3557"/>
                <w:sz w:val="20"/>
                <w:szCs w:val="20"/>
              </w:rPr>
              <w:t>Sprint 2</w:t>
            </w:r>
          </w:p>
        </w:tc>
        <w:tc>
          <w:tcPr>
            <w:tcW w:w="4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721332">
            <w:pPr>
              <w:spacing w:after="0"/>
              <w:rPr>
                <w:rFonts w:ascii="Arial" w:hAnsi="Arial" w:eastAsia="Arial" w:cs="Arial"/>
                <w:sz w:val="20"/>
                <w:szCs w:val="20"/>
              </w:rPr>
            </w:pPr>
            <w:r>
              <w:rPr>
                <w:rFonts w:ascii="Arial" w:hAnsi="Arial" w:eastAsia="Arial" w:cs="Arial"/>
                <w:sz w:val="20"/>
                <w:szCs w:val="20"/>
              </w:rPr>
              <w:t>Application status tracking; MO candidate review &amp; selection; CV upload; Admin workload overview; job editing &amp; closing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B844CB">
            <w:pPr>
              <w:spacing w:after="0"/>
            </w:pPr>
            <w:r>
              <w:rPr>
                <w:rFonts w:ascii="Arial" w:hAnsi="Arial" w:eastAsia="Arial" w:cs="Arial"/>
                <w:i/>
                <w:iCs/>
                <w:color w:val="555555"/>
                <w:sz w:val="20"/>
                <w:szCs w:val="20"/>
              </w:rPr>
              <w:t>Closes the core recruitment loop and enables admin to monitor TA workload distribution.</w:t>
            </w:r>
          </w:p>
        </w:tc>
      </w:tr>
      <w:tr w14:paraId="3ADD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6BED6847">
            <w:pPr>
              <w:jc w:val="center"/>
            </w:pPr>
            <w:r>
              <w:rPr>
                <w:rFonts w:ascii="Arial" w:hAnsi="Arial" w:eastAsia="Arial" w:cs="Arial"/>
                <w:b/>
                <w:bCs/>
                <w:color w:val="1D3557"/>
                <w:sz w:val="20"/>
                <w:szCs w:val="20"/>
              </w:rPr>
              <w:t>Sprint 3</w:t>
            </w:r>
          </w:p>
        </w:tc>
        <w:tc>
          <w:tcPr>
            <w:tcW w:w="4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ACA48B">
            <w:pPr>
              <w:spacing w:after="0"/>
            </w:pPr>
            <w:r>
              <w:rPr>
                <w:rFonts w:ascii="Arial" w:hAnsi="Arial" w:eastAsia="Arial" w:cs="Arial"/>
                <w:sz w:val="20"/>
                <w:szCs w:val="20"/>
              </w:rPr>
              <w:t>AI skill-matching (TA–job); AI-ranked applicant list for MOs; Skill-gap identification for TAs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B82DB">
            <w:pPr>
              <w:spacing w:after="0"/>
            </w:pPr>
            <w:r>
              <w:rPr>
                <w:rFonts w:ascii="Arial" w:hAnsi="Arial" w:eastAsia="Arial" w:cs="Arial"/>
                <w:i/>
                <w:iCs/>
                <w:color w:val="555555"/>
                <w:sz w:val="20"/>
                <w:szCs w:val="20"/>
              </w:rPr>
              <w:t>AI features add significant value but depend on stable profile and job data from Iterations 1–2.</w:t>
            </w:r>
          </w:p>
        </w:tc>
      </w:tr>
      <w:tr w14:paraId="410F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80" w:type="dxa"/>
              <w:left w:w="120" w:type="dxa"/>
              <w:bottom w:w="80" w:type="dxa"/>
              <w:right w:w="120" w:type="dxa"/>
            </w:tcMar>
            <w:vAlign w:val="center"/>
          </w:tcPr>
          <w:p w14:paraId="7FF63845">
            <w:pPr>
              <w:jc w:val="center"/>
            </w:pPr>
            <w:r>
              <w:rPr>
                <w:rFonts w:ascii="Arial" w:hAnsi="Arial" w:eastAsia="Arial" w:cs="Arial"/>
                <w:b/>
                <w:bCs/>
                <w:color w:val="1D3557"/>
                <w:sz w:val="20"/>
                <w:szCs w:val="20"/>
              </w:rPr>
              <w:t>Sprint 4</w:t>
            </w:r>
          </w:p>
        </w:tc>
        <w:tc>
          <w:tcPr>
            <w:tcW w:w="4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6C816D">
            <w:pPr>
              <w:spacing w:after="0"/>
            </w:pPr>
            <w:r>
              <w:rPr>
                <w:rFonts w:ascii="Arial" w:hAnsi="Arial" w:eastAsia="Arial" w:cs="Arial"/>
                <w:sz w:val="20"/>
                <w:szCs w:val="20"/>
              </w:rPr>
              <w:t>AI workload balancing; In-app notifications; CSV report export; Invigilation management; UI polish</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86B62A">
            <w:pPr>
              <w:spacing w:after="0"/>
            </w:pPr>
            <w:r>
              <w:rPr>
                <w:rFonts w:ascii="Arial" w:hAnsi="Arial" w:eastAsia="Arial" w:cs="Arial"/>
                <w:i/>
                <w:iCs/>
                <w:color w:val="555555"/>
                <w:sz w:val="20"/>
                <w:szCs w:val="20"/>
              </w:rPr>
              <w:t>Enhancement and optimisation layer. These features improve UX and operational efficiency but are not critical to core functionality.</w:t>
            </w:r>
          </w:p>
        </w:tc>
      </w:tr>
    </w:tbl>
    <w:p w14:paraId="6B7B0B1F">
      <w:pPr>
        <w:spacing w:before="0" w:after="100" w:line="276" w:lineRule="auto"/>
        <w:jc w:val="both"/>
      </w:pPr>
    </w:p>
    <w:p w14:paraId="636CDB92">
      <w:pPr>
        <w:spacing w:before="0" w:after="160" w:line="276" w:lineRule="auto"/>
        <w:jc w:val="both"/>
      </w:pPr>
      <w:r>
        <w:rPr>
          <w:rFonts w:ascii="Arial" w:hAnsi="Arial" w:eastAsia="Arial" w:cs="Arial"/>
          <w:sz w:val="22"/>
          <w:szCs w:val="22"/>
        </w:rPr>
        <w:t>This incremental approach ensures that each Sprint Review delivers demonstrable value to the customer, while risk is managed by tackling the most architecturally significant features early.</w:t>
      </w:r>
    </w:p>
    <w:p w14:paraId="3D3CE9A6">
      <w:pPr>
        <w:pStyle w:val="2"/>
        <w:spacing w:before="360" w:after="160"/>
      </w:pPr>
      <w:r>
        <w:rPr>
          <w:rFonts w:ascii="Arial" w:hAnsi="Arial" w:eastAsia="Arial" w:cs="Arial"/>
          <w:b/>
          <w:bCs/>
          <w:color w:val="1D3557"/>
          <w:sz w:val="32"/>
          <w:szCs w:val="32"/>
        </w:rPr>
        <w:t>3. Prioritisation Method</w:t>
      </w:r>
    </w:p>
    <w:p w14:paraId="3421D7B2">
      <w:pPr>
        <w:spacing w:before="0" w:after="160" w:line="276" w:lineRule="auto"/>
        <w:jc w:val="both"/>
      </w:pPr>
      <w:r>
        <w:rPr>
          <w:rFonts w:ascii="Arial" w:hAnsi="Arial" w:eastAsia="Arial" w:cs="Arial"/>
          <w:sz w:val="22"/>
          <w:szCs w:val="22"/>
        </w:rPr>
        <w:t>The team adopted the MoSCoW method (Must Have, Should Have, Could Have, Won’t Have) as the primary prioritisation framework. MoSCoW was selected over alternatives such as Kano analysis or weighted scoring for three reasons:</w:t>
      </w:r>
    </w:p>
    <w:p w14:paraId="0E5AAE67">
      <w:pPr>
        <w:pStyle w:val="14"/>
        <w:numPr>
          <w:ilvl w:val="0"/>
          <w:numId w:val="1"/>
        </w:numPr>
        <w:spacing w:after="100" w:line="276" w:lineRule="auto"/>
      </w:pPr>
      <w:r>
        <w:rPr>
          <w:rFonts w:ascii="Arial" w:hAnsi="Arial" w:eastAsia="Arial" w:cs="Arial"/>
          <w:sz w:val="22"/>
          <w:szCs w:val="22"/>
        </w:rPr>
        <w:t>Simplicity and Stakeholder Alignment: MoSCoW’s four-tier classification is intuitive for non-technical stakeholders (MOs and Admin staff), enabling meaningful participation in Sprint Planning sessions.</w:t>
      </w:r>
    </w:p>
    <w:p w14:paraId="7B850051">
      <w:pPr>
        <w:pStyle w:val="14"/>
        <w:numPr>
          <w:ilvl w:val="0"/>
          <w:numId w:val="1"/>
        </w:numPr>
        <w:spacing w:after="100" w:line="276" w:lineRule="auto"/>
      </w:pPr>
      <w:r>
        <w:rPr>
          <w:rFonts w:ascii="Arial" w:hAnsi="Arial" w:eastAsia="Arial" w:cs="Arial"/>
          <w:sz w:val="22"/>
          <w:szCs w:val="22"/>
        </w:rPr>
        <w:t>Constraint-Driven Decisions: The technical constraint of text-file-only storage (no database) directly influenced which features are feasible within each iteration. MoSCoW allowed us to explicitly mark features that require database-like querying as “Could Have” until a suitable flat-file approach was designed.</w:t>
      </w:r>
    </w:p>
    <w:p w14:paraId="53C48C80">
      <w:pPr>
        <w:pStyle w:val="14"/>
        <w:numPr>
          <w:ilvl w:val="0"/>
          <w:numId w:val="1"/>
        </w:numPr>
        <w:spacing w:after="100" w:line="276" w:lineRule="auto"/>
      </w:pPr>
      <w:r>
        <w:rPr>
          <w:rFonts w:ascii="Arial" w:hAnsi="Arial" w:eastAsia="Arial" w:cs="Arial"/>
          <w:sz w:val="22"/>
          <w:szCs w:val="22"/>
        </w:rPr>
        <w:t>Agile Compatibility: MoSCoW integrates naturally with Scrum backlog refinement. “Must Have” items map to early Sprints, while “Could Have” items form the buffer that can be dropped if velocity is lower than expected.</w:t>
      </w:r>
    </w:p>
    <w:p w14:paraId="451B9C82">
      <w:pPr>
        <w:spacing w:before="0" w:after="160" w:line="276" w:lineRule="auto"/>
        <w:jc w:val="both"/>
      </w:pPr>
      <w:r>
        <w:rPr>
          <w:rFonts w:ascii="Arial" w:hAnsi="Arial" w:eastAsia="Arial" w:cs="Arial"/>
          <w:sz w:val="22"/>
          <w:szCs w:val="22"/>
        </w:rPr>
        <w:t>The prioritisation process was collaborative. During Sprint Planning, each user story was discussed, and the team voted on its MoSCoW category using a simple majority rule. Disagreements were resolved by the Scrum Master facilitating discussion around customer impact and technical dependency analysis. For example, the AI skill-matching feature (US-012) was initially proposed as “Must Have” by one team member, but was reclassified to “Should Have” after dependency analysis revealed it requires stable profile and job data structures that would only be finalised in Sprint 2.</w:t>
      </w:r>
    </w:p>
    <w:p w14:paraId="4482B101">
      <w:pPr>
        <w:pStyle w:val="2"/>
        <w:spacing w:before="360" w:after="160"/>
      </w:pPr>
      <w:r>
        <w:rPr>
          <w:rFonts w:ascii="Arial" w:hAnsi="Arial" w:eastAsia="Arial" w:cs="Arial"/>
          <w:b/>
          <w:bCs/>
          <w:color w:val="1D3557"/>
          <w:sz w:val="32"/>
          <w:szCs w:val="32"/>
        </w:rPr>
        <w:t>4. Estimation Method</w:t>
      </w:r>
    </w:p>
    <w:p w14:paraId="2FC44A9E">
      <w:pPr>
        <w:spacing w:before="0" w:after="160" w:line="276" w:lineRule="auto"/>
        <w:jc w:val="both"/>
      </w:pPr>
      <w:r>
        <w:rPr>
          <w:rFonts w:ascii="Arial" w:hAnsi="Arial" w:eastAsia="Arial" w:cs="Arial"/>
          <w:sz w:val="22"/>
          <w:szCs w:val="22"/>
        </w:rPr>
        <w:t>Story Points were estimated using Planning Poker with a modified Fibonacci sequence (1, 2, 3, 5, 8, 13). The process followed these steps:</w:t>
      </w:r>
    </w:p>
    <w:p w14:paraId="62606441">
      <w:pPr>
        <w:spacing w:before="0" w:after="160" w:line="276" w:lineRule="auto"/>
        <w:jc w:val="both"/>
        <w:rPr>
          <w:rFonts w:ascii="Arial" w:hAnsi="Arial" w:eastAsia="Arial" w:cs="Arial"/>
          <w:sz w:val="22"/>
          <w:szCs w:val="22"/>
        </w:rPr>
      </w:pPr>
      <w:r>
        <w:rPr>
          <w:rFonts w:ascii="Arial" w:hAnsi="Arial" w:eastAsia="Arial" w:cs="Arial"/>
          <w:sz w:val="22"/>
          <w:szCs w:val="22"/>
        </w:rPr>
        <w:t>·</w:t>
      </w:r>
      <w:r>
        <w:rPr>
          <w:rFonts w:hint="eastAsia" w:ascii="Arial" w:hAnsi="Arial" w:eastAsia="Arial" w:cs="Arial"/>
          <w:sz w:val="22"/>
          <w:szCs w:val="22"/>
        </w:rPr>
        <w:t xml:space="preserve">  </w:t>
      </w:r>
      <w:r>
        <w:rPr>
          <w:rFonts w:ascii="Arial" w:hAnsi="Arial" w:eastAsia="Arial" w:cs="Arial"/>
          <w:sz w:val="22"/>
          <w:szCs w:val="22"/>
        </w:rPr>
        <w:t>Story presentation: The Product Owner clarified each user story and acceptance criteria for unified understanding.</w:t>
      </w:r>
    </w:p>
    <w:p w14:paraId="696B4CF0">
      <w:pPr>
        <w:spacing w:before="0" w:after="160" w:line="276" w:lineRule="auto"/>
        <w:jc w:val="both"/>
        <w:rPr>
          <w:rFonts w:ascii="Arial" w:hAnsi="Arial" w:eastAsia="Arial" w:cs="Arial"/>
          <w:sz w:val="22"/>
          <w:szCs w:val="22"/>
        </w:rPr>
      </w:pPr>
      <w:r>
        <w:rPr>
          <w:rFonts w:hint="default" w:ascii="Arial" w:hAnsi="Arial" w:eastAsia="Arial" w:cs="Arial"/>
          <w:sz w:val="22"/>
          <w:szCs w:val="22"/>
        </w:rPr>
        <w:t>·</w:t>
      </w:r>
      <w:r>
        <w:rPr>
          <w:rFonts w:hint="eastAsia" w:ascii="Arial" w:hAnsi="Arial" w:eastAsia="Arial" w:cs="Arial"/>
          <w:sz w:val="22"/>
          <w:szCs w:val="22"/>
        </w:rPr>
        <w:t xml:space="preserve">  </w:t>
      </w:r>
      <w:r>
        <w:rPr>
          <w:rFonts w:ascii="Arial" w:hAnsi="Arial" w:eastAsia="Arial" w:cs="Arial"/>
          <w:sz w:val="22"/>
          <w:szCs w:val="22"/>
        </w:rPr>
        <w:t>Independent estimation: Members privately selected Fibonacci cards to assess complexity (effort, risk, uncertainty).</w:t>
      </w:r>
    </w:p>
    <w:p w14:paraId="7F6D7B72">
      <w:pPr>
        <w:spacing w:before="0" w:after="160" w:line="276" w:lineRule="auto"/>
        <w:jc w:val="both"/>
        <w:rPr>
          <w:rFonts w:ascii="Arial" w:hAnsi="Arial" w:eastAsia="Arial" w:cs="Arial"/>
          <w:sz w:val="22"/>
          <w:szCs w:val="22"/>
        </w:rPr>
      </w:pPr>
      <w:r>
        <w:rPr>
          <w:rFonts w:hint="default" w:ascii="Arial" w:hAnsi="Arial" w:eastAsia="Arial" w:cs="Arial"/>
          <w:sz w:val="22"/>
          <w:szCs w:val="22"/>
        </w:rPr>
        <w:t>·</w:t>
      </w:r>
      <w:r>
        <w:rPr>
          <w:rFonts w:hint="eastAsia" w:ascii="Arial" w:hAnsi="Arial" w:eastAsia="Arial" w:cs="Arial"/>
          <w:sz w:val="22"/>
          <w:szCs w:val="22"/>
        </w:rPr>
        <w:t xml:space="preserve">  </w:t>
      </w:r>
      <w:r>
        <w:rPr>
          <w:rFonts w:ascii="Arial" w:hAnsi="Arial" w:eastAsia="Arial" w:cs="Arial"/>
          <w:sz w:val="22"/>
          <w:szCs w:val="22"/>
        </w:rPr>
        <w:t>Collective review: Cards were revealed simultaneously; outliers explained their reasoning, and the team re-voted until consensus.</w:t>
      </w:r>
    </w:p>
    <w:p w14:paraId="29E902F2">
      <w:pPr>
        <w:spacing w:before="0" w:after="160" w:line="276" w:lineRule="auto"/>
        <w:jc w:val="both"/>
        <w:rPr>
          <w:rFonts w:ascii="Arial" w:hAnsi="Arial" w:eastAsia="Arial" w:cs="Arial"/>
          <w:sz w:val="22"/>
          <w:szCs w:val="22"/>
        </w:rPr>
      </w:pPr>
      <w:r>
        <w:rPr>
          <w:rFonts w:hint="default" w:ascii="Arial" w:hAnsi="Arial" w:eastAsia="Arial" w:cs="Arial"/>
          <w:sz w:val="22"/>
          <w:szCs w:val="22"/>
        </w:rPr>
        <w:t>·</w:t>
      </w:r>
      <w:r>
        <w:rPr>
          <w:rFonts w:hint="eastAsia" w:ascii="Arial" w:hAnsi="Arial" w:eastAsia="Arial" w:cs="Arial"/>
          <w:sz w:val="22"/>
          <w:szCs w:val="22"/>
        </w:rPr>
        <w:t xml:space="preserve">  </w:t>
      </w:r>
      <w:r>
        <w:rPr>
          <w:rFonts w:ascii="Arial" w:hAnsi="Arial" w:eastAsia="Arial" w:cs="Arial"/>
          <w:sz w:val="22"/>
          <w:szCs w:val="22"/>
        </w:rPr>
        <w:t>Consensus recording: Final Story Points were documented in the Product Backlog.</w:t>
      </w:r>
    </w:p>
    <w:p w14:paraId="55CA4273">
      <w:pPr>
        <w:spacing w:before="0" w:after="160" w:line="276" w:lineRule="auto"/>
        <w:jc w:val="both"/>
      </w:pPr>
      <w:r>
        <w:rPr>
          <w:rFonts w:ascii="Arial" w:hAnsi="Arial" w:eastAsia="Arial" w:cs="Arial"/>
          <w:sz w:val="22"/>
          <w:szCs w:val="22"/>
        </w:rPr>
        <w:t>The reference story used for calibration was US-002 (MO Login), assigned 2 Story Points, representing a straightforward feature with minimal uncertainty. More complex stories, such as US-012 (AI Skill Matching, 8 points), were estimated relative to this baseline. The team’s initial velocity estimate for Sprint 1 was 25 Story Points, based on each member contributing approximately 10 hours per week to the project.</w:t>
      </w:r>
    </w:p>
    <w:p w14:paraId="3ABE7859">
      <w:pPr>
        <w:spacing w:before="0" w:after="300" w:line="276" w:lineRule="auto"/>
        <w:jc w:val="both"/>
      </w:pPr>
      <w:r>
        <w:rPr>
          <w:rFonts w:ascii="Arial" w:hAnsi="Arial" w:eastAsia="Arial" w:cs="Arial"/>
          <w:sz w:val="22"/>
          <w:szCs w:val="22"/>
        </w:rPr>
        <w:t>The use of relative estimation (Story Points rather than hours) was deliberate: it accounts for the inherent uncertainty in software development and allows the team to refine velocity projections as actual data becomes available in subsequent Sprints.</w:t>
      </w:r>
    </w:p>
    <w:p w14:paraId="6385E281">
      <w:pPr>
        <w:pBdr>
          <w:bottom w:val="single" w:color="1D3557" w:sz="6" w:space="1"/>
        </w:pBdr>
        <w:spacing w:after="200"/>
      </w:pPr>
    </w:p>
    <w:p w14:paraId="1F38CBFC">
      <w:pPr>
        <w:spacing w:before="0" w:after="160" w:line="276" w:lineRule="auto"/>
        <w:jc w:val="center"/>
      </w:pPr>
      <w:r>
        <w:rPr>
          <w:rFonts w:ascii="Arial" w:hAnsi="Arial" w:eastAsia="Arial" w:cs="Arial"/>
          <w:i/>
          <w:iCs/>
          <w:color w:val="888888"/>
          <w:sz w:val="20"/>
          <w:szCs w:val="20"/>
        </w:rPr>
        <w:t>End of Report</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1C787">
    <w:pP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8D497">
    <w:pPr>
      <w:jc w:val="right"/>
    </w:pPr>
    <w:r>
      <w:rPr>
        <w:rFonts w:ascii="Arial" w:hAnsi="Arial" w:eastAsia="Arial" w:cs="Arial"/>
        <w:i/>
        <w:iCs/>
        <w:color w:val="888888"/>
        <w:sz w:val="18"/>
        <w:szCs w:val="18"/>
      </w:rPr>
      <w:t>EBU6304 — Group XXX — Iteration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28E3E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D3557"/>
      <w:sz w:val="32"/>
      <w:szCs w:val="32"/>
    </w:rPr>
  </w:style>
  <w:style w:type="paragraph" w:styleId="3">
    <w:name w:val="heading 2"/>
    <w:next w:val="1"/>
    <w:qFormat/>
    <w:uiPriority w:val="0"/>
    <w:pPr>
      <w:spacing w:before="240" w:after="160"/>
      <w:outlineLvl w:val="1"/>
    </w:pPr>
    <w:rPr>
      <w:rFonts w:ascii="Arial" w:hAnsi="Arial" w:eastAsia="Arial" w:cs="Arial"/>
      <w:b/>
      <w:bCs/>
      <w:color w:val="1D3557"/>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998</Words>
  <Characters>6262</Characters>
  <TotalTime>40</TotalTime>
  <ScaleCrop>false</ScaleCrop>
  <LinksUpToDate>false</LinksUpToDate>
  <CharactersWithSpaces>7216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2026-03-13T13:22:00Z</dcterms:created>
  <dc:creator>Un-named</dc:creator>
  <cp:lastModifiedBy>周长阳</cp:lastModifiedBy>
  <dcterms:modified xsi:type="dcterms:W3CDTF">2026-03-19T12:57:38Z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eyJoZGlkIjoiYWYwZjZlZjg0Y2FhZWUzNzZjYTQ5ZTRjOWE4Mzk1ZDUiLCJ1c2VySWQiOiIxNzYzODUwODU4In0=</vt:lpwstr>
  </property>
  <property fmtid="{D5CDD505-2E9C-101B-9397-08002B2CF9AE}" pid="3" name="KSOProductBuildVer">
    <vt:lpwstr>2052-12.1.0.25225</vt:lpwstr>
  </property>
  <property fmtid="{D5CDD505-2E9C-101B-9397-08002B2CF9AE}" pid="4" name="ICV">
    <vt:lpwstr>31487FD91B2748AD9BB74885BB759C69_12</vt:lpwstr>
  </property>
</Properties>
</file>