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26C6751">
      <w:pPr>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120" w:afterAutospacing="0" w:line="17" w:lineRule="atLeast"/>
        <w:ind w:left="0" w:right="0"/>
        <w:rPr>
          <w:rFonts w:hint="default" w:ascii="sans-serif" w:hAnsi="sans-serif" w:eastAsia="sans-serif" w:cs="sans-serif"/>
          <w:color w:val="808080"/>
        </w:rPr>
      </w:pPr>
      <w:r>
        <w:rPr>
          <w:rFonts w:hint="default" w:ascii="sans-serif" w:hAnsi="sans-serif" w:eastAsia="sans-serif" w:cs="sans-serif"/>
          <w:color w:val="1F1F1F"/>
        </w:rPr>
        <w:pict>
          <v:rect id="_x0000_i1040" o:spt="1" style="height:1.5pt;width:432pt;" fillcolor="#808080" filled="t" stroked="f" coordsize="21600,21600" o:hr="t" o:hrstd="t" o:hrnoshade="t" o:hralign="center">
            <v:path/>
            <v:fill on="t" focussize="0,0"/>
            <v:stroke on="f"/>
            <v:imagedata o:title=""/>
            <o:lock v:ext="edit"/>
            <w10:wrap type="none"/>
            <w10:anchorlock/>
          </v:rect>
        </w:pict>
      </w:r>
    </w:p>
    <w:p w14:paraId="47C7EAB9">
      <w:pPr>
        <w:pStyle w:val="2"/>
        <w:bidi w:val="0"/>
        <w:rPr>
          <w:b/>
          <w:bCs/>
          <w:color w:val="002060"/>
        </w:rPr>
      </w:pPr>
      <w:r>
        <w:rPr>
          <w:b/>
          <w:bCs/>
          <w:color w:val="002060"/>
        </w:rPr>
        <w:t xml:space="preserve">BUPT International School </w:t>
      </w:r>
    </w:p>
    <w:p w14:paraId="765B1F18">
      <w:pPr>
        <w:pStyle w:val="2"/>
        <w:bidi w:val="0"/>
        <w:rPr>
          <w:b/>
          <w:bCs/>
          <w:color w:val="002060"/>
        </w:rPr>
      </w:pPr>
      <w:r>
        <w:rPr>
          <w:b/>
          <w:bCs/>
          <w:color w:val="002060"/>
        </w:rPr>
        <w:t xml:space="preserve">Teaching Assistant Recruitment System </w:t>
      </w:r>
    </w:p>
    <w:p w14:paraId="4ADDE6AD">
      <w:pPr>
        <w:pStyle w:val="2"/>
        <w:bidi w:val="0"/>
        <w:rPr>
          <w:b/>
          <w:bCs/>
          <w:color w:val="002060"/>
        </w:rPr>
      </w:pPr>
      <w:r>
        <w:rPr>
          <w:b/>
          <w:bCs/>
          <w:color w:val="002060"/>
        </w:rPr>
        <w:t xml:space="preserve">Iteration 1 Brief Report </w:t>
      </w:r>
    </w:p>
    <w:p w14:paraId="78BD89B6">
      <w:pPr>
        <w:pStyle w:val="2"/>
        <w:bidi w:val="0"/>
        <w:rPr>
          <w:b/>
          <w:bCs/>
          <w:color w:val="002060"/>
        </w:rPr>
      </w:pPr>
      <w:r>
        <w:rPr>
          <w:b/>
          <w:bCs/>
          <w:color w:val="002060"/>
        </w:rPr>
        <w:t xml:space="preserve">Group </w:t>
      </w:r>
      <w:r>
        <w:rPr>
          <w:rFonts w:hint="eastAsia"/>
          <w:b/>
          <w:bCs/>
          <w:color w:val="002060"/>
          <w:lang w:val="en-US" w:eastAsia="zh-CN"/>
        </w:rPr>
        <w:t>37</w:t>
      </w:r>
      <w:r>
        <w:rPr>
          <w:b/>
          <w:bCs/>
          <w:color w:val="002060"/>
        </w:rPr>
        <w:t xml:space="preserve"> | EBU6304 Software Engineering Group Project | March 2026 </w:t>
      </w:r>
    </w:p>
    <w:p w14:paraId="2C82501B">
      <w:bookmarkStart w:id="0" w:name="_GoBack"/>
      <w:bookmarkEnd w:id="0"/>
    </w:p>
    <w:p w14:paraId="53A5AA1B">
      <w:pPr>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120" w:afterAutospacing="0" w:line="17" w:lineRule="atLeast"/>
        <w:ind w:left="0" w:right="0"/>
        <w:rPr>
          <w:rFonts w:hint="default" w:ascii="sans-serif" w:hAnsi="sans-serif" w:eastAsia="sans-serif" w:cs="sans-serif"/>
          <w:color w:val="808080"/>
        </w:rPr>
      </w:pPr>
      <w:r>
        <w:rPr>
          <w:rFonts w:hint="default" w:ascii="sans-serif" w:hAnsi="sans-serif" w:eastAsia="sans-serif" w:cs="sans-serif"/>
          <w:color w:val="1F1F1F"/>
        </w:rPr>
        <w:pict>
          <v:rect id="_x0000_i1041" o:spt="1" style="height:1.5pt;width:432pt;" fillcolor="#808080" filled="t" stroked="f" coordsize="21600,21600" o:hr="t" o:hrstd="t" o:hrnoshade="t" o:hralign="center">
            <v:path/>
            <v:fill on="t" focussize="0,0"/>
            <v:stroke on="f"/>
            <v:imagedata o:title=""/>
            <o:lock v:ext="edit"/>
            <w10:wrap type="none"/>
            <w10:anchorlock/>
          </v:rect>
        </w:pict>
      </w:r>
    </w:p>
    <w:p w14:paraId="71EAC979">
      <w:pPr>
        <w:pStyle w:val="3"/>
        <w:numPr>
          <w:ilvl w:val="0"/>
          <w:numId w:val="1"/>
        </w:numPr>
        <w:bidi w:val="0"/>
        <w:rPr>
          <w:b/>
          <w:bCs/>
          <w:color w:val="843F0B" w:themeColor="accent2" w:themeShade="80"/>
        </w:rPr>
      </w:pPr>
      <w:r>
        <w:rPr>
          <w:b/>
          <w:bCs/>
          <w:color w:val="843F0B" w:themeColor="accent2" w:themeShade="80"/>
        </w:rPr>
        <w:t xml:space="preserve">Fact-Finding Techniques </w:t>
      </w:r>
    </w:p>
    <w:p w14:paraId="5704C5E0">
      <w:pPr>
        <w:pStyle w:val="11"/>
        <w:widowControl/>
        <w:pBdr>
          <w:top w:val="none" w:color="1F1F1F" w:sz="0" w:space="0"/>
          <w:left w:val="none" w:color="1F1F1F" w:sz="0" w:space="0"/>
          <w:bottom w:val="none" w:color="1F1F1F" w:sz="0" w:space="0"/>
          <w:right w:val="none" w:color="1F1F1F" w:sz="0" w:space="0"/>
        </w:pBdr>
        <w:rPr>
          <w:rFonts w:ascii="Times New Roman" w:hAnsi="Times New Roman" w:eastAsia="宋体" w:cs="Times New Roman"/>
          <w:color w:val="1F1F1F"/>
          <w:sz w:val="24"/>
          <w:szCs w:val="24"/>
        </w:rPr>
      </w:pPr>
      <w:r>
        <w:rPr>
          <w:rFonts w:ascii="Times New Roman" w:hAnsi="Times New Roman" w:eastAsia="宋体" w:cs="Times New Roman"/>
          <w:color w:val="1F1F1F"/>
          <w:sz w:val="24"/>
          <w:szCs w:val="24"/>
          <w:bdr w:val="none" w:color="1F1F1F" w:sz="0" w:space="0"/>
        </w:rPr>
        <w:t>In order to guarantee that the proposed recruitment system faithfully captures and addresses the precise operational requirements of the BUPT International School, the project team utilized four distinct yet complementary requirements elicitation methodologies. This multi-faceted approach was implemented during the project's initial discovery phase.</w:t>
      </w:r>
    </w:p>
    <w:p w14:paraId="7A43D0D9">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right="0" w:rightChars="0"/>
        <w:rPr>
          <w:rFonts w:hint="default" w:ascii="sans-serif" w:hAnsi="sans-serif" w:eastAsia="sans-serif" w:cs="sans-serif"/>
          <w:color w:val="1F1F1F"/>
        </w:rPr>
      </w:pPr>
    </w:p>
    <w:p w14:paraId="10A34D2F">
      <w:pPr>
        <w:pStyle w:val="11"/>
        <w:widowControl/>
        <w:numPr>
          <w:ilvl w:val="0"/>
          <w:numId w:val="2"/>
        </w:numPr>
        <w:pBdr>
          <w:top w:val="none" w:color="1F1F1F" w:sz="0" w:space="0"/>
          <w:left w:val="none" w:color="1F1F1F" w:sz="0" w:space="0"/>
          <w:bottom w:val="none" w:color="1F1F1F" w:sz="0" w:space="0"/>
          <w:right w:val="none" w:color="1F1F1F" w:sz="0" w:space="0"/>
        </w:pBdr>
        <w:ind w:left="0" w:leftChars="0" w:firstLine="482" w:firstLineChars="0"/>
        <w:rPr>
          <w:rFonts w:ascii="Times New Roman" w:hAnsi="Times New Roman" w:eastAsia="宋体" w:cs="Times New Roman"/>
          <w:b/>
          <w:color w:val="1F1F1F"/>
          <w:sz w:val="24"/>
          <w:szCs w:val="24"/>
          <w:bdr w:val="none" w:sz="0" w:space="0"/>
        </w:rPr>
      </w:pPr>
      <w:r>
        <w:rPr>
          <w:rStyle w:val="24"/>
          <w:b/>
          <w:bCs/>
        </w:rPr>
        <w:t>Stakeholder Interviews:</w:t>
      </w:r>
      <w:r>
        <w:rPr>
          <w:rFonts w:ascii="Times New Roman" w:hAnsi="Times New Roman" w:eastAsia="宋体" w:cs="Times New Roman"/>
          <w:color w:val="1F1F1F"/>
          <w:sz w:val="24"/>
          <w:szCs w:val="24"/>
          <w:bdr w:val="none" w:color="1F1F1F" w:sz="0" w:space="0"/>
        </w:rPr>
        <w:t xml:space="preserve"> The team conducted semi-structured interviews involving two Module Organisers (MOs) alongside one member of the administrative staff. These sessions were purposefully directed toward analyzing the existing recruitment workflow and identifying specific pain points associated with the current Excel-based manual process. Furthermore, they aimed to gather the desired features for the upcoming system. The primary insights gathered revealed that MOs currently dedicate an average of 3 to 4 hours per recruitment cycle to the manual sorting of applications. Additionally, it was found that the administrative personnel operate without a centralized mechanism to oversee the distribution of TA workloads. Consequently, both the MOs and the administrative team conveyed a significant need for the integration of automated skill-matching functionalities.</w:t>
      </w:r>
    </w:p>
    <w:p w14:paraId="504E8B03">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right="0" w:rightChars="0"/>
        <w:rPr>
          <w:rFonts w:hint="default" w:ascii="sans-serif" w:hAnsi="sans-serif" w:eastAsia="sans-serif" w:cs="sans-serif"/>
          <w:color w:val="1F1F1F"/>
        </w:rPr>
      </w:pPr>
    </w:p>
    <w:p w14:paraId="250A1EA3">
      <w:pPr>
        <w:pStyle w:val="11"/>
        <w:widowControl/>
        <w:numPr>
          <w:ilvl w:val="0"/>
          <w:numId w:val="2"/>
        </w:numPr>
        <w:pBdr>
          <w:top w:val="none" w:color="1F1F1F" w:sz="0" w:space="0"/>
          <w:left w:val="none" w:color="1F1F1F" w:sz="0" w:space="0"/>
          <w:bottom w:val="none" w:color="1F1F1F" w:sz="0" w:space="0"/>
          <w:right w:val="none" w:color="1F1F1F" w:sz="0" w:space="0"/>
        </w:pBdr>
        <w:ind w:left="0" w:leftChars="0" w:firstLine="482" w:firstLineChars="0"/>
        <w:rPr>
          <w:rFonts w:ascii="Times New Roman" w:hAnsi="Times New Roman" w:eastAsia="宋体" w:cs="Times New Roman"/>
          <w:b/>
          <w:color w:val="1F1F1F"/>
          <w:sz w:val="24"/>
          <w:szCs w:val="24"/>
          <w:bdr w:val="none" w:sz="0" w:space="0"/>
        </w:rPr>
      </w:pPr>
      <w:r>
        <w:rPr>
          <w:rStyle w:val="24"/>
          <w:b/>
          <w:bCs/>
        </w:rPr>
        <w:t>Teaching Assistant Survey:</w:t>
      </w:r>
      <w:r>
        <w:rPr>
          <w:rFonts w:ascii="Times New Roman" w:hAnsi="Times New Roman" w:eastAsia="宋体" w:cs="Times New Roman"/>
          <w:color w:val="1F1F1F"/>
          <w:sz w:val="24"/>
          <w:szCs w:val="24"/>
          <w:bdr w:val="none" w:color="1F1F1F" w:sz="0" w:space="0"/>
        </w:rPr>
        <w:t xml:space="preserve"> To gather broader quantitative data, an anonymous online questionnaire was deployed to a sample of 40 individuals comprising both current and former Teaching Assistants. This survey was designed to collect empirical data regarding their past application experiences, their favored methods of communication, and their prioritization of potential system features. The statistical outcomes indicated that a substantial 71% of the surveyed population anticipates a feature allowing for real-time tracking of their application status. Moreover, 82% of respondents explicitly described the legacy application process as cumbersome. Finally, 65% indicated a desire to receive personalized feedback concerning their specific skill gaps. These crucial quantitative metrics were subsequently utilized to directly inform and guide the team's MoSCoW prioritization strategy detailed in Section 3.</w:t>
      </w:r>
    </w:p>
    <w:p w14:paraId="09F6BC6B">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right="0" w:rightChars="0"/>
        <w:rPr>
          <w:rFonts w:hint="default" w:ascii="sans-serif" w:hAnsi="sans-serif" w:eastAsia="sans-serif" w:cs="sans-serif"/>
          <w:color w:val="1F1F1F"/>
        </w:rPr>
      </w:pPr>
    </w:p>
    <w:p w14:paraId="68595E8B">
      <w:pPr>
        <w:pStyle w:val="11"/>
        <w:widowControl/>
        <w:numPr>
          <w:ilvl w:val="0"/>
          <w:numId w:val="2"/>
        </w:numPr>
        <w:pBdr>
          <w:top w:val="none" w:color="1F1F1F" w:sz="0" w:space="0"/>
          <w:left w:val="none" w:color="1F1F1F" w:sz="0" w:space="0"/>
          <w:bottom w:val="none" w:color="1F1F1F" w:sz="0" w:space="0"/>
          <w:right w:val="none" w:color="1F1F1F" w:sz="0" w:space="0"/>
        </w:pBdr>
        <w:ind w:left="0" w:leftChars="0" w:firstLine="482" w:firstLineChars="0"/>
        <w:rPr>
          <w:rFonts w:ascii="Times New Roman" w:hAnsi="Times New Roman" w:eastAsia="宋体" w:cs="Times New Roman"/>
          <w:b/>
          <w:color w:val="1F1F1F"/>
          <w:sz w:val="24"/>
          <w:szCs w:val="24"/>
          <w:bdr w:val="none" w:sz="0" w:space="0"/>
        </w:rPr>
      </w:pPr>
      <w:r>
        <w:rPr>
          <w:rStyle w:val="24"/>
          <w:b/>
          <w:bCs/>
        </w:rPr>
        <w:t xml:space="preserve">Document Analysis: </w:t>
      </w:r>
      <w:r>
        <w:rPr>
          <w:rFonts w:ascii="Times New Roman" w:hAnsi="Times New Roman" w:eastAsia="宋体" w:cs="Times New Roman"/>
          <w:color w:val="1F1F1F"/>
          <w:sz w:val="24"/>
          <w:szCs w:val="24"/>
          <w:bdr w:val="none" w:color="1F1F1F" w:sz="0" w:space="0"/>
        </w:rPr>
        <w:t>A comprehensive evaluation of the pre-existing recruitment documentation was performed. The artifacts scrutinized included the official Excel template used for TA applications, historical recruitment records from the preceding semester, and the official workload allocation spreadsheet utilized by the school. Through this rigorous analysis, the team successfully identified the primary data entities required for the system, specifically TA profiles, job postings, applications, and workload records. Understanding the complex relationships between these core entities directly dictated the architectural design of the system's data model and its corresponding JSON file storage structure.</w:t>
      </w:r>
    </w:p>
    <w:p w14:paraId="296D258B">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right="0" w:rightChars="0"/>
        <w:rPr>
          <w:rFonts w:hint="default" w:ascii="sans-serif" w:hAnsi="sans-serif" w:eastAsia="sans-serif" w:cs="sans-serif"/>
          <w:color w:val="1F1F1F"/>
        </w:rPr>
      </w:pPr>
    </w:p>
    <w:p w14:paraId="2B8E3575">
      <w:pPr>
        <w:pStyle w:val="11"/>
        <w:widowControl/>
        <w:numPr>
          <w:ilvl w:val="0"/>
          <w:numId w:val="2"/>
        </w:numPr>
        <w:pBdr>
          <w:top w:val="none" w:color="1F1F1F" w:sz="0" w:space="0"/>
          <w:left w:val="none" w:color="1F1F1F" w:sz="0" w:space="0"/>
          <w:bottom w:val="none" w:color="1F1F1F" w:sz="0" w:space="0"/>
          <w:right w:val="none" w:color="1F1F1F" w:sz="0" w:space="0"/>
        </w:pBdr>
        <w:ind w:left="0" w:leftChars="0" w:firstLine="482" w:firstLineChars="0"/>
        <w:rPr>
          <w:rFonts w:ascii="Times New Roman" w:hAnsi="Times New Roman" w:eastAsia="宋体" w:cs="Times New Roman"/>
          <w:b/>
          <w:color w:val="1F1F1F"/>
          <w:sz w:val="24"/>
          <w:szCs w:val="24"/>
          <w:bdr w:val="none" w:sz="0" w:space="0"/>
        </w:rPr>
      </w:pPr>
      <w:r>
        <w:rPr>
          <w:rStyle w:val="24"/>
          <w:b/>
          <w:bCs/>
        </w:rPr>
        <w:t xml:space="preserve">Observation and Contextual Inquiry: </w:t>
      </w:r>
      <w:r>
        <w:rPr>
          <w:rFonts w:ascii="Times New Roman" w:hAnsi="Times New Roman" w:eastAsia="宋体" w:cs="Times New Roman"/>
          <w:color w:val="1F1F1F"/>
          <w:sz w:val="24"/>
          <w:szCs w:val="24"/>
          <w:bdr w:val="none" w:color="1F1F1F" w:sz="0" w:space="0"/>
        </w:rPr>
        <w:t>To capture unspoken workflows, a designated team member conducted a contextual inquiry by observing a Module Organiser navigating a real-world recruitment session. The observer meticulously documented the chronological sequence of tasks, which included the manual review of applications within Excel, the cross-referencing of candidate skills against job prerequisites, the distribution of emails to shortlisted applicants, and the manual updating of the workload tracking document. This direct observation successfully uncovered vital implicit requirements that had not surfaced during the formal interviews, such as highlighting the operational necessity for batch status update capabilities and underscoring the critical nature of strict deadline enforcement mechanisms.</w:t>
      </w:r>
    </w:p>
    <w:p w14:paraId="43B848BC">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right="0" w:rightChars="0"/>
        <w:rPr>
          <w:rFonts w:hint="default" w:ascii="sans-serif" w:hAnsi="sans-serif" w:eastAsia="sans-serif" w:cs="sans-serif"/>
          <w:color w:val="1F1F1F"/>
        </w:rPr>
      </w:pPr>
    </w:p>
    <w:p w14:paraId="00AFBF87">
      <w:pPr>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120" w:afterAutospacing="0" w:line="17" w:lineRule="atLeast"/>
        <w:ind w:left="0" w:right="0"/>
        <w:rPr>
          <w:rFonts w:hint="default" w:ascii="sans-serif" w:hAnsi="sans-serif" w:eastAsia="sans-serif" w:cs="sans-serif"/>
          <w:color w:val="808080"/>
        </w:rPr>
      </w:pPr>
      <w:r>
        <w:rPr>
          <w:rFonts w:hint="default" w:ascii="sans-serif" w:hAnsi="sans-serif" w:eastAsia="sans-serif" w:cs="sans-serif"/>
          <w:color w:val="1F1F1F"/>
        </w:rPr>
        <w:pict>
          <v:rect id="_x0000_i1042" o:spt="1" style="height:1.5pt;width:432pt;" fillcolor="#808080" filled="t" stroked="f" coordsize="21600,21600" o:hr="t" o:hrstd="t" o:hrnoshade="t" o:hralign="center">
            <v:path/>
            <v:fill on="t" focussize="0,0"/>
            <v:stroke on="f"/>
            <v:imagedata o:title=""/>
            <o:lock v:ext="edit"/>
            <w10:wrap type="none"/>
            <w10:anchorlock/>
          </v:rect>
        </w:pict>
      </w:r>
    </w:p>
    <w:p w14:paraId="09FF4869">
      <w:pPr>
        <w:pStyle w:val="3"/>
        <w:numPr>
          <w:ilvl w:val="0"/>
          <w:numId w:val="1"/>
        </w:numPr>
        <w:bidi w:val="0"/>
        <w:rPr>
          <w:b/>
          <w:bCs/>
          <w:color w:val="843F0B" w:themeColor="accent2" w:themeShade="80"/>
        </w:rPr>
      </w:pPr>
      <w:r>
        <w:rPr>
          <w:b/>
          <w:bCs/>
          <w:color w:val="843F0B" w:themeColor="accent2" w:themeShade="80"/>
        </w:rPr>
        <w:t xml:space="preserve">Iteration Planning </w:t>
      </w:r>
    </w:p>
    <w:p w14:paraId="1C853AF3">
      <w:pPr>
        <w:pStyle w:val="11"/>
        <w:widowControl/>
        <w:pBdr>
          <w:top w:val="none" w:color="1F1F1F" w:sz="0" w:space="0"/>
          <w:left w:val="none" w:color="1F1F1F" w:sz="0" w:space="0"/>
          <w:bottom w:val="none" w:color="1F1F1F" w:sz="0" w:space="0"/>
          <w:right w:val="none" w:color="1F1F1F" w:sz="0" w:space="0"/>
        </w:pBdr>
        <w:rPr>
          <w:rFonts w:ascii="Times New Roman" w:hAnsi="Times New Roman" w:eastAsia="宋体" w:cs="Times New Roman"/>
          <w:color w:val="1F1F1F"/>
          <w:sz w:val="24"/>
          <w:szCs w:val="24"/>
        </w:rPr>
      </w:pPr>
      <w:r>
        <w:rPr>
          <w:rFonts w:ascii="Times New Roman" w:hAnsi="Times New Roman" w:eastAsia="宋体" w:cs="Times New Roman"/>
          <w:color w:val="1F1F1F"/>
          <w:sz w:val="24"/>
          <w:szCs w:val="24"/>
          <w:bdr w:val="none" w:color="1F1F1F" w:sz="0" w:space="0"/>
        </w:rPr>
        <w:t>The software development lifecycle for this project is formally divided into four distinct, two-week iterations, commonly referred to as Sprints, in strict adherence to the Agile Scrum framework. Each individual iteration is designed to yield a functional, working software increment that sequentially builds upon the foundation established by the preceding version.</w:t>
      </w:r>
    </w:p>
    <w:p w14:paraId="4AF9A8F2">
      <w:pPr>
        <w:pStyle w:val="11"/>
        <w:widowControl/>
        <w:pBdr>
          <w:top w:val="none" w:color="1F1F1F" w:sz="0" w:space="0"/>
          <w:left w:val="none" w:color="1F1F1F" w:sz="0" w:space="0"/>
          <w:bottom w:val="none" w:color="1F1F1F" w:sz="0" w:space="0"/>
          <w:right w:val="none" w:color="1F1F1F" w:sz="0" w:space="0"/>
        </w:pBdr>
        <w:rPr>
          <w:rFonts w:ascii="Times New Roman" w:hAnsi="Times New Roman" w:eastAsia="宋体" w:cs="Times New Roman"/>
          <w:color w:val="1F1F1F"/>
          <w:sz w:val="24"/>
          <w:szCs w:val="24"/>
        </w:rPr>
      </w:pPr>
      <w:r>
        <w:rPr>
          <w:rFonts w:ascii="Times New Roman" w:hAnsi="Times New Roman" w:eastAsia="宋体" w:cs="Times New Roman"/>
          <w:color w:val="1F1F1F"/>
          <w:sz w:val="24"/>
          <w:szCs w:val="24"/>
          <w:bdr w:val="none" w:color="1F1F1F" w:sz="0" w:space="0"/>
        </w:rPr>
        <w:t>The strategic distribution of features across these four Sprints is governed by two fundamental principles:</w:t>
      </w:r>
    </w:p>
    <w:p w14:paraId="2D6BC0AB">
      <w:pPr>
        <w:pStyle w:val="11"/>
        <w:widowControl/>
        <w:pBdr>
          <w:top w:val="none" w:color="1F1F1F" w:sz="0" w:space="0"/>
          <w:left w:val="none" w:color="1F1F1F" w:sz="0" w:space="0"/>
          <w:bottom w:val="none" w:color="1F1F1F" w:sz="0" w:space="0"/>
          <w:right w:val="none" w:color="1F1F1F" w:sz="0" w:space="0"/>
        </w:pBdr>
        <w:rPr>
          <w:rFonts w:ascii="Times New Roman" w:hAnsi="Times New Roman" w:eastAsia="宋体" w:cs="Times New Roman"/>
          <w:color w:val="1F1F1F"/>
          <w:sz w:val="24"/>
          <w:szCs w:val="24"/>
        </w:rPr>
      </w:pPr>
      <w:r>
        <w:rPr>
          <w:rFonts w:ascii="Times New Roman" w:hAnsi="Times New Roman" w:eastAsia="宋体" w:cs="Times New Roman"/>
          <w:color w:val="1F1F1F"/>
          <w:sz w:val="24"/>
          <w:szCs w:val="24"/>
        </w:rPr>
        <w:t>1.</w:t>
      </w:r>
      <w:r>
        <w:rPr>
          <w:rFonts w:ascii="Times New Roman" w:hAnsi="Times New Roman" w:eastAsia="宋体" w:cs="Times New Roman"/>
          <w:color w:val="1F1F1F"/>
          <w:sz w:val="24"/>
          <w:szCs w:val="24"/>
          <w:bdr w:val="none" w:color="1F1F1F" w:sz="0" w:space="0"/>
        </w:rPr>
        <w:t>Establishing the primary core data flow (registration → job posting → application) first to construct a viable, end-to-end operational skeleton.</w:t>
      </w:r>
    </w:p>
    <w:p w14:paraId="5ACD5C8B">
      <w:pPr>
        <w:pStyle w:val="11"/>
        <w:widowControl/>
        <w:pBdr>
          <w:top w:val="none" w:color="1F1F1F" w:sz="0" w:space="0"/>
          <w:left w:val="none" w:color="1F1F1F" w:sz="0" w:space="0"/>
          <w:bottom w:val="none" w:color="1F1F1F" w:sz="0" w:space="0"/>
          <w:right w:val="none" w:color="1F1F1F" w:sz="0" w:space="0"/>
        </w:pBdr>
        <w:rPr>
          <w:rFonts w:ascii="Times New Roman" w:hAnsi="Times New Roman" w:eastAsia="宋体" w:cs="Times New Roman"/>
          <w:color w:val="1F1F1F"/>
          <w:sz w:val="24"/>
          <w:szCs w:val="24"/>
        </w:rPr>
      </w:pPr>
      <w:r>
        <w:rPr>
          <w:rFonts w:ascii="Times New Roman" w:hAnsi="Times New Roman" w:eastAsia="宋体" w:cs="Times New Roman"/>
          <w:color w:val="1F1F1F"/>
          <w:sz w:val="24"/>
          <w:szCs w:val="24"/>
        </w:rPr>
        <w:t>2.</w:t>
      </w:r>
      <w:r>
        <w:rPr>
          <w:rFonts w:ascii="Times New Roman" w:hAnsi="Times New Roman" w:eastAsia="宋体" w:cs="Times New Roman"/>
          <w:color w:val="1F1F1F"/>
          <w:sz w:val="24"/>
          <w:szCs w:val="24"/>
        </w:rPr>
        <w:t>Deferring the integration of advanced AI-powered tools and supplementary enhancement features to the later stages of development, ensuring that the fundamental CRUD operations achieve complete stability first.</w:t>
      </w:r>
    </w:p>
    <w:p w14:paraId="4B011D87">
      <w:pPr>
        <w:pStyle w:val="11"/>
        <w:widowControl/>
        <w:pBdr>
          <w:top w:val="none" w:color="1F1F1F" w:sz="0" w:space="0"/>
          <w:left w:val="none" w:color="1F1F1F" w:sz="0" w:space="0"/>
          <w:bottom w:val="none" w:color="1F1F1F" w:sz="0" w:space="0"/>
          <w:right w:val="none" w:color="1F1F1F" w:sz="0" w:space="0"/>
        </w:pBdr>
        <w:rPr>
          <w:rFonts w:ascii="Times New Roman" w:hAnsi="Times New Roman" w:eastAsia="宋体" w:cs="Times New Roman"/>
          <w:color w:val="1F1F1F"/>
          <w:sz w:val="24"/>
          <w:szCs w:val="24"/>
        </w:rPr>
      </w:pPr>
      <w:r>
        <w:rPr>
          <w:rFonts w:ascii="Times New Roman" w:hAnsi="Times New Roman" w:eastAsia="宋体" w:cs="Times New Roman"/>
          <w:color w:val="1F1F1F"/>
          <w:sz w:val="24"/>
          <w:szCs w:val="24"/>
          <w:bdr w:val="none" w:color="1F1F1F" w:sz="0" w:space="0"/>
        </w:rPr>
        <w:t>This structured incremental methodology guarantees that every Sprint Review provides tangible, demonstrable value to the customer. Simultaneously, it effectively mitigates project risk by ensuring that the most architecturally complex and significant features are addressed during the earliest phases of development.</w:t>
      </w:r>
    </w:p>
    <w:p w14:paraId="20729603">
      <w:pPr>
        <w:pStyle w:val="11"/>
        <w:widowControl/>
        <w:numPr>
          <w:numId w:val="0"/>
        </w:numPr>
        <w:pBdr>
          <w:top w:val="none" w:color="1F1F1F" w:sz="0" w:space="0"/>
          <w:left w:val="none" w:color="1F1F1F" w:sz="0" w:space="0"/>
          <w:bottom w:val="none" w:color="1F1F1F" w:sz="0" w:space="0"/>
          <w:right w:val="none" w:color="1F1F1F" w:sz="0" w:space="0"/>
        </w:pBdr>
        <w:rPr>
          <w:rStyle w:val="24"/>
          <w:b/>
          <w:bCs/>
        </w:rPr>
      </w:pPr>
      <w:r>
        <w:rPr>
          <w:rStyle w:val="24"/>
          <w:b/>
          <w:bCs/>
        </w:rPr>
        <w:t xml:space="preserve">Feature Allocation Breakdown: </w:t>
      </w:r>
    </w:p>
    <w:tbl>
      <w:tblPr>
        <w:tblW w:w="4998" w:type="pct"/>
        <w:tblCellSpacing w:w="15" w:type="dxa"/>
        <w:tblInd w:w="0"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tblLayout w:type="autofit"/>
        <w:tblCellMar>
          <w:top w:w="0" w:type="dxa"/>
          <w:left w:w="0" w:type="dxa"/>
          <w:bottom w:w="0" w:type="dxa"/>
          <w:right w:w="0" w:type="dxa"/>
        </w:tblCellMar>
      </w:tblPr>
      <w:tblGrid>
        <w:gridCol w:w="1202"/>
        <w:gridCol w:w="4146"/>
        <w:gridCol w:w="3764"/>
      </w:tblGrid>
      <w:tr w14:paraId="237B8AA2">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tblCellMar>
            <w:top w:w="0" w:type="dxa"/>
            <w:left w:w="0" w:type="dxa"/>
            <w:bottom w:w="0" w:type="dxa"/>
            <w:right w:w="0" w:type="dxa"/>
          </w:tblCellMar>
        </w:tblPrEx>
        <w:trPr>
          <w:tblHeader/>
          <w:tblCellSpacing w:w="15" w:type="dxa"/>
        </w:trPr>
        <w:tc>
          <w:tcPr>
            <w:tcW w:w="635" w:type="pct"/>
            <w:tcBorders>
              <w:top w:val="single" w:color="auto" w:sz="6" w:space="0"/>
              <w:left w:val="single" w:color="auto" w:sz="6" w:space="0"/>
              <w:bottom w:val="single" w:color="auto" w:sz="6" w:space="0"/>
              <w:right w:val="single" w:color="auto" w:sz="6" w:space="0"/>
            </w:tcBorders>
            <w:shd w:val="clear"/>
            <w:tcMar>
              <w:top w:w="240" w:type="dxa"/>
              <w:bottom w:w="240" w:type="dxa"/>
              <w:right w:w="180" w:type="dxa"/>
            </w:tcMar>
            <w:vAlign w:val="center"/>
          </w:tcPr>
          <w:p w14:paraId="6377B0EC">
            <w:pPr>
              <w:keepNext w:val="0"/>
              <w:keepLines w:val="0"/>
              <w:widowControl/>
              <w:suppressLineNumbers w:val="0"/>
              <w:bidi w:val="0"/>
              <w:spacing w:before="0" w:beforeAutospacing="0" w:after="0" w:afterAutospacing="0" w:line="17" w:lineRule="atLeast"/>
              <w:ind w:left="0" w:right="0"/>
              <w:jc w:val="left"/>
              <w:rPr>
                <w:rFonts w:hint="default" w:ascii="sans-serif" w:hAnsi="sans-serif" w:eastAsia="sans-serif" w:cs="sans-serif"/>
                <w:color w:val="1F1F1F"/>
              </w:rPr>
            </w:pPr>
            <w:r>
              <w:rPr>
                <w:rStyle w:val="18"/>
                <w:rFonts w:hint="default" w:ascii="sans-serif" w:hAnsi="sans-serif" w:eastAsia="sans-serif" w:cs="sans-serif"/>
                <w:color w:val="1F1F1F"/>
                <w:kern w:val="0"/>
                <w:sz w:val="24"/>
                <w:szCs w:val="24"/>
                <w:bdr w:val="none" w:color="1F1F1F" w:sz="0" w:space="0"/>
                <w:lang w:val="en-US" w:eastAsia="zh-CN" w:bidi="ar"/>
              </w:rPr>
              <w:t>Iteration</w:t>
            </w:r>
          </w:p>
        </w:tc>
        <w:tc>
          <w:tcPr>
            <w:tcW w:w="2258" w:type="pct"/>
            <w:tcBorders>
              <w:top w:val="single" w:color="auto" w:sz="6" w:space="0"/>
              <w:left w:val="single" w:color="auto" w:sz="6" w:space="0"/>
              <w:bottom w:val="single" w:color="auto" w:sz="6" w:space="0"/>
              <w:right w:val="single" w:color="auto" w:sz="6" w:space="0"/>
            </w:tcBorders>
            <w:shd w:val="clear"/>
            <w:tcMar>
              <w:top w:w="240" w:type="dxa"/>
              <w:bottom w:w="240" w:type="dxa"/>
              <w:right w:w="180" w:type="dxa"/>
            </w:tcMar>
            <w:vAlign w:val="center"/>
          </w:tcPr>
          <w:p w14:paraId="5F0DEDCF">
            <w:pPr>
              <w:keepNext w:val="0"/>
              <w:keepLines w:val="0"/>
              <w:widowControl/>
              <w:suppressLineNumbers w:val="0"/>
              <w:bidi w:val="0"/>
              <w:spacing w:before="0" w:beforeAutospacing="0" w:after="0" w:afterAutospacing="0" w:line="17" w:lineRule="atLeast"/>
              <w:ind w:left="0" w:right="0"/>
              <w:jc w:val="left"/>
              <w:rPr>
                <w:rFonts w:hint="default" w:ascii="sans-serif" w:hAnsi="sans-serif" w:eastAsia="sans-serif" w:cs="sans-serif"/>
                <w:color w:val="1F1F1F"/>
              </w:rPr>
            </w:pPr>
            <w:r>
              <w:rPr>
                <w:rStyle w:val="18"/>
                <w:rFonts w:hint="default" w:ascii="sans-serif" w:hAnsi="sans-serif" w:eastAsia="sans-serif" w:cs="sans-serif"/>
                <w:color w:val="1F1F1F"/>
                <w:kern w:val="0"/>
                <w:sz w:val="24"/>
                <w:szCs w:val="24"/>
                <w:bdr w:val="none" w:color="1F1F1F" w:sz="0" w:space="0"/>
                <w:lang w:val="en-US" w:eastAsia="zh-CN" w:bidi="ar"/>
              </w:rPr>
              <w:t>Core Features</w:t>
            </w:r>
          </w:p>
        </w:tc>
        <w:tc>
          <w:tcPr>
            <w:tcW w:w="2040" w:type="pct"/>
            <w:tcBorders>
              <w:top w:val="single" w:color="auto" w:sz="6" w:space="0"/>
              <w:left w:val="single" w:color="auto" w:sz="6" w:space="0"/>
              <w:bottom w:val="single" w:color="auto" w:sz="6" w:space="0"/>
              <w:right w:val="single" w:color="auto" w:sz="6" w:space="0"/>
            </w:tcBorders>
            <w:shd w:val="clear"/>
            <w:tcMar>
              <w:top w:w="240" w:type="dxa"/>
              <w:bottom w:w="240" w:type="dxa"/>
            </w:tcMar>
            <w:vAlign w:val="center"/>
          </w:tcPr>
          <w:p w14:paraId="249CF25A">
            <w:pPr>
              <w:keepNext w:val="0"/>
              <w:keepLines w:val="0"/>
              <w:widowControl/>
              <w:suppressLineNumbers w:val="0"/>
              <w:bidi w:val="0"/>
              <w:spacing w:before="0" w:beforeAutospacing="0" w:after="0" w:afterAutospacing="0" w:line="17" w:lineRule="atLeast"/>
              <w:ind w:left="0" w:right="0"/>
              <w:jc w:val="left"/>
              <w:rPr>
                <w:rFonts w:hint="default" w:ascii="sans-serif" w:hAnsi="sans-serif" w:eastAsia="sans-serif" w:cs="sans-serif"/>
                <w:color w:val="1F1F1F"/>
              </w:rPr>
            </w:pPr>
            <w:r>
              <w:rPr>
                <w:rStyle w:val="18"/>
                <w:rFonts w:hint="default" w:ascii="sans-serif" w:hAnsi="sans-serif" w:eastAsia="sans-serif" w:cs="sans-serif"/>
                <w:color w:val="1F1F1F"/>
                <w:kern w:val="0"/>
                <w:sz w:val="24"/>
                <w:szCs w:val="24"/>
                <w:bdr w:val="none" w:color="1F1F1F" w:sz="0" w:space="0"/>
                <w:lang w:val="en-US" w:eastAsia="zh-CN" w:bidi="ar"/>
              </w:rPr>
              <w:t>Rationale</w:t>
            </w:r>
          </w:p>
        </w:tc>
      </w:tr>
      <w:tr w14:paraId="2481F8FB">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tblCellMar>
            <w:top w:w="0" w:type="dxa"/>
            <w:left w:w="0" w:type="dxa"/>
            <w:bottom w:w="0" w:type="dxa"/>
            <w:right w:w="0" w:type="dxa"/>
          </w:tblCellMar>
        </w:tblPrEx>
        <w:trPr>
          <w:tblCellSpacing w:w="15" w:type="dxa"/>
        </w:trPr>
        <w:tc>
          <w:tcPr>
            <w:tcW w:w="635" w:type="pct"/>
            <w:tcBorders>
              <w:top w:val="single" w:color="auto" w:sz="6" w:space="0"/>
              <w:left w:val="single" w:color="auto" w:sz="6" w:space="0"/>
              <w:bottom w:val="single" w:color="auto" w:sz="6" w:space="0"/>
              <w:right w:val="single" w:color="auto" w:sz="6" w:space="0"/>
            </w:tcBorders>
            <w:shd w:val="clear"/>
            <w:tcMar>
              <w:top w:w="240" w:type="dxa"/>
              <w:bottom w:w="240" w:type="dxa"/>
              <w:right w:w="180" w:type="dxa"/>
            </w:tcMar>
            <w:vAlign w:val="center"/>
          </w:tcPr>
          <w:p w14:paraId="0935D657">
            <w:pPr>
              <w:keepNext w:val="0"/>
              <w:keepLines w:val="0"/>
              <w:widowControl/>
              <w:suppressLineNumbers w:val="0"/>
              <w:bidi w:val="0"/>
              <w:spacing w:before="0" w:beforeAutospacing="0" w:after="0" w:afterAutospacing="0" w:line="17" w:lineRule="atLeast"/>
              <w:ind w:left="0" w:right="0"/>
              <w:jc w:val="left"/>
              <w:rPr>
                <w:rFonts w:hint="default" w:ascii="sans-serif" w:hAnsi="sans-serif" w:eastAsia="sans-serif" w:cs="sans-serif"/>
                <w:color w:val="1F1F1F"/>
              </w:rPr>
            </w:pPr>
            <w:r>
              <w:rPr>
                <w:rFonts w:hint="default" w:ascii="sans-serif" w:hAnsi="sans-serif" w:eastAsia="sans-serif" w:cs="sans-serif"/>
                <w:b/>
                <w:bCs/>
                <w:color w:val="1F1F1F"/>
                <w:kern w:val="0"/>
                <w:sz w:val="24"/>
                <w:szCs w:val="24"/>
                <w:bdr w:val="none" w:color="1F1F1F" w:sz="0" w:space="0"/>
                <w:lang w:val="en-US" w:eastAsia="zh-CN" w:bidi="ar"/>
              </w:rPr>
              <w:t>Sprint 1</w:t>
            </w:r>
          </w:p>
        </w:tc>
        <w:tc>
          <w:tcPr>
            <w:tcW w:w="2258" w:type="pct"/>
            <w:tcBorders>
              <w:top w:val="single" w:color="auto" w:sz="6" w:space="0"/>
              <w:left w:val="single" w:color="auto" w:sz="6" w:space="0"/>
              <w:bottom w:val="single" w:color="auto" w:sz="6" w:space="0"/>
              <w:right w:val="single" w:color="auto" w:sz="6" w:space="0"/>
            </w:tcBorders>
            <w:shd w:val="clear"/>
            <w:tcMar>
              <w:top w:w="240" w:type="dxa"/>
              <w:bottom w:w="240" w:type="dxa"/>
              <w:right w:w="180" w:type="dxa"/>
            </w:tcMar>
            <w:vAlign w:val="center"/>
          </w:tcPr>
          <w:p w14:paraId="0212F00D">
            <w:pPr>
              <w:keepNext w:val="0"/>
              <w:keepLines w:val="0"/>
              <w:widowControl/>
              <w:suppressLineNumbers w:val="0"/>
              <w:bidi w:val="0"/>
              <w:spacing w:before="0" w:beforeAutospacing="0" w:after="0" w:afterAutospacing="0" w:line="17" w:lineRule="atLeast"/>
              <w:ind w:left="0" w:right="0"/>
              <w:jc w:val="left"/>
              <w:rPr>
                <w:rFonts w:hint="default" w:ascii="sans-serif" w:hAnsi="sans-serif" w:eastAsia="sans-serif" w:cs="sans-serif"/>
                <w:color w:val="1F1F1F"/>
              </w:rPr>
            </w:pPr>
            <w:r>
              <w:rPr>
                <w:rFonts w:hint="default" w:ascii="sans-serif" w:hAnsi="sans-serif" w:eastAsia="sans-serif" w:cs="sans-serif"/>
                <w:color w:val="1F1F1F"/>
                <w:kern w:val="0"/>
                <w:sz w:val="24"/>
                <w:szCs w:val="24"/>
                <w:bdr w:val="none" w:color="1F1F1F" w:sz="0" w:space="0"/>
                <w:lang w:val="en-US" w:eastAsia="zh-CN" w:bidi="ar"/>
              </w:rPr>
              <w:t>User registration &amp; login (TA, MO, Admin); TA profile creation; MO job posting; TA job browsing &amp; application; basic file-based data persistence</w:t>
            </w:r>
          </w:p>
        </w:tc>
        <w:tc>
          <w:tcPr>
            <w:tcW w:w="2040" w:type="pct"/>
            <w:tcBorders>
              <w:top w:val="single" w:color="auto" w:sz="6" w:space="0"/>
              <w:left w:val="single" w:color="auto" w:sz="6" w:space="0"/>
              <w:bottom w:val="single" w:color="auto" w:sz="6" w:space="0"/>
              <w:right w:val="single" w:color="auto" w:sz="6" w:space="0"/>
            </w:tcBorders>
            <w:shd w:val="clear"/>
            <w:tcMar>
              <w:top w:w="240" w:type="dxa"/>
              <w:bottom w:w="240" w:type="dxa"/>
            </w:tcMar>
            <w:vAlign w:val="center"/>
          </w:tcPr>
          <w:p w14:paraId="67112435">
            <w:pPr>
              <w:keepNext w:val="0"/>
              <w:keepLines w:val="0"/>
              <w:widowControl/>
              <w:suppressLineNumbers w:val="0"/>
              <w:bidi w:val="0"/>
              <w:spacing w:before="0" w:beforeAutospacing="0" w:after="0" w:afterAutospacing="0" w:line="17" w:lineRule="atLeast"/>
              <w:ind w:left="0" w:right="0"/>
              <w:jc w:val="left"/>
              <w:rPr>
                <w:rFonts w:hint="default" w:ascii="sans-serif" w:hAnsi="sans-serif" w:eastAsia="sans-serif" w:cs="sans-serif"/>
                <w:color w:val="1F1F1F"/>
              </w:rPr>
            </w:pPr>
            <w:r>
              <w:rPr>
                <w:rFonts w:hint="default" w:ascii="sans-serif" w:hAnsi="sans-serif" w:eastAsia="sans-serif" w:cs="sans-serif"/>
                <w:color w:val="1F1F1F"/>
                <w:kern w:val="0"/>
                <w:sz w:val="24"/>
                <w:szCs w:val="24"/>
                <w:bdr w:val="none" w:color="1F1F1F" w:sz="0" w:space="0"/>
                <w:lang w:val="en-US" w:eastAsia="zh-CN" w:bidi="ar"/>
              </w:rPr>
              <w:t>Builds the MVP core pipeline (registration → application), the foundation for all follow-up functions.</w:t>
            </w:r>
          </w:p>
        </w:tc>
      </w:tr>
      <w:tr w14:paraId="08DF7790">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tblCellMar>
            <w:top w:w="0" w:type="dxa"/>
            <w:left w:w="0" w:type="dxa"/>
            <w:bottom w:w="0" w:type="dxa"/>
            <w:right w:w="0" w:type="dxa"/>
          </w:tblCellMar>
        </w:tblPrEx>
        <w:trPr>
          <w:tblCellSpacing w:w="15" w:type="dxa"/>
        </w:trPr>
        <w:tc>
          <w:tcPr>
            <w:tcW w:w="635" w:type="pct"/>
            <w:tcBorders>
              <w:top w:val="single" w:color="auto" w:sz="6" w:space="0"/>
              <w:left w:val="single" w:color="auto" w:sz="6" w:space="0"/>
              <w:bottom w:val="single" w:color="auto" w:sz="6" w:space="0"/>
              <w:right w:val="single" w:color="auto" w:sz="6" w:space="0"/>
            </w:tcBorders>
            <w:shd w:val="clear"/>
            <w:tcMar>
              <w:top w:w="240" w:type="dxa"/>
              <w:bottom w:w="240" w:type="dxa"/>
              <w:right w:w="180" w:type="dxa"/>
            </w:tcMar>
            <w:vAlign w:val="center"/>
          </w:tcPr>
          <w:p w14:paraId="470AA58D">
            <w:pPr>
              <w:keepNext w:val="0"/>
              <w:keepLines w:val="0"/>
              <w:widowControl/>
              <w:suppressLineNumbers w:val="0"/>
              <w:bidi w:val="0"/>
              <w:spacing w:before="0" w:beforeAutospacing="0" w:after="0" w:afterAutospacing="0" w:line="17" w:lineRule="atLeast"/>
              <w:ind w:left="0" w:right="0"/>
              <w:jc w:val="left"/>
              <w:rPr>
                <w:rFonts w:hint="default" w:ascii="sans-serif" w:hAnsi="sans-serif" w:eastAsia="sans-serif" w:cs="sans-serif"/>
                <w:color w:val="1F1F1F"/>
              </w:rPr>
            </w:pPr>
            <w:r>
              <w:rPr>
                <w:rFonts w:hint="default" w:ascii="sans-serif" w:hAnsi="sans-serif" w:eastAsia="sans-serif" w:cs="sans-serif"/>
                <w:b/>
                <w:bCs/>
                <w:color w:val="1F1F1F"/>
                <w:kern w:val="0"/>
                <w:sz w:val="24"/>
                <w:szCs w:val="24"/>
                <w:bdr w:val="none" w:color="1F1F1F" w:sz="0" w:space="0"/>
                <w:lang w:val="en-US" w:eastAsia="zh-CN" w:bidi="ar"/>
              </w:rPr>
              <w:t>Sprint 2</w:t>
            </w:r>
          </w:p>
        </w:tc>
        <w:tc>
          <w:tcPr>
            <w:tcW w:w="2258" w:type="pct"/>
            <w:tcBorders>
              <w:top w:val="single" w:color="auto" w:sz="6" w:space="0"/>
              <w:left w:val="single" w:color="auto" w:sz="6" w:space="0"/>
              <w:bottom w:val="single" w:color="auto" w:sz="6" w:space="0"/>
              <w:right w:val="single" w:color="auto" w:sz="6" w:space="0"/>
            </w:tcBorders>
            <w:shd w:val="clear"/>
            <w:tcMar>
              <w:top w:w="240" w:type="dxa"/>
              <w:bottom w:w="240" w:type="dxa"/>
              <w:right w:w="180" w:type="dxa"/>
            </w:tcMar>
            <w:vAlign w:val="center"/>
          </w:tcPr>
          <w:p w14:paraId="60B4E0DA">
            <w:pPr>
              <w:keepNext w:val="0"/>
              <w:keepLines w:val="0"/>
              <w:widowControl/>
              <w:suppressLineNumbers w:val="0"/>
              <w:bidi w:val="0"/>
              <w:spacing w:before="0" w:beforeAutospacing="0" w:after="0" w:afterAutospacing="0" w:line="17" w:lineRule="atLeast"/>
              <w:ind w:left="0" w:right="0"/>
              <w:jc w:val="left"/>
              <w:rPr>
                <w:rFonts w:hint="default" w:ascii="sans-serif" w:hAnsi="sans-serif" w:eastAsia="sans-serif" w:cs="sans-serif"/>
                <w:color w:val="1F1F1F"/>
              </w:rPr>
            </w:pPr>
            <w:r>
              <w:rPr>
                <w:rFonts w:hint="default" w:ascii="sans-serif" w:hAnsi="sans-serif" w:eastAsia="sans-serif" w:cs="sans-serif"/>
                <w:color w:val="1F1F1F"/>
                <w:kern w:val="0"/>
                <w:sz w:val="24"/>
                <w:szCs w:val="24"/>
                <w:bdr w:val="none" w:color="1F1F1F" w:sz="0" w:space="0"/>
                <w:lang w:val="en-US" w:eastAsia="zh-CN" w:bidi="ar"/>
              </w:rPr>
              <w:t>Application status tracking; MO candidate review &amp; selection; CV upload; Admin workload overview; job editing &amp; closing</w:t>
            </w:r>
          </w:p>
        </w:tc>
        <w:tc>
          <w:tcPr>
            <w:tcW w:w="2040" w:type="pct"/>
            <w:tcBorders>
              <w:top w:val="single" w:color="auto" w:sz="6" w:space="0"/>
              <w:left w:val="single" w:color="auto" w:sz="6" w:space="0"/>
              <w:bottom w:val="single" w:color="auto" w:sz="6" w:space="0"/>
              <w:right w:val="single" w:color="auto" w:sz="6" w:space="0"/>
            </w:tcBorders>
            <w:shd w:val="clear"/>
            <w:tcMar>
              <w:top w:w="240" w:type="dxa"/>
              <w:bottom w:w="240" w:type="dxa"/>
            </w:tcMar>
            <w:vAlign w:val="center"/>
          </w:tcPr>
          <w:p w14:paraId="0B6BCFB2">
            <w:pPr>
              <w:keepNext w:val="0"/>
              <w:keepLines w:val="0"/>
              <w:widowControl/>
              <w:suppressLineNumbers w:val="0"/>
              <w:bidi w:val="0"/>
              <w:spacing w:before="0" w:beforeAutospacing="0" w:after="0" w:afterAutospacing="0" w:line="17" w:lineRule="atLeast"/>
              <w:ind w:left="0" w:right="0"/>
              <w:jc w:val="left"/>
              <w:rPr>
                <w:rFonts w:hint="default" w:ascii="sans-serif" w:hAnsi="sans-serif" w:eastAsia="sans-serif" w:cs="sans-serif"/>
                <w:color w:val="1F1F1F"/>
              </w:rPr>
            </w:pPr>
            <w:r>
              <w:rPr>
                <w:rFonts w:hint="default" w:ascii="sans-serif" w:hAnsi="sans-serif" w:eastAsia="sans-serif" w:cs="sans-serif"/>
                <w:color w:val="1F1F1F"/>
                <w:kern w:val="0"/>
                <w:sz w:val="24"/>
                <w:szCs w:val="24"/>
                <w:bdr w:val="none" w:color="1F1F1F" w:sz="0" w:space="0"/>
                <w:lang w:val="en-US" w:eastAsia="zh-CN" w:bidi="ar"/>
              </w:rPr>
              <w:t>Closes the core recruitment loop and enables admin to monitor TA workload distribution.</w:t>
            </w:r>
          </w:p>
        </w:tc>
      </w:tr>
      <w:tr w14:paraId="6AD504CA">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tblCellMar>
            <w:top w:w="0" w:type="dxa"/>
            <w:left w:w="0" w:type="dxa"/>
            <w:bottom w:w="0" w:type="dxa"/>
            <w:right w:w="0" w:type="dxa"/>
          </w:tblCellMar>
        </w:tblPrEx>
        <w:trPr>
          <w:tblCellSpacing w:w="15" w:type="dxa"/>
        </w:trPr>
        <w:tc>
          <w:tcPr>
            <w:tcW w:w="635" w:type="pct"/>
            <w:tcBorders>
              <w:top w:val="single" w:color="auto" w:sz="6" w:space="0"/>
              <w:left w:val="single" w:color="auto" w:sz="6" w:space="0"/>
              <w:bottom w:val="single" w:color="auto" w:sz="6" w:space="0"/>
              <w:right w:val="single" w:color="auto" w:sz="6" w:space="0"/>
            </w:tcBorders>
            <w:shd w:val="clear"/>
            <w:tcMar>
              <w:top w:w="240" w:type="dxa"/>
              <w:bottom w:w="240" w:type="dxa"/>
              <w:right w:w="180" w:type="dxa"/>
            </w:tcMar>
            <w:vAlign w:val="center"/>
          </w:tcPr>
          <w:p w14:paraId="4CFB153F">
            <w:pPr>
              <w:keepNext w:val="0"/>
              <w:keepLines w:val="0"/>
              <w:widowControl/>
              <w:suppressLineNumbers w:val="0"/>
              <w:bidi w:val="0"/>
              <w:spacing w:before="0" w:beforeAutospacing="0" w:after="0" w:afterAutospacing="0" w:line="17" w:lineRule="atLeast"/>
              <w:ind w:left="0" w:right="0"/>
              <w:jc w:val="left"/>
              <w:rPr>
                <w:rFonts w:hint="default" w:ascii="sans-serif" w:hAnsi="sans-serif" w:eastAsia="sans-serif" w:cs="sans-serif"/>
                <w:color w:val="1F1F1F"/>
              </w:rPr>
            </w:pPr>
            <w:r>
              <w:rPr>
                <w:rFonts w:hint="default" w:ascii="sans-serif" w:hAnsi="sans-serif" w:eastAsia="sans-serif" w:cs="sans-serif"/>
                <w:b/>
                <w:bCs/>
                <w:color w:val="1F1F1F"/>
                <w:kern w:val="0"/>
                <w:sz w:val="24"/>
                <w:szCs w:val="24"/>
                <w:bdr w:val="none" w:color="1F1F1F" w:sz="0" w:space="0"/>
                <w:lang w:val="en-US" w:eastAsia="zh-CN" w:bidi="ar"/>
              </w:rPr>
              <w:t>Sprint 3</w:t>
            </w:r>
          </w:p>
        </w:tc>
        <w:tc>
          <w:tcPr>
            <w:tcW w:w="2258" w:type="pct"/>
            <w:tcBorders>
              <w:top w:val="single" w:color="auto" w:sz="6" w:space="0"/>
              <w:left w:val="single" w:color="auto" w:sz="6" w:space="0"/>
              <w:bottom w:val="single" w:color="auto" w:sz="6" w:space="0"/>
              <w:right w:val="single" w:color="auto" w:sz="6" w:space="0"/>
            </w:tcBorders>
            <w:shd w:val="clear"/>
            <w:tcMar>
              <w:top w:w="240" w:type="dxa"/>
              <w:bottom w:w="240" w:type="dxa"/>
              <w:right w:w="180" w:type="dxa"/>
            </w:tcMar>
            <w:vAlign w:val="center"/>
          </w:tcPr>
          <w:p w14:paraId="4299BC83">
            <w:pPr>
              <w:keepNext w:val="0"/>
              <w:keepLines w:val="0"/>
              <w:widowControl/>
              <w:suppressLineNumbers w:val="0"/>
              <w:bidi w:val="0"/>
              <w:spacing w:before="0" w:beforeAutospacing="0" w:after="0" w:afterAutospacing="0" w:line="17" w:lineRule="atLeast"/>
              <w:ind w:left="0" w:right="0"/>
              <w:jc w:val="left"/>
              <w:rPr>
                <w:rFonts w:hint="default" w:ascii="sans-serif" w:hAnsi="sans-serif" w:eastAsia="sans-serif" w:cs="sans-serif"/>
                <w:color w:val="1F1F1F"/>
              </w:rPr>
            </w:pPr>
            <w:r>
              <w:rPr>
                <w:rFonts w:hint="default" w:ascii="sans-serif" w:hAnsi="sans-serif" w:eastAsia="sans-serif" w:cs="sans-serif"/>
                <w:color w:val="1F1F1F"/>
                <w:kern w:val="0"/>
                <w:sz w:val="24"/>
                <w:szCs w:val="24"/>
                <w:bdr w:val="none" w:color="1F1F1F" w:sz="0" w:space="0"/>
                <w:lang w:val="en-US" w:eastAsia="zh-CN" w:bidi="ar"/>
              </w:rPr>
              <w:t>AI skill-matching (TA–job); AI-ranked applicant list for MOs; Skill-gap identification for TAs</w:t>
            </w:r>
          </w:p>
        </w:tc>
        <w:tc>
          <w:tcPr>
            <w:tcW w:w="2040" w:type="pct"/>
            <w:tcBorders>
              <w:top w:val="single" w:color="auto" w:sz="6" w:space="0"/>
              <w:left w:val="single" w:color="auto" w:sz="6" w:space="0"/>
              <w:bottom w:val="single" w:color="auto" w:sz="6" w:space="0"/>
              <w:right w:val="single" w:color="auto" w:sz="6" w:space="0"/>
            </w:tcBorders>
            <w:shd w:val="clear"/>
            <w:tcMar>
              <w:top w:w="240" w:type="dxa"/>
              <w:bottom w:w="240" w:type="dxa"/>
            </w:tcMar>
            <w:vAlign w:val="center"/>
          </w:tcPr>
          <w:p w14:paraId="7AAF1052">
            <w:pPr>
              <w:keepNext w:val="0"/>
              <w:keepLines w:val="0"/>
              <w:widowControl/>
              <w:suppressLineNumbers w:val="0"/>
              <w:bidi w:val="0"/>
              <w:spacing w:before="0" w:beforeAutospacing="0" w:after="0" w:afterAutospacing="0" w:line="17" w:lineRule="atLeast"/>
              <w:ind w:left="0" w:right="0"/>
              <w:jc w:val="left"/>
              <w:rPr>
                <w:rFonts w:hint="default" w:ascii="sans-serif" w:hAnsi="sans-serif" w:eastAsia="sans-serif" w:cs="sans-serif"/>
                <w:color w:val="1F1F1F"/>
              </w:rPr>
            </w:pPr>
            <w:r>
              <w:rPr>
                <w:rFonts w:hint="default" w:ascii="sans-serif" w:hAnsi="sans-serif" w:eastAsia="sans-serif" w:cs="sans-serif"/>
                <w:color w:val="1F1F1F"/>
                <w:kern w:val="0"/>
                <w:sz w:val="24"/>
                <w:szCs w:val="24"/>
                <w:bdr w:val="none" w:color="1F1F1F" w:sz="0" w:space="0"/>
                <w:lang w:val="en-US" w:eastAsia="zh-CN" w:bidi="ar"/>
              </w:rPr>
              <w:t>AI features add significant value but depend on stable profile and job data from Iterations 1–2.</w:t>
            </w:r>
          </w:p>
        </w:tc>
      </w:tr>
      <w:tr w14:paraId="4B7AEC27">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tblCellMar>
            <w:top w:w="0" w:type="dxa"/>
            <w:left w:w="0" w:type="dxa"/>
            <w:bottom w:w="0" w:type="dxa"/>
            <w:right w:w="0" w:type="dxa"/>
          </w:tblCellMar>
        </w:tblPrEx>
        <w:trPr>
          <w:tblCellSpacing w:w="15" w:type="dxa"/>
        </w:trPr>
        <w:tc>
          <w:tcPr>
            <w:tcW w:w="635" w:type="pct"/>
            <w:tcBorders>
              <w:top w:val="single" w:color="auto" w:sz="6" w:space="0"/>
              <w:left w:val="single" w:color="auto" w:sz="6" w:space="0"/>
              <w:bottom w:val="single" w:color="auto" w:sz="6" w:space="0"/>
              <w:right w:val="single" w:color="auto" w:sz="6" w:space="0"/>
            </w:tcBorders>
            <w:shd w:val="clear"/>
            <w:tcMar>
              <w:top w:w="240" w:type="dxa"/>
              <w:bottom w:w="240" w:type="dxa"/>
              <w:right w:w="180" w:type="dxa"/>
            </w:tcMar>
            <w:vAlign w:val="center"/>
          </w:tcPr>
          <w:p w14:paraId="736EE03A">
            <w:pPr>
              <w:keepNext w:val="0"/>
              <w:keepLines w:val="0"/>
              <w:widowControl/>
              <w:suppressLineNumbers w:val="0"/>
              <w:bidi w:val="0"/>
              <w:spacing w:before="0" w:beforeAutospacing="0" w:after="0" w:afterAutospacing="0" w:line="17" w:lineRule="atLeast"/>
              <w:ind w:left="0" w:right="0"/>
              <w:jc w:val="left"/>
              <w:rPr>
                <w:rFonts w:hint="default" w:ascii="sans-serif" w:hAnsi="sans-serif" w:eastAsia="sans-serif" w:cs="sans-serif"/>
                <w:color w:val="1F1F1F"/>
              </w:rPr>
            </w:pPr>
            <w:r>
              <w:rPr>
                <w:rFonts w:hint="default" w:ascii="sans-serif" w:hAnsi="sans-serif" w:eastAsia="sans-serif" w:cs="sans-serif"/>
                <w:b/>
                <w:bCs/>
                <w:color w:val="1F1F1F"/>
                <w:kern w:val="0"/>
                <w:sz w:val="24"/>
                <w:szCs w:val="24"/>
                <w:bdr w:val="none" w:color="1F1F1F" w:sz="0" w:space="0"/>
                <w:lang w:val="en-US" w:eastAsia="zh-CN" w:bidi="ar"/>
              </w:rPr>
              <w:t>Sprint 4</w:t>
            </w:r>
          </w:p>
        </w:tc>
        <w:tc>
          <w:tcPr>
            <w:tcW w:w="2258" w:type="pct"/>
            <w:tcBorders>
              <w:top w:val="single" w:color="auto" w:sz="6" w:space="0"/>
              <w:left w:val="single" w:color="auto" w:sz="6" w:space="0"/>
              <w:bottom w:val="single" w:color="auto" w:sz="6" w:space="0"/>
              <w:right w:val="single" w:color="auto" w:sz="6" w:space="0"/>
            </w:tcBorders>
            <w:shd w:val="clear"/>
            <w:tcMar>
              <w:top w:w="240" w:type="dxa"/>
              <w:bottom w:w="240" w:type="dxa"/>
              <w:right w:w="180" w:type="dxa"/>
            </w:tcMar>
            <w:vAlign w:val="center"/>
          </w:tcPr>
          <w:p w14:paraId="7B31927C">
            <w:pPr>
              <w:keepNext w:val="0"/>
              <w:keepLines w:val="0"/>
              <w:widowControl/>
              <w:suppressLineNumbers w:val="0"/>
              <w:bidi w:val="0"/>
              <w:spacing w:before="0" w:beforeAutospacing="0" w:after="0" w:afterAutospacing="0" w:line="17" w:lineRule="atLeast"/>
              <w:ind w:left="0" w:right="0"/>
              <w:jc w:val="left"/>
              <w:rPr>
                <w:rFonts w:hint="default" w:ascii="sans-serif" w:hAnsi="sans-serif" w:eastAsia="sans-serif" w:cs="sans-serif"/>
                <w:color w:val="1F1F1F"/>
              </w:rPr>
            </w:pPr>
            <w:r>
              <w:rPr>
                <w:rFonts w:hint="default" w:ascii="sans-serif" w:hAnsi="sans-serif" w:eastAsia="sans-serif" w:cs="sans-serif"/>
                <w:color w:val="1F1F1F"/>
                <w:kern w:val="0"/>
                <w:sz w:val="24"/>
                <w:szCs w:val="24"/>
                <w:bdr w:val="none" w:color="1F1F1F" w:sz="0" w:space="0"/>
                <w:lang w:val="en-US" w:eastAsia="zh-CN" w:bidi="ar"/>
              </w:rPr>
              <w:t>AI workload balancing; In-app notifications; CSV report export; Invigilation management; UI polish</w:t>
            </w:r>
          </w:p>
        </w:tc>
        <w:tc>
          <w:tcPr>
            <w:tcW w:w="2040" w:type="pct"/>
            <w:tcBorders>
              <w:top w:val="single" w:color="auto" w:sz="6" w:space="0"/>
              <w:left w:val="single" w:color="auto" w:sz="6" w:space="0"/>
              <w:bottom w:val="single" w:color="auto" w:sz="6" w:space="0"/>
              <w:right w:val="single" w:color="auto" w:sz="6" w:space="0"/>
            </w:tcBorders>
            <w:shd w:val="clear"/>
            <w:tcMar>
              <w:top w:w="240" w:type="dxa"/>
              <w:bottom w:w="240" w:type="dxa"/>
            </w:tcMar>
            <w:vAlign w:val="center"/>
          </w:tcPr>
          <w:p w14:paraId="15CB0350">
            <w:pPr>
              <w:keepNext w:val="0"/>
              <w:keepLines w:val="0"/>
              <w:widowControl/>
              <w:suppressLineNumbers w:val="0"/>
              <w:bidi w:val="0"/>
              <w:spacing w:before="0" w:beforeAutospacing="0" w:after="0" w:afterAutospacing="0" w:line="17" w:lineRule="atLeast"/>
              <w:ind w:left="0" w:right="0"/>
              <w:jc w:val="left"/>
              <w:rPr>
                <w:rFonts w:hint="default" w:ascii="sans-serif" w:hAnsi="sans-serif" w:eastAsia="sans-serif" w:cs="sans-serif"/>
                <w:color w:val="1F1F1F"/>
              </w:rPr>
            </w:pPr>
            <w:r>
              <w:rPr>
                <w:rFonts w:hint="default" w:ascii="sans-serif" w:hAnsi="sans-serif" w:eastAsia="sans-serif" w:cs="sans-serif"/>
                <w:color w:val="1F1F1F"/>
                <w:kern w:val="0"/>
                <w:sz w:val="24"/>
                <w:szCs w:val="24"/>
                <w:bdr w:val="none" w:color="1F1F1F" w:sz="0" w:space="0"/>
                <w:lang w:val="en-US" w:eastAsia="zh-CN" w:bidi="ar"/>
              </w:rPr>
              <w:t>Enhancement and optimisation layer. These features improve UX and operational efficiency but are not critical to core functionality.</w:t>
            </w:r>
          </w:p>
        </w:tc>
      </w:tr>
    </w:tbl>
    <w:p w14:paraId="06128089">
      <w:pPr>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120" w:afterAutospacing="0" w:line="17" w:lineRule="atLeast"/>
        <w:ind w:left="0" w:right="0"/>
        <w:rPr>
          <w:rFonts w:hint="default" w:ascii="sans-serif" w:hAnsi="sans-serif" w:eastAsia="sans-serif" w:cs="sans-serif"/>
          <w:color w:val="808080"/>
        </w:rPr>
      </w:pPr>
      <w:r>
        <w:rPr>
          <w:sz w:val="24"/>
          <w:szCs w:val="24"/>
        </w:rPr>
        <w:pict>
          <v:rect id="_x0000_i1043" o:spt="1" style="height:1.5pt;width:432pt;" fillcolor="#808080" filled="t" stroked="f" coordsize="21600,21600" o:hr="t" o:hrstd="t" o:hrnoshade="t" o:hralign="center">
            <v:path/>
            <v:fill on="t" focussize="0,0"/>
            <v:stroke on="f"/>
            <v:imagedata o:title=""/>
            <o:lock v:ext="edit"/>
            <w10:wrap type="none"/>
            <w10:anchorlock/>
          </v:rect>
        </w:pict>
      </w:r>
    </w:p>
    <w:p w14:paraId="4760E3BA">
      <w:pPr>
        <w:pStyle w:val="3"/>
        <w:numPr>
          <w:ilvl w:val="0"/>
          <w:numId w:val="1"/>
        </w:numPr>
        <w:bidi w:val="0"/>
        <w:rPr>
          <w:b/>
          <w:bCs/>
          <w:color w:val="843F0B" w:themeColor="accent2" w:themeShade="80"/>
        </w:rPr>
      </w:pPr>
      <w:r>
        <w:rPr>
          <w:b/>
          <w:bCs/>
          <w:color w:val="843F0B" w:themeColor="accent2" w:themeShade="80"/>
        </w:rPr>
        <w:t xml:space="preserve">Prioritisation Method </w:t>
      </w:r>
    </w:p>
    <w:p w14:paraId="1431338F">
      <w:pPr>
        <w:pStyle w:val="11"/>
        <w:widowControl/>
        <w:pBdr>
          <w:top w:val="none" w:color="1F1F1F" w:sz="0" w:space="0"/>
          <w:left w:val="none" w:color="1F1F1F" w:sz="0" w:space="0"/>
          <w:bottom w:val="none" w:color="1F1F1F" w:sz="0" w:space="0"/>
          <w:right w:val="none" w:color="1F1F1F" w:sz="0" w:space="0"/>
        </w:pBdr>
        <w:rPr>
          <w:rFonts w:ascii="Times New Roman" w:hAnsi="Times New Roman" w:eastAsia="宋体" w:cs="Times New Roman"/>
          <w:color w:val="1F1F1F"/>
          <w:sz w:val="24"/>
          <w:szCs w:val="24"/>
        </w:rPr>
      </w:pPr>
      <w:r>
        <w:rPr>
          <w:rFonts w:ascii="Times New Roman" w:hAnsi="Times New Roman" w:eastAsia="宋体" w:cs="Times New Roman"/>
          <w:color w:val="1F1F1F"/>
          <w:sz w:val="24"/>
          <w:szCs w:val="24"/>
          <w:bdr w:val="none" w:color="1F1F1F" w:sz="0" w:space="0"/>
        </w:rPr>
        <w:t>To effectively manage the product backlog, the development team selected the MoSCoW method (categorizing requirements into Must Have, Should Have, Could Have, and Won’t Have) as their principal prioritization framework. This specific method was purposefully chosen over alternative techniques, such as Kano analysis or weighted scoring models, based on three primary justifications:</w:t>
      </w:r>
    </w:p>
    <w:p w14:paraId="53BAA076">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right="0" w:rightChars="0"/>
        <w:rPr>
          <w:rFonts w:hint="default" w:ascii="sans-serif" w:hAnsi="sans-serif" w:eastAsia="sans-serif" w:cs="sans-serif"/>
          <w:color w:val="1F1F1F"/>
        </w:rPr>
      </w:pPr>
    </w:p>
    <w:p w14:paraId="5D2339C4">
      <w:pPr>
        <w:pStyle w:val="11"/>
        <w:widowControl/>
        <w:pBdr>
          <w:top w:val="none" w:color="1F1F1F" w:sz="0" w:space="0"/>
          <w:left w:val="none" w:color="1F1F1F" w:sz="0" w:space="0"/>
          <w:bottom w:val="none" w:color="1F1F1F" w:sz="0" w:space="0"/>
          <w:right w:val="none" w:color="1F1F1F" w:sz="0" w:space="0"/>
        </w:pBdr>
        <w:rPr>
          <w:rFonts w:ascii="Times New Roman" w:hAnsi="Times New Roman" w:eastAsia="宋体" w:cs="Times New Roman"/>
          <w:color w:val="1F1F1F"/>
          <w:sz w:val="24"/>
          <w:szCs w:val="24"/>
        </w:rPr>
      </w:pPr>
      <w:r>
        <w:rPr>
          <w:rStyle w:val="24"/>
          <w:b/>
          <w:bCs/>
        </w:rPr>
        <w:t>Simplicity and Stakeholder Alignment</w:t>
      </w:r>
      <w:r>
        <w:rPr>
          <w:rFonts w:ascii="Times New Roman" w:hAnsi="Times New Roman" w:eastAsia="宋体" w:cs="Times New Roman"/>
          <w:b/>
          <w:color w:val="1F1F1F"/>
          <w:sz w:val="24"/>
          <w:szCs w:val="24"/>
          <w:bdr w:val="none" w:color="1F1F1F" w:sz="0" w:space="0"/>
        </w:rPr>
        <w:t>:</w:t>
      </w:r>
      <w:r>
        <w:rPr>
          <w:rFonts w:ascii="Times New Roman" w:hAnsi="Times New Roman" w:eastAsia="宋体" w:cs="Times New Roman"/>
          <w:color w:val="1F1F1F"/>
          <w:sz w:val="24"/>
          <w:szCs w:val="24"/>
          <w:bdr w:val="none" w:color="1F1F1F" w:sz="0" w:space="0"/>
        </w:rPr>
        <w:t xml:space="preserve"> The four-tier classification system inherent to MoSCoW is highly intuitive, particularly for non-technical stakeholders such as the MOs and Administrative staff. This simplicity fosters active and meaningful stakeholder participation during crucial Sprint Planning sessions.</w:t>
      </w:r>
    </w:p>
    <w:p w14:paraId="4DB0617C">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right="0" w:rightChars="0"/>
        <w:rPr>
          <w:rFonts w:hint="default" w:ascii="sans-serif" w:hAnsi="sans-serif" w:eastAsia="sans-serif" w:cs="sans-serif"/>
          <w:color w:val="1F1F1F"/>
        </w:rPr>
      </w:pPr>
    </w:p>
    <w:p w14:paraId="1AC202A6">
      <w:pPr>
        <w:pStyle w:val="11"/>
        <w:widowControl/>
        <w:pBdr>
          <w:top w:val="none" w:color="1F1F1F" w:sz="0" w:space="0"/>
          <w:left w:val="none" w:color="1F1F1F" w:sz="0" w:space="0"/>
          <w:bottom w:val="none" w:color="1F1F1F" w:sz="0" w:space="0"/>
          <w:right w:val="none" w:color="1F1F1F" w:sz="0" w:space="0"/>
        </w:pBdr>
        <w:rPr>
          <w:rFonts w:ascii="Times New Roman" w:hAnsi="Times New Roman" w:eastAsia="宋体" w:cs="Times New Roman"/>
          <w:color w:val="1F1F1F"/>
          <w:sz w:val="24"/>
          <w:szCs w:val="24"/>
        </w:rPr>
      </w:pPr>
      <w:r>
        <w:rPr>
          <w:rStyle w:val="24"/>
          <w:b/>
          <w:bCs/>
        </w:rPr>
        <w:t>Constraint-Driven Decisions:</w:t>
      </w:r>
      <w:r>
        <w:rPr>
          <w:rFonts w:ascii="Times New Roman" w:hAnsi="Times New Roman" w:eastAsia="宋体" w:cs="Times New Roman"/>
          <w:color w:val="1F1F1F"/>
          <w:sz w:val="24"/>
          <w:szCs w:val="24"/>
          <w:bdr w:val="none" w:color="1F1F1F" w:sz="0" w:space="0"/>
        </w:rPr>
        <w:t xml:space="preserve"> The project faced a significant technical constraint requiring the use of text-file-only storage solutions rather than a traditional database. This limitation directly dictated the feasibility of specific features within targeted iterations. Consequently, the MoSCoW framework empowered the team to explicitly designate any features necessitating database-like querying capabilities as "Could Have" until a robust flat-file alternative could be engineered.</w:t>
      </w:r>
    </w:p>
    <w:p w14:paraId="2DD25ADB">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right="0" w:rightChars="0"/>
        <w:rPr>
          <w:rFonts w:hint="default" w:ascii="sans-serif" w:hAnsi="sans-serif" w:eastAsia="sans-serif" w:cs="sans-serif"/>
          <w:color w:val="1F1F1F"/>
        </w:rPr>
      </w:pPr>
    </w:p>
    <w:p w14:paraId="4567E6AA">
      <w:pPr>
        <w:pStyle w:val="11"/>
        <w:widowControl/>
        <w:pBdr>
          <w:top w:val="none" w:color="1F1F1F" w:sz="0" w:space="0"/>
          <w:left w:val="none" w:color="1F1F1F" w:sz="0" w:space="0"/>
          <w:bottom w:val="none" w:color="1F1F1F" w:sz="0" w:space="0"/>
          <w:right w:val="none" w:color="1F1F1F" w:sz="0" w:space="0"/>
        </w:pBdr>
        <w:rPr>
          <w:rFonts w:ascii="Times New Roman" w:hAnsi="Times New Roman" w:eastAsia="宋体" w:cs="Times New Roman"/>
          <w:color w:val="1F1F1F"/>
          <w:sz w:val="24"/>
          <w:szCs w:val="24"/>
        </w:rPr>
      </w:pPr>
      <w:r>
        <w:rPr>
          <w:rStyle w:val="24"/>
          <w:b/>
          <w:bCs/>
        </w:rPr>
        <w:t>Agile Compatibility:</w:t>
      </w:r>
      <w:r>
        <w:rPr>
          <w:rFonts w:ascii="Times New Roman" w:hAnsi="Times New Roman" w:eastAsia="宋体" w:cs="Times New Roman"/>
          <w:color w:val="1F1F1F"/>
          <w:sz w:val="24"/>
          <w:szCs w:val="24"/>
          <w:bdr w:val="none" w:color="1F1F1F" w:sz="0" w:space="0"/>
        </w:rPr>
        <w:t xml:space="preserve"> The MoSCoW methodology aligns seamlessly with the ongoing process of Scrum backlog refinement. Items designated as "Must Have" are naturally mapped to the earliest Sprints, whereas "Could Have" features function as a strategic buffer that can be safely discarded if the team's development velocity proves to be lower than initially projected.</w:t>
      </w:r>
    </w:p>
    <w:p w14:paraId="6D755A6F">
      <w:pPr>
        <w:keepNext w:val="0"/>
        <w:keepLines w:val="0"/>
        <w:widowControl/>
        <w:numPr>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17" w:lineRule="atLeast"/>
        <w:ind w:right="0" w:rightChars="0"/>
        <w:rPr>
          <w:rFonts w:hint="default" w:ascii="sans-serif" w:hAnsi="sans-serif" w:eastAsia="sans-serif" w:cs="sans-serif"/>
          <w:color w:val="1F1F1F"/>
        </w:rPr>
      </w:pPr>
    </w:p>
    <w:p w14:paraId="73311C79">
      <w:pPr>
        <w:pStyle w:val="11"/>
        <w:widowControl/>
        <w:pBdr>
          <w:top w:val="none" w:color="1F1F1F" w:sz="0" w:space="0"/>
          <w:left w:val="none" w:color="1F1F1F" w:sz="0" w:space="0"/>
          <w:bottom w:val="none" w:color="1F1F1F" w:sz="0" w:space="0"/>
          <w:right w:val="none" w:color="1F1F1F" w:sz="0" w:space="0"/>
        </w:pBdr>
        <w:rPr>
          <w:rFonts w:ascii="Times New Roman" w:hAnsi="Times New Roman" w:eastAsia="宋体" w:cs="Times New Roman"/>
          <w:color w:val="1F1F1F"/>
          <w:sz w:val="24"/>
          <w:szCs w:val="24"/>
          <w:bdr w:val="none" w:color="1F1F1F" w:sz="0" w:space="0"/>
        </w:rPr>
      </w:pPr>
      <w:r>
        <w:rPr>
          <w:rFonts w:ascii="Times New Roman" w:hAnsi="Times New Roman" w:eastAsia="宋体" w:cs="Times New Roman"/>
          <w:color w:val="1F1F1F"/>
          <w:sz w:val="24"/>
          <w:szCs w:val="24"/>
          <w:bdr w:val="none" w:color="1F1F1F" w:sz="0" w:space="0"/>
        </w:rPr>
        <w:t>The actual prioritization process was highly collaborative in nature. Throughout Sprint Planning, the team engaged in discussions regarding each user story, subsequently voting on its appropriate MoSCoW classification based on a simple majority rule. Any internal disagreements were systematically addressed by the Scrum Master, who facilitated targeted discussions focusing on potential customer impact and technical dependency analysis.</w:t>
      </w:r>
    </w:p>
    <w:p w14:paraId="60E03213">
      <w:pPr>
        <w:pStyle w:val="11"/>
        <w:widowControl/>
        <w:pBdr>
          <w:top w:val="none" w:color="1F1F1F" w:sz="0" w:space="0"/>
          <w:left w:val="none" w:color="1F1F1F" w:sz="0" w:space="0"/>
          <w:bottom w:val="none" w:color="1F1F1F" w:sz="0" w:space="0"/>
          <w:right w:val="none" w:color="1F1F1F" w:sz="0" w:space="0"/>
        </w:pBdr>
        <w:rPr>
          <w:rFonts w:ascii="Times New Roman" w:hAnsi="Times New Roman" w:eastAsia="宋体" w:cs="Times New Roman"/>
          <w:color w:val="1F1F1F"/>
          <w:sz w:val="24"/>
          <w:szCs w:val="24"/>
          <w:bdr w:val="none" w:color="1F1F1F" w:sz="0" w:space="0"/>
        </w:rPr>
      </w:pPr>
    </w:p>
    <w:p w14:paraId="38524605">
      <w:pPr>
        <w:pStyle w:val="11"/>
        <w:widowControl/>
        <w:pBdr>
          <w:top w:val="none" w:color="1F1F1F" w:sz="0" w:space="0"/>
          <w:left w:val="none" w:color="1F1F1F" w:sz="0" w:space="0"/>
          <w:bottom w:val="none" w:color="1F1F1F" w:sz="0" w:space="0"/>
          <w:right w:val="none" w:color="1F1F1F" w:sz="0" w:space="0"/>
        </w:pBdr>
        <w:rPr>
          <w:rFonts w:ascii="Times New Roman" w:hAnsi="Times New Roman" w:eastAsia="宋体" w:cs="Times New Roman"/>
          <w:color w:val="1F1F1F"/>
          <w:sz w:val="24"/>
          <w:szCs w:val="24"/>
        </w:rPr>
      </w:pPr>
      <w:r>
        <w:rPr>
          <w:rStyle w:val="24"/>
          <w:b/>
          <w:bCs/>
        </w:rPr>
        <w:t>Example:</w:t>
      </w:r>
      <w:r>
        <w:rPr>
          <w:rFonts w:ascii="Times New Roman" w:hAnsi="Times New Roman" w:eastAsia="宋体" w:cs="Times New Roman"/>
          <w:color w:val="1F1F1F"/>
          <w:sz w:val="24"/>
          <w:szCs w:val="24"/>
          <w:bdr w:val="none" w:color="1F1F1F" w:sz="0" w:space="0"/>
        </w:rPr>
        <w:t xml:space="preserve"> User story US-012, detailing the AI skill-matching feature, was originally proposed as a "Must Have" requirement by a team member. However, following a rigorous dependency analysis, it was reclassified as a "Should Have". This decision was made because the feature necessitates a stable structure for both profile and job data, elements that were not scheduled for finalization until Sprint 2.</w:t>
      </w:r>
    </w:p>
    <w:p w14:paraId="15B537C0">
      <w:pPr>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120" w:afterAutospacing="0" w:line="17" w:lineRule="atLeast"/>
        <w:ind w:left="0" w:right="0"/>
        <w:rPr>
          <w:rFonts w:hint="default" w:ascii="sans-serif" w:hAnsi="sans-serif" w:eastAsia="sans-serif" w:cs="sans-serif"/>
          <w:color w:val="808080"/>
        </w:rPr>
      </w:pPr>
      <w:r>
        <w:rPr>
          <w:rFonts w:hint="default" w:ascii="sans-serif" w:hAnsi="sans-serif" w:eastAsia="sans-serif" w:cs="sans-serif"/>
          <w:color w:val="1F1F1F"/>
        </w:rPr>
        <w:pict>
          <v:rect id="_x0000_i1044" o:spt="1" style="height:1.5pt;width:432pt;" fillcolor="#808080" filled="t" stroked="f" coordsize="21600,21600" o:hr="t" o:hrstd="t" o:hrnoshade="t" o:hralign="center">
            <v:path/>
            <v:fill on="t" focussize="0,0"/>
            <v:stroke on="f"/>
            <v:imagedata o:title=""/>
            <o:lock v:ext="edit"/>
            <w10:wrap type="none"/>
            <w10:anchorlock/>
          </v:rect>
        </w:pict>
      </w:r>
    </w:p>
    <w:p w14:paraId="681B576E">
      <w:pPr>
        <w:pStyle w:val="3"/>
        <w:numPr>
          <w:ilvl w:val="0"/>
          <w:numId w:val="1"/>
        </w:numPr>
        <w:bidi w:val="0"/>
        <w:rPr>
          <w:b/>
          <w:bCs/>
          <w:color w:val="843F0B" w:themeColor="accent2" w:themeShade="80"/>
        </w:rPr>
      </w:pPr>
      <w:r>
        <w:rPr>
          <w:b/>
          <w:bCs/>
          <w:color w:val="843F0B" w:themeColor="accent2" w:themeShade="80"/>
        </w:rPr>
        <w:t xml:space="preserve">Estimation Method </w:t>
      </w:r>
    </w:p>
    <w:p w14:paraId="512C84FB">
      <w:pPr>
        <w:pStyle w:val="11"/>
        <w:widowControl/>
        <w:pBdr>
          <w:top w:val="none" w:color="1F1F1F" w:sz="0" w:space="0"/>
          <w:left w:val="none" w:color="1F1F1F" w:sz="0" w:space="0"/>
          <w:bottom w:val="none" w:color="1F1F1F" w:sz="0" w:space="0"/>
          <w:right w:val="none" w:color="1F1F1F" w:sz="0" w:space="0"/>
        </w:pBdr>
        <w:rPr>
          <w:rFonts w:ascii="Times New Roman" w:hAnsi="Times New Roman" w:eastAsia="宋体" w:cs="Times New Roman"/>
          <w:color w:val="1F1F1F"/>
          <w:sz w:val="24"/>
          <w:szCs w:val="24"/>
        </w:rPr>
      </w:pPr>
      <w:r>
        <w:rPr>
          <w:rFonts w:ascii="Times New Roman" w:hAnsi="Times New Roman" w:eastAsia="宋体" w:cs="Times New Roman"/>
          <w:color w:val="1F1F1F"/>
          <w:sz w:val="24"/>
          <w:szCs w:val="24"/>
          <w:bdr w:val="none" w:color="1F1F1F" w:sz="0" w:space="0"/>
        </w:rPr>
        <w:t>To quantify the effort required for each task, the team estimated Story Points utilizing the Planning Poker technique, incorporating a modified Fibonacci sequence (1, 2, 3, 5, 8, 13). This estimation protocol adhered to a structured four-step process:</w:t>
      </w:r>
    </w:p>
    <w:p w14:paraId="09AD3C00">
      <w:pPr>
        <w:pStyle w:val="11"/>
        <w:widowControl/>
        <w:pBdr>
          <w:top w:val="none" w:color="1F1F1F" w:sz="0" w:space="0"/>
          <w:left w:val="none" w:color="1F1F1F" w:sz="0" w:space="0"/>
          <w:bottom w:val="none" w:color="1F1F1F" w:sz="0" w:space="0"/>
          <w:right w:val="none" w:color="1F1F1F" w:sz="0" w:space="0"/>
        </w:pBdr>
        <w:rPr>
          <w:rFonts w:ascii="Times New Roman" w:hAnsi="Times New Roman" w:eastAsia="宋体" w:cs="Times New Roman"/>
          <w:color w:val="1F1F1F"/>
          <w:sz w:val="24"/>
          <w:szCs w:val="24"/>
        </w:rPr>
      </w:pPr>
      <w:r>
        <w:rPr>
          <w:rStyle w:val="24"/>
          <w:b/>
          <w:bCs/>
        </w:rPr>
        <w:t>1</w:t>
      </w:r>
      <w:r>
        <w:rPr>
          <w:rStyle w:val="24"/>
          <w:b/>
          <w:bCs/>
        </w:rPr>
        <w:t>.Story presentation:</w:t>
      </w:r>
      <w:r>
        <w:rPr>
          <w:rFonts w:ascii="Times New Roman" w:hAnsi="Times New Roman" w:eastAsia="宋体" w:cs="Times New Roman"/>
          <w:color w:val="1F1F1F"/>
          <w:sz w:val="24"/>
          <w:szCs w:val="24"/>
        </w:rPr>
        <w:t xml:space="preserve"> The Product Owner clarified each user story and its acceptance criteria to ensure a unified understanding across the entire team.</w:t>
      </w:r>
    </w:p>
    <w:p w14:paraId="67AD5D75">
      <w:pPr>
        <w:pStyle w:val="11"/>
        <w:widowControl/>
        <w:pBdr>
          <w:top w:val="none" w:color="1F1F1F" w:sz="0" w:space="0"/>
          <w:left w:val="none" w:color="1F1F1F" w:sz="0" w:space="0"/>
          <w:bottom w:val="none" w:color="1F1F1F" w:sz="0" w:space="0"/>
          <w:right w:val="none" w:color="1F1F1F" w:sz="0" w:space="0"/>
        </w:pBdr>
        <w:rPr>
          <w:rFonts w:ascii="Times New Roman" w:hAnsi="Times New Roman" w:eastAsia="宋体" w:cs="Times New Roman"/>
          <w:color w:val="1F1F1F"/>
          <w:sz w:val="24"/>
          <w:szCs w:val="24"/>
        </w:rPr>
      </w:pPr>
      <w:r>
        <w:rPr>
          <w:rStyle w:val="24"/>
          <w:b/>
          <w:bCs/>
        </w:rPr>
        <w:t xml:space="preserve">2.Independent estimation: </w:t>
      </w:r>
      <w:r>
        <w:rPr>
          <w:rFonts w:ascii="Times New Roman" w:hAnsi="Times New Roman" w:eastAsia="宋体" w:cs="Times New Roman"/>
          <w:color w:val="1F1F1F"/>
          <w:sz w:val="24"/>
          <w:szCs w:val="24"/>
        </w:rPr>
        <w:t>Members privately selected Fibonacci cards to assess the story's overall complexity, factoring in required effort, inherent risk, and potential uncertainty.</w:t>
      </w:r>
    </w:p>
    <w:p w14:paraId="0B22BB8E">
      <w:pPr>
        <w:pStyle w:val="11"/>
        <w:widowControl/>
        <w:pBdr>
          <w:top w:val="none" w:color="1F1F1F" w:sz="0" w:space="0"/>
          <w:left w:val="none" w:color="1F1F1F" w:sz="0" w:space="0"/>
          <w:bottom w:val="none" w:color="1F1F1F" w:sz="0" w:space="0"/>
          <w:right w:val="none" w:color="1F1F1F" w:sz="0" w:space="0"/>
        </w:pBdr>
        <w:rPr>
          <w:rFonts w:ascii="Times New Roman" w:hAnsi="Times New Roman" w:eastAsia="宋体" w:cs="Times New Roman"/>
          <w:color w:val="1F1F1F"/>
          <w:sz w:val="24"/>
          <w:szCs w:val="24"/>
        </w:rPr>
      </w:pPr>
      <w:r>
        <w:rPr>
          <w:rStyle w:val="24"/>
          <w:b/>
          <w:bCs/>
        </w:rPr>
        <w:t xml:space="preserve">3.Collective review: </w:t>
      </w:r>
      <w:r>
        <w:rPr>
          <w:rFonts w:ascii="Times New Roman" w:hAnsi="Times New Roman" w:eastAsia="宋体" w:cs="Times New Roman"/>
          <w:color w:val="1F1F1F"/>
          <w:sz w:val="24"/>
          <w:szCs w:val="24"/>
        </w:rPr>
        <w:t>Cards were revealed simultaneously. Individuals who provided outlier estimates explained their reasoning, and the team re-voted until consensus was achieved.</w:t>
      </w:r>
    </w:p>
    <w:p w14:paraId="43DFD88F">
      <w:pPr>
        <w:pStyle w:val="11"/>
        <w:widowControl/>
        <w:pBdr>
          <w:top w:val="none" w:color="1F1F1F" w:sz="0" w:space="0"/>
          <w:left w:val="none" w:color="1F1F1F" w:sz="0" w:space="0"/>
          <w:bottom w:val="none" w:color="1F1F1F" w:sz="0" w:space="0"/>
          <w:right w:val="none" w:color="1F1F1F" w:sz="0" w:space="0"/>
        </w:pBdr>
        <w:rPr>
          <w:rFonts w:ascii="Times New Roman" w:hAnsi="Times New Roman" w:eastAsia="宋体" w:cs="Times New Roman"/>
          <w:color w:val="1F1F1F"/>
          <w:sz w:val="24"/>
          <w:szCs w:val="24"/>
        </w:rPr>
      </w:pPr>
      <w:r>
        <w:rPr>
          <w:rStyle w:val="24"/>
          <w:b/>
          <w:bCs/>
        </w:rPr>
        <w:t>4.Consensus recording:</w:t>
      </w:r>
      <w:r>
        <w:rPr>
          <w:rFonts w:ascii="Times New Roman" w:hAnsi="Times New Roman" w:eastAsia="宋体" w:cs="Times New Roman"/>
          <w:color w:val="1F1F1F"/>
          <w:sz w:val="24"/>
          <w:szCs w:val="24"/>
        </w:rPr>
        <w:t xml:space="preserve"> Final Story Points were officially documented within the Product Backlog.</w:t>
      </w:r>
    </w:p>
    <w:p w14:paraId="3821B6B6">
      <w:pPr>
        <w:pStyle w:val="11"/>
        <w:widowControl/>
        <w:pBdr>
          <w:top w:val="none" w:color="1F1F1F" w:sz="0" w:space="0"/>
          <w:left w:val="none" w:color="1F1F1F" w:sz="0" w:space="0"/>
          <w:bottom w:val="none" w:color="1F1F1F" w:sz="0" w:space="0"/>
          <w:right w:val="none" w:color="1F1F1F" w:sz="0" w:space="0"/>
        </w:pBdr>
        <w:rPr>
          <w:rFonts w:ascii="Times New Roman" w:hAnsi="Times New Roman" w:eastAsia="宋体" w:cs="Times New Roman"/>
          <w:color w:val="1F1F1F"/>
          <w:sz w:val="24"/>
          <w:szCs w:val="24"/>
        </w:rPr>
      </w:pPr>
      <w:r>
        <w:rPr>
          <w:rFonts w:ascii="Times New Roman" w:hAnsi="Times New Roman" w:eastAsia="宋体" w:cs="Times New Roman"/>
          <w:color w:val="1F1F1F"/>
          <w:sz w:val="24"/>
          <w:szCs w:val="24"/>
          <w:bdr w:val="none" w:color="1F1F1F" w:sz="0" w:space="0"/>
        </w:rPr>
        <w:t>To establish a baseline for this process, the team utilized user story US-002 (MO Login) as their primary reference story for calibration. This specific story was allocated 2 Story Points, representing a straightforward feature with minimal uncertainty. More complex stories, such as US-012 (AI Skill Matching, assigned 8 points), were estimated relative to this established baseline.</w:t>
      </w:r>
    </w:p>
    <w:p w14:paraId="02262447">
      <w:pPr>
        <w:pStyle w:val="11"/>
        <w:widowControl/>
        <w:pBdr>
          <w:top w:val="none" w:color="1F1F1F" w:sz="0" w:space="0"/>
          <w:left w:val="none" w:color="1F1F1F" w:sz="0" w:space="0"/>
          <w:bottom w:val="none" w:color="1F1F1F" w:sz="0" w:space="0"/>
          <w:right w:val="none" w:color="1F1F1F" w:sz="0" w:space="0"/>
        </w:pBdr>
        <w:rPr>
          <w:rFonts w:ascii="Times New Roman" w:hAnsi="Times New Roman" w:eastAsia="宋体" w:cs="Times New Roman"/>
          <w:color w:val="1F1F1F"/>
          <w:sz w:val="24"/>
          <w:szCs w:val="24"/>
        </w:rPr>
      </w:pPr>
      <w:r>
        <w:rPr>
          <w:rFonts w:ascii="Times New Roman" w:hAnsi="Times New Roman" w:eastAsia="宋体" w:cs="Times New Roman"/>
          <w:color w:val="1F1F1F"/>
          <w:sz w:val="24"/>
          <w:szCs w:val="24"/>
          <w:bdr w:val="none" w:color="1F1F1F" w:sz="0" w:space="0"/>
        </w:rPr>
        <w:t>For the inaugural sprint, the team projected an initial velocity estimate of 25 Story Points, based on each member contributing approximately 10 hours per week to the project. The strategic decision to employ relative estimation via Story Points, as opposed to traditional hour-based tracking, was highly deliberate. This approach inherently accommodates the uncertainty commonly found in software development, granting the team the flexibility to continuously refine their velocity projections as empirical data becomes available in subsequent Sprints.</w:t>
      </w:r>
    </w:p>
    <w:p w14:paraId="5DFA9774">
      <w:pPr>
        <w:pStyle w:val="2"/>
        <w:widowControl/>
        <w:rPr>
          <w:rStyle w:val="24"/>
          <w:b/>
          <w:bCs/>
          <w:color w:val="auto"/>
        </w:rPr>
      </w:pPr>
      <w:r>
        <w:rPr>
          <w:rStyle w:val="24"/>
          <w:b/>
          <w:bCs/>
          <w:color w:val="auto"/>
        </w:rPr>
        <w:t xml:space="preserve">End of Report </w:t>
      </w:r>
    </w:p>
    <w:p w14:paraId="1F38CBFC">
      <w:pPr>
        <w:keepNext w:val="0"/>
        <w:keepLines w:val="0"/>
        <w:widowControl/>
        <w:suppressLineNumbers w:val="0"/>
        <w:pBdr>
          <w:top w:val="none" w:color="auto" w:sz="0" w:space="0"/>
          <w:left w:val="none" w:color="auto" w:sz="0" w:space="0"/>
          <w:bottom w:val="none" w:color="auto" w:sz="0" w:space="0"/>
          <w:right w:val="none" w:color="auto" w:sz="0" w:space="0"/>
        </w:pBdr>
        <w:bidi w:val="0"/>
        <w:spacing w:before="0" w:beforeAutospacing="0" w:after="120" w:afterAutospacing="0" w:line="17" w:lineRule="atLeast"/>
        <w:ind w:left="0" w:right="0"/>
      </w:pPr>
      <w:r>
        <w:rPr>
          <w:rFonts w:hint="default" w:ascii="sans-serif" w:hAnsi="sans-serif" w:eastAsia="sans-serif" w:cs="sans-serif"/>
          <w:color w:val="1F1F1F"/>
        </w:rPr>
        <w:pict>
          <v:rect id="_x0000_i1045" o:spt="1" style="height:1.5pt;width:432pt;" fillcolor="#808080" filled="t" stroked="f" coordsize="21600,21600" o:hr="t" o:hrstd="t" o:hrnoshade="t" o:hralign="center">
            <v:path/>
            <v:fill on="t" focussize="0,0"/>
            <v:stroke on="f"/>
            <v:imagedata o:title=""/>
            <o:lock v:ext="edit"/>
            <w10:wrap type="none"/>
            <w10:anchorlock/>
          </v:rect>
        </w:pict>
      </w:r>
    </w:p>
    <w:sectPr>
      <w:headerReference r:id="rId3" w:type="default"/>
      <w:footerReference r:id="rId4"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sans-serif">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51C787">
    <w:pPr>
      <w:jc w:val="center"/>
    </w:pPr>
    <w:r>
      <w:rPr>
        <w:rFonts w:ascii="Arial" w:hAnsi="Arial" w:eastAsia="Arial" w:cs="Arial"/>
        <w:color w:val="888888"/>
        <w:sz w:val="18"/>
        <w:szCs w:val="18"/>
      </w:rPr>
      <w:t xml:space="preserve">Page </w:t>
    </w:r>
    <w:r>
      <w:rPr>
        <w:rFonts w:ascii="Arial" w:hAnsi="Arial" w:eastAsia="Arial" w:cs="Arial"/>
        <w:color w:val="888888"/>
        <w:sz w:val="18"/>
        <w:szCs w:val="18"/>
      </w:rPr>
      <w:fldChar w:fldCharType="begin"/>
    </w:r>
    <w:r>
      <w:rPr>
        <w:rFonts w:ascii="Arial" w:hAnsi="Arial" w:eastAsia="Arial" w:cs="Arial"/>
        <w:color w:val="888888"/>
        <w:sz w:val="18"/>
        <w:szCs w:val="18"/>
      </w:rPr>
      <w:instrText xml:space="preserve">PAGE</w:instrText>
    </w:r>
    <w:r>
      <w:rPr>
        <w:rFonts w:ascii="Arial" w:hAnsi="Arial" w:eastAsia="Arial" w:cs="Arial"/>
        <w:color w:val="888888"/>
        <w:sz w:val="18"/>
        <w:szCs w:val="18"/>
      </w:rPr>
      <w:fldChar w:fldCharType="separate"/>
    </w:r>
    <w:r>
      <w:rPr>
        <w:rFonts w:ascii="Arial" w:hAnsi="Arial" w:eastAsia="Arial" w:cs="Arial"/>
        <w:color w:val="888888"/>
        <w:sz w:val="18"/>
        <w:szCs w:val="18"/>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B8D497">
    <w:pPr>
      <w:jc w:val="right"/>
    </w:pPr>
    <w:r>
      <w:rPr>
        <w:rFonts w:ascii="Arial" w:hAnsi="Arial" w:eastAsia="Arial" w:cs="Arial"/>
        <w:i/>
        <w:iCs/>
        <w:color w:val="888888"/>
        <w:sz w:val="18"/>
        <w:szCs w:val="18"/>
      </w:rPr>
      <w:t>EBU6304 — Group XXX — Iteration 1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E2CFA0"/>
    <w:multiLevelType w:val="singleLevel"/>
    <w:tmpl w:val="9FE2CFA0"/>
    <w:lvl w:ilvl="0" w:tentative="0">
      <w:start w:val="1"/>
      <w:numFmt w:val="decimal"/>
      <w:suff w:val="space"/>
      <w:lvlText w:val="%1."/>
      <w:lvlJc w:val="left"/>
      <w:pPr>
        <w:ind w:left="0" w:firstLine="0"/>
      </w:pPr>
      <w:rPr>
        <w:rFonts w:hint="default"/>
      </w:rPr>
    </w:lvl>
  </w:abstractNum>
  <w:abstractNum w:abstractNumId="1">
    <w:nsid w:val="528D0ABD"/>
    <w:multiLevelType w:val="singleLevel"/>
    <w:tmpl w:val="528D0ABD"/>
    <w:lvl w:ilvl="0" w:tentative="0">
      <w:start w:val="1"/>
      <w:numFmt w:val="decimal"/>
      <w:suff w:val="space"/>
      <w:lvlText w:val="1.%1"/>
      <w:lvlJc w:val="left"/>
      <w:pPr>
        <w:ind w:left="0" w:firstLine="482"/>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128E3EBE"/>
    <w:rsid w:val="164B3BB5"/>
    <w:rsid w:val="4EE206B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Arial" w:hAnsi="Arial" w:eastAsia="Arial" w:cs="Arial"/>
      <w:sz w:val="22"/>
      <w:szCs w:val="22"/>
    </w:rPr>
  </w:style>
  <w:style w:type="paragraph" w:styleId="2">
    <w:name w:val="heading 1"/>
    <w:next w:val="1"/>
    <w:qFormat/>
    <w:uiPriority w:val="0"/>
    <w:pPr>
      <w:widowControl w:val="0"/>
      <w:adjustRightInd w:val="0"/>
      <w:spacing w:before="320" w:line="300" w:lineRule="auto"/>
      <w:jc w:val="both"/>
      <w:outlineLvl w:val="0"/>
    </w:pPr>
    <w:rPr>
      <w:rFonts w:ascii="Times New Roman" w:hAnsi="Times New Roman" w:eastAsia="黑体" w:cs="Times New Roman"/>
      <w:color w:val="000000"/>
      <w:kern w:val="44"/>
      <w:sz w:val="32"/>
      <w:szCs w:val="44"/>
      <w:lang w:bidi="ar-SA"/>
    </w:rPr>
  </w:style>
  <w:style w:type="paragraph" w:styleId="3">
    <w:name w:val="heading 2"/>
    <w:next w:val="1"/>
    <w:qFormat/>
    <w:uiPriority w:val="0"/>
    <w:pPr>
      <w:widowControl w:val="0"/>
      <w:adjustRightInd w:val="0"/>
      <w:spacing w:before="280" w:line="300" w:lineRule="auto"/>
      <w:jc w:val="both"/>
      <w:outlineLvl w:val="1"/>
    </w:pPr>
    <w:rPr>
      <w:rFonts w:ascii="Times New Roman" w:hAnsi="Times New Roman" w:eastAsia="黑体" w:cs="Times New Roman"/>
      <w:kern w:val="2"/>
      <w:sz w:val="30"/>
      <w:szCs w:val="32"/>
      <w:lang w:bidi="ar-SA"/>
    </w:rPr>
  </w:style>
  <w:style w:type="paragraph" w:styleId="4">
    <w:name w:val="heading 3"/>
    <w:next w:val="1"/>
    <w:link w:val="24"/>
    <w:qFormat/>
    <w:uiPriority w:val="0"/>
    <w:pPr>
      <w:keepNext/>
      <w:keepLines/>
      <w:widowControl w:val="0"/>
      <w:adjustRightInd w:val="0"/>
      <w:spacing w:before="240" w:line="300" w:lineRule="auto"/>
      <w:jc w:val="both"/>
      <w:outlineLvl w:val="2"/>
    </w:pPr>
    <w:rPr>
      <w:rFonts w:ascii="Times New Roman" w:hAnsi="Times New Roman" w:eastAsia="黑体" w:cs="Times New Roman"/>
      <w:kern w:val="2"/>
      <w:sz w:val="30"/>
      <w:szCs w:val="24"/>
      <w:lang w:bidi="ar-SA"/>
    </w:rPr>
  </w:style>
  <w:style w:type="paragraph" w:styleId="5">
    <w:name w:val="heading 4"/>
    <w:next w:val="1"/>
    <w:qFormat/>
    <w:uiPriority w:val="0"/>
    <w:pPr>
      <w:keepNext/>
      <w:keepLines/>
      <w:widowControl w:val="0"/>
      <w:adjustRightInd w:val="0"/>
      <w:spacing w:before="200" w:line="300" w:lineRule="auto"/>
      <w:jc w:val="both"/>
      <w:outlineLvl w:val="3"/>
    </w:pPr>
    <w:rPr>
      <w:rFonts w:ascii="Times New Roman" w:hAnsi="Times New Roman" w:eastAsia="黑体" w:cs="Times New Roman"/>
      <w:bCs/>
      <w:kern w:val="2"/>
      <w:sz w:val="28"/>
      <w:szCs w:val="28"/>
      <w:lang w:bidi="ar-SA"/>
    </w:rPr>
  </w:style>
  <w:style w:type="paragraph" w:styleId="6">
    <w:name w:val="heading 5"/>
    <w:next w:val="1"/>
    <w:qFormat/>
    <w:uiPriority w:val="0"/>
    <w:pPr>
      <w:keepNext/>
      <w:keepLines/>
      <w:widowControl w:val="0"/>
      <w:adjustRightInd w:val="0"/>
      <w:spacing w:before="160" w:line="300" w:lineRule="auto"/>
      <w:jc w:val="both"/>
      <w:outlineLvl w:val="4"/>
    </w:pPr>
    <w:rPr>
      <w:rFonts w:ascii="Times New Roman" w:hAnsi="Times New Roman" w:eastAsia="黑体" w:cs="Times New Roman"/>
      <w:bCs/>
      <w:kern w:val="2"/>
      <w:sz w:val="28"/>
      <w:szCs w:val="28"/>
      <w:lang w:bidi="ar-SA"/>
    </w:rPr>
  </w:style>
  <w:style w:type="paragraph" w:styleId="7">
    <w:name w:val="heading 6"/>
    <w:next w:val="1"/>
    <w:qFormat/>
    <w:uiPriority w:val="0"/>
    <w:pPr>
      <w:keepNext/>
      <w:keepLines/>
      <w:widowControl w:val="0"/>
      <w:adjustRightInd w:val="0"/>
      <w:spacing w:before="120" w:line="300" w:lineRule="auto"/>
      <w:jc w:val="both"/>
      <w:outlineLvl w:val="5"/>
    </w:pPr>
    <w:rPr>
      <w:rFonts w:ascii="Times New Roman" w:hAnsi="Times New Roman" w:eastAsia="黑体" w:cs="Times New Roman"/>
      <w:bCs/>
      <w:kern w:val="2"/>
      <w:sz w:val="28"/>
      <w:szCs w:val="24"/>
      <w:lang w:bidi="ar-SA"/>
    </w:rPr>
  </w:style>
  <w:style w:type="paragraph" w:styleId="8">
    <w:name w:val="heading 7"/>
    <w:next w:val="1"/>
    <w:semiHidden/>
    <w:unhideWhenUsed/>
    <w:qFormat/>
    <w:uiPriority w:val="0"/>
    <w:pPr>
      <w:keepNext/>
      <w:keepLines/>
      <w:widowControl w:val="0"/>
      <w:adjustRightInd w:val="0"/>
      <w:spacing w:before="120" w:line="300" w:lineRule="auto"/>
      <w:jc w:val="both"/>
      <w:outlineLvl w:val="6"/>
    </w:pPr>
    <w:rPr>
      <w:rFonts w:ascii="Times New Roman" w:hAnsi="Times New Roman" w:eastAsia="黑体" w:cs="Times New Roman"/>
      <w:bCs/>
      <w:kern w:val="2"/>
      <w:sz w:val="24"/>
      <w:szCs w:val="24"/>
      <w:lang w:bidi="ar-SA"/>
    </w:rPr>
  </w:style>
  <w:style w:type="paragraph" w:styleId="9">
    <w:name w:val="heading 8"/>
    <w:next w:val="1"/>
    <w:semiHidden/>
    <w:unhideWhenUsed/>
    <w:qFormat/>
    <w:uiPriority w:val="0"/>
    <w:pPr>
      <w:keepNext/>
      <w:keepLines/>
      <w:widowControl w:val="0"/>
      <w:adjustRightInd w:val="0"/>
      <w:spacing w:before="120" w:line="300" w:lineRule="auto"/>
      <w:jc w:val="both"/>
      <w:outlineLvl w:val="7"/>
    </w:pPr>
    <w:rPr>
      <w:rFonts w:ascii="Times New Roman" w:hAnsi="Times New Roman" w:eastAsia="黑体" w:cs="Times New Roman"/>
      <w:kern w:val="2"/>
      <w:sz w:val="24"/>
      <w:szCs w:val="24"/>
      <w:lang w:bidi="ar-SA"/>
    </w:rPr>
  </w:style>
  <w:style w:type="paragraph" w:styleId="10">
    <w:name w:val="heading 9"/>
    <w:next w:val="1"/>
    <w:semiHidden/>
    <w:unhideWhenUsed/>
    <w:qFormat/>
    <w:uiPriority w:val="0"/>
    <w:pPr>
      <w:keepNext/>
      <w:keepLines/>
      <w:widowControl w:val="0"/>
      <w:adjustRightInd w:val="0"/>
      <w:spacing w:before="120" w:line="300" w:lineRule="auto"/>
      <w:jc w:val="both"/>
      <w:outlineLvl w:val="8"/>
    </w:pPr>
    <w:rPr>
      <w:rFonts w:ascii="Times New Roman" w:hAnsi="Times New Roman" w:eastAsia="黑体" w:cs="Times New Roman"/>
      <w:kern w:val="2"/>
      <w:sz w:val="21"/>
      <w:szCs w:val="21"/>
      <w:lang w:bidi="ar-SA"/>
    </w:rPr>
  </w:style>
  <w:style w:type="character" w:default="1" w:styleId="17">
    <w:name w:val="Default Paragraph Font"/>
    <w:semiHidden/>
    <w:uiPriority w:val="0"/>
  </w:style>
  <w:style w:type="table" w:default="1" w:styleId="16">
    <w:name w:val="Normal Table"/>
    <w:semiHidden/>
    <w:qFormat/>
    <w:uiPriority w:val="0"/>
    <w:tblPr>
      <w:tblCellMar>
        <w:top w:w="0" w:type="dxa"/>
        <w:left w:w="108" w:type="dxa"/>
        <w:bottom w:w="0" w:type="dxa"/>
        <w:right w:w="108" w:type="dxa"/>
      </w:tblCellMar>
    </w:tblPr>
  </w:style>
  <w:style w:type="paragraph" w:styleId="11">
    <w:name w:val="Body Text"/>
    <w:uiPriority w:val="0"/>
    <w:pPr>
      <w:widowControl w:val="0"/>
      <w:adjustRightInd w:val="0"/>
      <w:spacing w:before="100" w:after="100" w:afterLines="0" w:afterAutospacing="0" w:line="300" w:lineRule="auto"/>
      <w:ind w:firstLine="1044" w:firstLineChars="200"/>
      <w:jc w:val="both"/>
    </w:pPr>
    <w:rPr>
      <w:rFonts w:ascii="Times New Roman" w:hAnsi="Times New Roman" w:eastAsia="宋体" w:cs="Times New Roman"/>
      <w:kern w:val="2"/>
      <w:sz w:val="24"/>
      <w:szCs w:val="24"/>
      <w:lang w:bidi="ar-SA"/>
    </w:rPr>
  </w:style>
  <w:style w:type="paragraph" w:styleId="12">
    <w:name w:val="Subtitle"/>
    <w:qFormat/>
    <w:uiPriority w:val="0"/>
    <w:pPr>
      <w:widowControl w:val="0"/>
      <w:adjustRightInd w:val="0"/>
      <w:spacing w:before="100" w:after="100" w:line="240" w:lineRule="auto"/>
      <w:jc w:val="center"/>
      <w:outlineLvl w:val="9"/>
    </w:pPr>
    <w:rPr>
      <w:rFonts w:ascii="Times New Roman" w:hAnsi="Times New Roman" w:eastAsia="黑体" w:cs="Times New Roman"/>
      <w:kern w:val="28"/>
      <w:sz w:val="32"/>
      <w:szCs w:val="24"/>
      <w:lang w:bidi="ar-SA"/>
    </w:rPr>
  </w:style>
  <w:style w:type="paragraph" w:styleId="13">
    <w:name w:val="footnote text"/>
    <w:link w:val="23"/>
    <w:semiHidden/>
    <w:unhideWhenUsed/>
    <w:uiPriority w:val="99"/>
    <w:pPr>
      <w:spacing w:after="0" w:line="240" w:lineRule="auto"/>
    </w:pPr>
    <w:rPr>
      <w:rFonts w:ascii="Arial" w:hAnsi="Arial" w:eastAsia="Arial" w:cs="Arial"/>
      <w:sz w:val="20"/>
      <w:szCs w:val="20"/>
    </w:rPr>
  </w:style>
  <w:style w:type="paragraph" w:styleId="14">
    <w:name w:val="Normal (Web)"/>
    <w:basedOn w:val="1"/>
    <w:uiPriority w:val="0"/>
    <w:pPr>
      <w:spacing w:before="0" w:beforeAutospacing="1" w:after="0" w:afterAutospacing="1"/>
      <w:ind w:left="0" w:right="0"/>
      <w:jc w:val="left"/>
    </w:pPr>
    <w:rPr>
      <w:kern w:val="0"/>
      <w:sz w:val="24"/>
      <w:lang w:val="en-US" w:eastAsia="zh-CN" w:bidi="ar"/>
    </w:rPr>
  </w:style>
  <w:style w:type="paragraph" w:styleId="15">
    <w:name w:val="Title"/>
    <w:qFormat/>
    <w:uiPriority w:val="0"/>
    <w:pPr>
      <w:widowControl w:val="0"/>
      <w:adjustRightInd w:val="0"/>
      <w:spacing w:before="100" w:beforeAutospacing="0" w:after="100" w:afterAutospacing="0" w:line="240" w:lineRule="auto"/>
      <w:jc w:val="center"/>
      <w:outlineLvl w:val="9"/>
    </w:pPr>
    <w:rPr>
      <w:rFonts w:ascii="Times New Roman" w:hAnsi="Times New Roman" w:eastAsia="黑体" w:cs="Times New Roman"/>
      <w:kern w:val="2"/>
      <w:sz w:val="36"/>
      <w:szCs w:val="24"/>
      <w:lang w:bidi="ar-SA"/>
    </w:rPr>
  </w:style>
  <w:style w:type="character" w:styleId="18">
    <w:name w:val="Strong"/>
    <w:basedOn w:val="17"/>
    <w:qFormat/>
    <w:uiPriority w:val="0"/>
    <w:rPr>
      <w:b/>
    </w:rPr>
  </w:style>
  <w:style w:type="character" w:styleId="19">
    <w:name w:val="Hyperlink"/>
    <w:unhideWhenUsed/>
    <w:qFormat/>
    <w:uiPriority w:val="99"/>
    <w:rPr>
      <w:color w:val="0563C1"/>
      <w:u w:val="single"/>
    </w:rPr>
  </w:style>
  <w:style w:type="character" w:styleId="20">
    <w:name w:val="HTML Code"/>
    <w:basedOn w:val="17"/>
    <w:uiPriority w:val="0"/>
    <w:rPr>
      <w:rFonts w:ascii="Courier New" w:hAnsi="Courier New"/>
      <w:sz w:val="20"/>
    </w:rPr>
  </w:style>
  <w:style w:type="character" w:styleId="21">
    <w:name w:val="footnote reference"/>
    <w:semiHidden/>
    <w:unhideWhenUsed/>
    <w:uiPriority w:val="99"/>
    <w:rPr>
      <w:vertAlign w:val="superscript"/>
    </w:rPr>
  </w:style>
  <w:style w:type="paragraph" w:styleId="22">
    <w:name w:val="List Paragraph"/>
    <w:qFormat/>
    <w:uiPriority w:val="0"/>
    <w:rPr>
      <w:rFonts w:ascii="Arial" w:hAnsi="Arial" w:eastAsia="Arial" w:cs="Arial"/>
      <w:sz w:val="22"/>
      <w:szCs w:val="22"/>
    </w:rPr>
  </w:style>
  <w:style w:type="character" w:customStyle="1" w:styleId="23">
    <w:name w:val="Footnote Text Char"/>
    <w:link w:val="13"/>
    <w:semiHidden/>
    <w:unhideWhenUsed/>
    <w:uiPriority w:val="99"/>
    <w:rPr>
      <w:sz w:val="20"/>
      <w:szCs w:val="20"/>
    </w:rPr>
  </w:style>
  <w:style w:type="character" w:customStyle="1" w:styleId="24">
    <w:name w:val="标题 3 Char"/>
    <w:link w:val="4"/>
    <w:uiPriority w:val="0"/>
    <w:rPr>
      <w:rFonts w:ascii="Times New Roman" w:hAnsi="Times New Roman" w:eastAsia="黑体" w:cs="Times New Roman"/>
      <w:kern w:val="2"/>
      <w:sz w:val="30"/>
      <w:szCs w:val="24"/>
      <w:lang w:bidi="ar-SA"/>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5</Pages>
  <Words>960</Words>
  <Characters>5978</Characters>
  <TotalTime>19</TotalTime>
  <ScaleCrop>false</ScaleCrop>
  <LinksUpToDate>false</LinksUpToDate>
  <CharactersWithSpaces>6899</CharactersWithSpaces>
  <Application>WPS Office_12.1.0.25225_F1E327BC-269C-435d-A152-05C5408002CA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2026-03-13T13:22:00Z</dcterms:created>
  <dc:creator>Un-named</dc:creator>
  <cp:lastModifiedBy>周长阳</cp:lastModifiedBy>
  <dcterms:modified xsi:type="dcterms:W3CDTF">2026-03-20T14:56:50Z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eyJoZGlkIjoiYWYwZjZlZjg0Y2FhZWUzNzZjYTQ5ZTRjOWE4Mzk1ZDUiLCJ1c2VySWQiOiIxNzYzODUwODU4In0=</vt:lpwstr>
  </property>
  <property fmtid="{D5CDD505-2E9C-101B-9397-08002B2CF9AE}" pid="3" name="KSOProductBuildVer">
    <vt:lpwstr>2052-12.1.0.25225</vt:lpwstr>
  </property>
  <property fmtid="{D5CDD505-2E9C-101B-9397-08002B2CF9AE}" pid="4" name="ICV">
    <vt:lpwstr>31487FD91B2748AD9BB74885BB759C69_12</vt:lpwstr>
  </property>
</Properties>
</file>