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480BD">
      <w:pPr>
        <w:spacing w:after="80" w:line="360" w:lineRule="auto"/>
        <w:ind w:firstLine="480"/>
        <w:rPr>
          <w:rFonts w:ascii="Times New Roman" w:hAnsi="Times New Roman" w:eastAsia="宋体"/>
          <w:b w:val="0"/>
          <w:sz w:val="21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05780" cy="2760345"/>
            <wp:effectExtent l="0" t="0" r="2540" b="13335"/>
            <wp:docPr id="1" name="图片 1" descr="fig1_content_type_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1_content_type_sha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603875" cy="3013710"/>
            <wp:effectExtent l="0" t="0" r="4445" b="3810"/>
            <wp:docPr id="2" name="图片 2" descr="fig5_stacked_area_absol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5_stacked_area_absolu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5C2048">
      <w:pPr>
        <w:spacing w:before="200" w:after="80" w:line="360" w:lineRule="auto"/>
        <w:ind w:firstLine="720" w:firstLineChars="0"/>
        <w:rPr>
          <w:rFonts w:hint="eastAsia"/>
          <w:lang w:eastAsia="zh-CN"/>
        </w:rPr>
      </w:pPr>
      <w:r>
        <w:rPr>
          <w:rFonts w:ascii="Times New Roman" w:hAnsi="Times New Roman" w:eastAsia="宋体"/>
          <w:b w:val="0"/>
          <w:sz w:val="21"/>
        </w:rPr>
        <w:t>去世前 8 周周均帖量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较少</w:t>
      </w:r>
      <w:r>
        <w:rPr>
          <w:rFonts w:ascii="Times New Roman" w:hAnsi="Times New Roman" w:eastAsia="宋体"/>
          <w:b w:val="0"/>
          <w:sz w:val="21"/>
        </w:rPr>
        <w:t xml:space="preserve">，舆论场以借势营销（W12 占 85.5%）和教育观点（约 8%–12%）为主。2026-03-24 去世当周（W13），周总量由 W12 的 1134 条骤升至 10804 条（约 9.5 倍），悼念帖从零跃至 4714 条、占比 43.6%，成为当周最大单类；但营销（18.8%）、其他（23.8%）与教育（12.4%）也同步大幅增加，玩梗仍仅 1.4%（146 条）——死亡事件首先提升的是人物整体显著性，而非只触发悼念。此后总量逐周衰减至 W18 的 1562 条谷底，悼念衰减最快（43.6%→10.1%）；教育则在 W14–W16 反超悼念、于 W15–W16 达到约 26% 的峰值，对应整理生前观点、搬运历史视频与高考倒计时需求驱动的"遗产消费"型教育内容。W18 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各类发帖</w:t>
      </w:r>
      <w:r>
        <w:rPr>
          <w:rFonts w:ascii="Times New Roman" w:hAnsi="Times New Roman" w:eastAsia="宋体"/>
          <w:b w:val="0"/>
          <w:sz w:val="21"/>
        </w:rPr>
        <w:t>触底后，W19 总量止跌，玩梗占比（8.6%）首次与悼念（8.6%）持平——构成交叉点。随后玩梗进入骤升阶段：W20 占比 34.7%、首次成为第一大类</w:t>
      </w:r>
      <w:r>
        <w:rPr>
          <w:rFonts w:hint="eastAsia" w:ascii="Times New Roman" w:hAnsi="Times New Roman" w:eastAsia="宋体"/>
          <w:b w:val="0"/>
          <w:sz w:val="21"/>
          <w:lang w:eastAsia="zh-CN"/>
        </w:rPr>
        <w:t>，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并不断攀升</w:t>
      </w:r>
      <w:r>
        <w:rPr>
          <w:rFonts w:ascii="Times New Roman" w:hAnsi="Times New Roman" w:eastAsia="宋体"/>
          <w:b w:val="0"/>
          <w:sz w:val="21"/>
        </w:rPr>
        <w:t>。总量随之形成第二波增长（W20 2350 → W21 4024 → W22 5108），其绝对量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达到</w:t>
      </w:r>
      <w:r>
        <w:rPr>
          <w:rFonts w:ascii="Times New Roman" w:hAnsi="Times New Roman" w:eastAsia="宋体"/>
          <w:b w:val="0"/>
          <w:sz w:val="21"/>
        </w:rPr>
        <w:t>第一峰的 47%，但驱动主类完全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不同</w:t>
      </w:r>
      <w:r>
        <w:rPr>
          <w:rFonts w:ascii="Times New Roman" w:hAnsi="Times New Roman" w:eastAsia="宋体"/>
          <w:b w:val="0"/>
          <w:sz w:val="21"/>
        </w:rPr>
        <w:t>：第一峰由悼念（43.6%）主导，第二峰由玩梗（63.0%）主导，且雪碧、巧乐兹等梗符号已渗入纪念表达，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此类与张雪峰去世原因相关的模因</w:t>
      </w:r>
      <w:r>
        <w:rPr>
          <w:rFonts w:ascii="Times New Roman" w:hAnsi="Times New Roman" w:eastAsia="宋体"/>
          <w:b w:val="0"/>
          <w:sz w:val="21"/>
        </w:rPr>
        <w:t>使后期表征呈现</w:t>
      </w:r>
      <w:r>
        <w:rPr>
          <w:rFonts w:hint="eastAsia" w:ascii="Times New Roman" w:hAnsi="Times New Roman" w:eastAsia="宋体"/>
          <w:b w:val="0"/>
          <w:sz w:val="21"/>
          <w:lang w:val="en-US" w:eastAsia="zh-CN"/>
        </w:rPr>
        <w:t>显著的梗文化</w:t>
      </w:r>
      <w:r>
        <w:rPr>
          <w:rFonts w:ascii="Times New Roman" w:hAnsi="Times New Roman" w:eastAsia="宋体"/>
          <w:b w:val="0"/>
          <w:sz w:val="21"/>
        </w:rPr>
        <w:t>。</w:t>
      </w:r>
    </w:p>
    <w:sectPr>
      <w:pgSz w:w="12240" w:h="15840"/>
      <w:pgMar w:top="1440" w:right="1700" w:bottom="1440" w:left="17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0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906</Words>
  <Characters>1150</Characters>
  <Lines>0</Lines>
  <Paragraphs>0</Paragraphs>
  <TotalTime>8</TotalTime>
  <ScaleCrop>false</ScaleCrop>
  <LinksUpToDate>false</LinksUpToDate>
  <CharactersWithSpaces>1228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王锭云</cp:lastModifiedBy>
  <dcterms:modified xsi:type="dcterms:W3CDTF">2026-09-15T10:11:08Z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eyJoZGlkIjoiMWUwM2M0YTEyMWNkODhlODVmNGRhNDg3YjM2NWI0MjIiLCJ1c2VySWQiOiIxNzI1NzY0OTg4In0=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F71DEC62AE234ADBB4D8582A2CACC676_12</vt:lpwstr>
  </property>
</Properties>
</file>