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9E800D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71770" cy="2250440"/>
            <wp:effectExtent l="0" t="0" r="11430" b="10160"/>
            <wp:docPr id="1" name="图片 1" descr="fig3_platform_meme_1788074130917_1_i8i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fig3_platform_meme_1788074130917_1_i8i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25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651"/>
        <w:gridCol w:w="1482"/>
        <w:gridCol w:w="2216"/>
        <w:gridCol w:w="3005"/>
      </w:tblGrid>
      <w:tr w14:paraId="4CB24DC8">
        <w:trPr>
          <w:trHeight w:val="170" w:hRule="atLeast"/>
        </w:trPr>
        <w:tc>
          <w:tcPr>
            <w:tcW w:w="1651" w:type="dxa"/>
            <w:shd w:val="clear" w:color="auto" w:fill="C7E4B3" w:themeFill="accent4" w:themeFillTint="66"/>
            <w:vAlign w:val="center"/>
          </w:tcPr>
          <w:p w14:paraId="3AC3576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tLeast"/>
              <w:jc w:val="center"/>
              <w:textAlignment w:val="auto"/>
              <w:rPr>
                <w:rFonts w:hint="eastAsia" w:eastAsia="宋体"/>
                <w:sz w:val="15"/>
                <w:szCs w:val="15"/>
                <w:vertAlign w:val="baseline"/>
                <w:lang w:eastAsia="zh-CN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5"/>
                <w:szCs w:val="15"/>
                <w:lang w:val="en-US" w:eastAsia="zh-CN" w:bidi="ar"/>
              </w:rPr>
              <w:t>观察</w:t>
            </w:r>
          </w:p>
        </w:tc>
        <w:tc>
          <w:tcPr>
            <w:tcW w:w="1482" w:type="dxa"/>
            <w:shd w:val="clear" w:color="auto" w:fill="C7E4B3" w:themeFill="accent4" w:themeFillTint="66"/>
            <w:vAlign w:val="center"/>
          </w:tcPr>
          <w:p w14:paraId="6D484DF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tLeast"/>
              <w:jc w:val="center"/>
              <w:textAlignment w:val="auto"/>
              <w:rPr>
                <w:rFonts w:hint="eastAsia" w:eastAsia="宋体"/>
                <w:sz w:val="15"/>
                <w:szCs w:val="15"/>
                <w:vertAlign w:val="baseline"/>
                <w:lang w:eastAsia="zh-CN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5"/>
                <w:szCs w:val="15"/>
                <w:lang w:val="en-US" w:eastAsia="zh-CN" w:bidi="ar"/>
              </w:rPr>
              <w:t>现象</w:t>
            </w:r>
          </w:p>
        </w:tc>
        <w:tc>
          <w:tcPr>
            <w:tcW w:w="2216" w:type="dxa"/>
            <w:shd w:val="clear" w:color="auto" w:fill="C7E4B3" w:themeFill="accent4" w:themeFillTint="66"/>
            <w:vAlign w:val="center"/>
          </w:tcPr>
          <w:p w14:paraId="3743D95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tLeast"/>
              <w:jc w:val="center"/>
              <w:textAlignment w:val="auto"/>
              <w:rPr>
                <w:rFonts w:hint="eastAsia" w:eastAsia="宋体"/>
                <w:sz w:val="15"/>
                <w:szCs w:val="15"/>
                <w:vertAlign w:val="baseline"/>
                <w:lang w:eastAsia="zh-CN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5"/>
                <w:szCs w:val="15"/>
                <w:lang w:val="en-US" w:eastAsia="zh-CN" w:bidi="ar"/>
              </w:rPr>
              <w:t>理论解释</w:t>
            </w:r>
          </w:p>
        </w:tc>
        <w:tc>
          <w:tcPr>
            <w:tcW w:w="3005" w:type="dxa"/>
            <w:shd w:val="clear" w:color="auto" w:fill="C7E4B3" w:themeFill="accent4" w:themeFillTint="66"/>
            <w:vAlign w:val="center"/>
          </w:tcPr>
          <w:p w14:paraId="0F72830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tLeast"/>
              <w:jc w:val="center"/>
              <w:textAlignment w:val="auto"/>
              <w:rPr>
                <w:rFonts w:hint="eastAsia" w:eastAsia="宋体"/>
                <w:sz w:val="15"/>
                <w:szCs w:val="15"/>
                <w:vertAlign w:val="baseline"/>
                <w:lang w:eastAsia="zh-CN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5"/>
                <w:szCs w:val="15"/>
                <w:lang w:val="en-US" w:eastAsia="zh-CN" w:bidi="ar"/>
              </w:rPr>
              <w:t>转化成ABM规则</w:t>
            </w:r>
          </w:p>
        </w:tc>
      </w:tr>
      <w:tr w14:paraId="200E7465">
        <w:trPr>
          <w:trHeight w:val="170" w:hRule="atLeast"/>
        </w:trPr>
        <w:tc>
          <w:tcPr>
            <w:tcW w:w="1651" w:type="dxa"/>
            <w:vAlign w:val="center"/>
          </w:tcPr>
          <w:p w14:paraId="0496A31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tLeast"/>
              <w:jc w:val="both"/>
              <w:textAlignment w:val="auto"/>
              <w:rPr>
                <w:rFonts w:hint="default" w:eastAsia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1.</w:t>
            </w: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不同平台呈不同趋势</w:t>
            </w:r>
          </w:p>
        </w:tc>
        <w:tc>
          <w:tcPr>
            <w:tcW w:w="1482" w:type="dxa"/>
            <w:vAlign w:val="center"/>
          </w:tcPr>
          <w:p w14:paraId="17C0204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tLeast"/>
              <w:jc w:val="both"/>
              <w:textAlignment w:val="auto"/>
              <w:rPr>
                <w:rFonts w:hint="eastAsia" w:eastAsia="宋体"/>
                <w:sz w:val="15"/>
                <w:szCs w:val="15"/>
                <w:vertAlign w:val="baseline"/>
                <w:lang w:eastAsia="zh-CN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抖音玩梗比例最终远高于小红书</w:t>
            </w:r>
          </w:p>
        </w:tc>
        <w:tc>
          <w:tcPr>
            <w:tcW w:w="2216" w:type="dxa"/>
            <w:vAlign w:val="center"/>
          </w:tcPr>
          <w:p w14:paraId="0A3783A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tLeast"/>
              <w:jc w:val="both"/>
              <w:textAlignment w:val="auto"/>
              <w:rPr>
                <w:rFonts w:hint="eastAsia" w:eastAsia="宋体"/>
                <w:sz w:val="15"/>
                <w:szCs w:val="15"/>
                <w:vertAlign w:val="baseline"/>
                <w:lang w:eastAsia="zh-CN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算法策展使不同平台形成不同内容景观</w:t>
            </w:r>
          </w:p>
        </w:tc>
        <w:tc>
          <w:tcPr>
            <w:tcW w:w="3005" w:type="dxa"/>
            <w:vAlign w:val="center"/>
          </w:tcPr>
          <w:p w14:paraId="5FF8336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tLeast"/>
              <w:jc w:val="both"/>
              <w:textAlignment w:val="auto"/>
              <w:rPr>
                <w:rFonts w:hint="eastAsia" w:eastAsia="宋体"/>
                <w:sz w:val="15"/>
                <w:szCs w:val="15"/>
                <w:vertAlign w:val="baseline"/>
                <w:lang w:eastAsia="zh-CN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固定Agent和内容，只切换推荐算法，比较各组玩梗占比</w:t>
            </w:r>
          </w:p>
        </w:tc>
      </w:tr>
      <w:tr w14:paraId="3E13535D">
        <w:trPr>
          <w:trHeight w:val="170" w:hRule="atLeast"/>
        </w:trPr>
        <w:tc>
          <w:tcPr>
            <w:tcW w:w="1651" w:type="dxa"/>
            <w:vAlign w:val="center"/>
          </w:tcPr>
          <w:p w14:paraId="526FD44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tLeast"/>
              <w:jc w:val="both"/>
              <w:textAlignment w:val="auto"/>
              <w:rPr>
                <w:rFonts w:hint="eastAsia" w:eastAsia="宋体"/>
                <w:sz w:val="15"/>
                <w:szCs w:val="15"/>
                <w:vertAlign w:val="baseline"/>
                <w:lang w:eastAsia="zh-CN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2.起势速度不同</w:t>
            </w:r>
          </w:p>
        </w:tc>
        <w:tc>
          <w:tcPr>
            <w:tcW w:w="1482" w:type="dxa"/>
            <w:vAlign w:val="center"/>
          </w:tcPr>
          <w:p w14:paraId="06F066C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tLeast"/>
              <w:jc w:val="both"/>
              <w:textAlignment w:val="auto"/>
              <w:rPr>
                <w:rFonts w:hint="eastAsia" w:eastAsia="宋体"/>
                <w:sz w:val="15"/>
                <w:szCs w:val="15"/>
                <w:vertAlign w:val="baseline"/>
                <w:lang w:eastAsia="zh-CN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抖音比小红书早约2—3周起势</w:t>
            </w:r>
          </w:p>
        </w:tc>
        <w:tc>
          <w:tcPr>
            <w:tcW w:w="2216" w:type="dxa"/>
            <w:vAlign w:val="center"/>
          </w:tcPr>
          <w:p w14:paraId="6998970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tLeast"/>
              <w:jc w:val="both"/>
              <w:textAlignment w:val="auto"/>
              <w:rPr>
                <w:rFonts w:hint="eastAsia" w:eastAsia="宋体"/>
                <w:sz w:val="15"/>
                <w:szCs w:val="15"/>
                <w:vertAlign w:val="baseline"/>
                <w:lang w:eastAsia="zh-CN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不同算法的内容放大速度不同</w:t>
            </w:r>
          </w:p>
        </w:tc>
        <w:tc>
          <w:tcPr>
            <w:tcW w:w="3005" w:type="dxa"/>
            <w:vAlign w:val="center"/>
          </w:tcPr>
          <w:p w14:paraId="7B625BF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tLeast"/>
              <w:jc w:val="both"/>
              <w:textAlignment w:val="auto"/>
              <w:rPr>
                <w:rFonts w:hint="eastAsia" w:eastAsia="宋体"/>
                <w:sz w:val="15"/>
                <w:szCs w:val="15"/>
                <w:vertAlign w:val="baseline"/>
                <w:lang w:eastAsia="zh-CN"/>
              </w:rPr>
            </w:pPr>
          </w:p>
        </w:tc>
      </w:tr>
      <w:tr w14:paraId="1BE90EDC">
        <w:trPr>
          <w:trHeight w:val="170" w:hRule="atLeast"/>
        </w:trPr>
        <w:tc>
          <w:tcPr>
            <w:tcW w:w="1651" w:type="dxa"/>
            <w:vAlign w:val="center"/>
          </w:tcPr>
          <w:p w14:paraId="2512062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tLeast"/>
              <w:jc w:val="both"/>
              <w:textAlignment w:val="auto"/>
              <w:rPr>
                <w:rFonts w:hint="eastAsia" w:eastAsia="宋体"/>
                <w:sz w:val="15"/>
                <w:szCs w:val="15"/>
                <w:vertAlign w:val="baseline"/>
                <w:lang w:eastAsia="zh-CN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3.存在五六周滞后</w:t>
            </w:r>
          </w:p>
        </w:tc>
        <w:tc>
          <w:tcPr>
            <w:tcW w:w="1482" w:type="dxa"/>
            <w:vAlign w:val="center"/>
          </w:tcPr>
          <w:p w14:paraId="1B11E06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tLeast"/>
              <w:jc w:val="both"/>
              <w:textAlignment w:val="auto"/>
              <w:rPr>
                <w:rFonts w:hint="eastAsia" w:eastAsia="宋体"/>
                <w:sz w:val="15"/>
                <w:szCs w:val="15"/>
                <w:vertAlign w:val="baseline"/>
                <w:lang w:eastAsia="zh-CN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死亡后没有立即大量玩梗</w:t>
            </w:r>
          </w:p>
        </w:tc>
        <w:tc>
          <w:tcPr>
            <w:tcW w:w="2216" w:type="dxa"/>
            <w:vAlign w:val="center"/>
          </w:tcPr>
          <w:p w14:paraId="3E9224D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tLeast"/>
              <w:jc w:val="both"/>
              <w:textAlignment w:val="auto"/>
              <w:rPr>
                <w:rFonts w:hint="eastAsia" w:eastAsia="宋体"/>
                <w:sz w:val="15"/>
                <w:szCs w:val="15"/>
                <w:vertAlign w:val="baseline"/>
                <w:lang w:eastAsia="zh-CN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模因模板需要经过模仿、改编和积累才能成熟</w:t>
            </w:r>
          </w:p>
        </w:tc>
        <w:tc>
          <w:tcPr>
            <w:tcW w:w="3005" w:type="dxa"/>
            <w:vAlign w:val="center"/>
          </w:tcPr>
          <w:p w14:paraId="5256EF9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tLeast"/>
              <w:jc w:val="both"/>
              <w:textAlignment w:val="auto"/>
              <w:rPr>
                <w:rFonts w:hint="eastAsia" w:eastAsia="宋体"/>
                <w:sz w:val="15"/>
                <w:szCs w:val="15"/>
                <w:vertAlign w:val="baseline"/>
                <w:lang w:eastAsia="zh-CN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内容设置“可二创性”；每次二创产生同模板的新内容，但不规定第几周爆发</w:t>
            </w:r>
          </w:p>
        </w:tc>
      </w:tr>
      <w:tr w14:paraId="01EFDD4C">
        <w:trPr>
          <w:trHeight w:val="170" w:hRule="atLeast"/>
        </w:trPr>
        <w:tc>
          <w:tcPr>
            <w:tcW w:w="1651" w:type="dxa"/>
            <w:vAlign w:val="center"/>
          </w:tcPr>
          <w:p w14:paraId="7FAD74E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tLeast"/>
              <w:jc w:val="both"/>
              <w:textAlignment w:val="auto"/>
              <w:rPr>
                <w:rFonts w:hint="eastAsia" w:eastAsia="宋体"/>
                <w:sz w:val="15"/>
                <w:szCs w:val="15"/>
                <w:vertAlign w:val="baseline"/>
                <w:lang w:eastAsia="zh-CN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4.突然爆发而非匀速增长</w:t>
            </w:r>
          </w:p>
        </w:tc>
        <w:tc>
          <w:tcPr>
            <w:tcW w:w="1482" w:type="dxa"/>
            <w:vAlign w:val="center"/>
          </w:tcPr>
          <w:p w14:paraId="00FA998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tLeast"/>
              <w:jc w:val="both"/>
              <w:textAlignment w:val="auto"/>
              <w:rPr>
                <w:rFonts w:hint="eastAsia" w:eastAsia="宋体"/>
                <w:sz w:val="15"/>
                <w:szCs w:val="15"/>
                <w:vertAlign w:val="baseline"/>
                <w:lang w:eastAsia="zh-CN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抖音从约5%迅速升至30%、67%</w:t>
            </w:r>
          </w:p>
        </w:tc>
        <w:tc>
          <w:tcPr>
            <w:tcW w:w="2216" w:type="dxa"/>
            <w:vAlign w:val="center"/>
          </w:tcPr>
          <w:p w14:paraId="22FD39B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tLeast"/>
              <w:jc w:val="both"/>
              <w:textAlignment w:val="auto"/>
              <w:rPr>
                <w:rFonts w:hint="eastAsia" w:eastAsia="宋体"/>
                <w:sz w:val="15"/>
                <w:szCs w:val="15"/>
                <w:vertAlign w:val="baseline"/>
                <w:lang w:eastAsia="zh-CN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互动与推荐形成正反馈和累积优势</w:t>
            </w:r>
          </w:p>
        </w:tc>
        <w:tc>
          <w:tcPr>
            <w:tcW w:w="3005" w:type="dxa"/>
            <w:vAlign w:val="center"/>
          </w:tcPr>
          <w:p w14:paraId="3DC518A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tLeast"/>
              <w:jc w:val="both"/>
              <w:textAlignment w:val="auto"/>
              <w:rPr>
                <w:rFonts w:hint="eastAsia" w:eastAsia="宋体"/>
                <w:sz w:val="15"/>
                <w:szCs w:val="15"/>
                <w:vertAlign w:val="baseline"/>
                <w:lang w:eastAsia="zh-CN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动态算法中，互动越高，下一轮曝光越多</w:t>
            </w:r>
          </w:p>
        </w:tc>
      </w:tr>
      <w:tr w14:paraId="4B0717E6">
        <w:trPr>
          <w:trHeight w:val="170" w:hRule="atLeast"/>
        </w:trPr>
        <w:tc>
          <w:tcPr>
            <w:tcW w:w="1651" w:type="dxa"/>
            <w:vAlign w:val="center"/>
          </w:tcPr>
          <w:p w14:paraId="7F5E6ED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tLeast"/>
              <w:jc w:val="both"/>
              <w:textAlignment w:val="auto"/>
              <w:rPr>
                <w:rFonts w:hint="eastAsia" w:eastAsia="宋体"/>
                <w:sz w:val="15"/>
                <w:szCs w:val="15"/>
                <w:vertAlign w:val="baseline"/>
                <w:lang w:eastAsia="zh-CN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5.死亡与玩梗是两个阶段</w:t>
            </w:r>
          </w:p>
        </w:tc>
        <w:tc>
          <w:tcPr>
            <w:tcW w:w="1482" w:type="dxa"/>
            <w:vAlign w:val="center"/>
          </w:tcPr>
          <w:p w14:paraId="3B5875B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tLeast"/>
              <w:jc w:val="both"/>
              <w:textAlignment w:val="auto"/>
              <w:rPr>
                <w:rFonts w:hint="eastAsia" w:eastAsia="宋体"/>
                <w:sz w:val="15"/>
                <w:szCs w:val="15"/>
                <w:vertAlign w:val="baseline"/>
                <w:lang w:eastAsia="zh-CN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W13死亡，W19左右才出现玩梗浪潮</w:t>
            </w:r>
          </w:p>
        </w:tc>
        <w:tc>
          <w:tcPr>
            <w:tcW w:w="2216" w:type="dxa"/>
            <w:vAlign w:val="center"/>
          </w:tcPr>
          <w:p w14:paraId="3EA6AE0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tLeast"/>
              <w:jc w:val="both"/>
              <w:textAlignment w:val="auto"/>
              <w:rPr>
                <w:rFonts w:hint="eastAsia" w:eastAsia="宋体"/>
                <w:sz w:val="15"/>
                <w:szCs w:val="15"/>
                <w:vertAlign w:val="baseline"/>
                <w:lang w:eastAsia="zh-CN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死亡事件先触发关注，模因传播随后形成第二波</w:t>
            </w:r>
          </w:p>
        </w:tc>
        <w:tc>
          <w:tcPr>
            <w:tcW w:w="3005" w:type="dxa"/>
            <w:vAlign w:val="center"/>
          </w:tcPr>
          <w:p w14:paraId="6CF3D3F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tLeast"/>
              <w:jc w:val="both"/>
              <w:textAlignment w:val="auto"/>
              <w:rPr>
                <w:rFonts w:hint="eastAsia" w:eastAsia="宋体"/>
                <w:sz w:val="15"/>
                <w:szCs w:val="15"/>
                <w:vertAlign w:val="baseline"/>
                <w:lang w:eastAsia="zh-CN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第0轮只注入死亡事件；后续内容变化由Agent互动、二创和推荐产生</w:t>
            </w:r>
          </w:p>
        </w:tc>
      </w:tr>
    </w:tbl>
    <w:p w14:paraId="57F41CC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tLeast"/>
        <w:textAlignment w:val="auto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br w:type="textWrapping"/>
      </w:r>
      <w:r>
        <w:rPr>
          <w:rFonts w:hint="eastAsia" w:eastAsia="宋体"/>
          <w:lang w:eastAsia="zh-CN"/>
        </w:rPr>
        <w:drawing>
          <wp:inline distT="0" distB="0" distL="114300" distR="114300">
            <wp:extent cx="5263515" cy="2092325"/>
            <wp:effectExtent l="0" t="0" r="19685" b="15875"/>
            <wp:docPr id="2" name="图片 2" descr="截屏2026-09-06 下午8.51.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截屏2026-09-06 下午8.51.3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09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6B1B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tLeast"/>
        <w:textAlignment w:val="auto"/>
        <w:rPr>
          <w:rFonts w:hint="eastAsia" w:eastAsia="宋体"/>
          <w:lang w:eastAsia="zh-CN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1"/>
        <w:gridCol w:w="1482"/>
        <w:gridCol w:w="2216"/>
        <w:gridCol w:w="3005"/>
      </w:tblGrid>
      <w:tr w14:paraId="6E531A7A">
        <w:trPr>
          <w:trHeight w:val="170" w:hRule="atLeast"/>
        </w:trPr>
        <w:tc>
          <w:tcPr>
            <w:tcW w:w="1651" w:type="dxa"/>
            <w:shd w:val="clear" w:color="auto" w:fill="C7E4B3" w:themeFill="accent4" w:themeFillTint="66"/>
            <w:vAlign w:val="center"/>
          </w:tcPr>
          <w:p w14:paraId="2FBDD04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tLeast"/>
              <w:jc w:val="center"/>
              <w:textAlignment w:val="auto"/>
              <w:rPr>
                <w:rFonts w:hint="eastAsia" w:eastAsia="宋体"/>
                <w:sz w:val="15"/>
                <w:szCs w:val="15"/>
                <w:vertAlign w:val="baseline"/>
                <w:lang w:eastAsia="zh-CN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5"/>
                <w:szCs w:val="15"/>
                <w:lang w:val="en-US" w:eastAsia="zh-CN" w:bidi="ar"/>
              </w:rPr>
              <w:t>观察</w:t>
            </w:r>
          </w:p>
        </w:tc>
        <w:tc>
          <w:tcPr>
            <w:tcW w:w="1482" w:type="dxa"/>
            <w:shd w:val="clear" w:color="auto" w:fill="C7E4B3" w:themeFill="accent4" w:themeFillTint="66"/>
            <w:vAlign w:val="center"/>
          </w:tcPr>
          <w:p w14:paraId="7FC10ED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tLeast"/>
              <w:jc w:val="center"/>
              <w:textAlignment w:val="auto"/>
              <w:rPr>
                <w:rFonts w:hint="eastAsia" w:eastAsia="宋体"/>
                <w:sz w:val="15"/>
                <w:szCs w:val="15"/>
                <w:vertAlign w:val="baseline"/>
                <w:lang w:eastAsia="zh-CN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5"/>
                <w:szCs w:val="15"/>
                <w:lang w:val="en-US" w:eastAsia="zh-CN" w:bidi="ar"/>
              </w:rPr>
              <w:t>现象</w:t>
            </w:r>
          </w:p>
        </w:tc>
        <w:tc>
          <w:tcPr>
            <w:tcW w:w="2216" w:type="dxa"/>
            <w:shd w:val="clear" w:color="auto" w:fill="C7E4B3" w:themeFill="accent4" w:themeFillTint="66"/>
            <w:vAlign w:val="center"/>
          </w:tcPr>
          <w:p w14:paraId="67FA91E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tLeast"/>
              <w:jc w:val="center"/>
              <w:textAlignment w:val="auto"/>
              <w:rPr>
                <w:rFonts w:hint="eastAsia" w:eastAsia="宋体"/>
                <w:sz w:val="15"/>
                <w:szCs w:val="15"/>
                <w:vertAlign w:val="baseline"/>
                <w:lang w:eastAsia="zh-CN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5"/>
                <w:szCs w:val="15"/>
                <w:lang w:val="en-US" w:eastAsia="zh-CN" w:bidi="ar"/>
              </w:rPr>
              <w:t>理论解释</w:t>
            </w:r>
          </w:p>
        </w:tc>
        <w:tc>
          <w:tcPr>
            <w:tcW w:w="3005" w:type="dxa"/>
            <w:shd w:val="clear" w:color="auto" w:fill="C7E4B3" w:themeFill="accent4" w:themeFillTint="66"/>
            <w:vAlign w:val="center"/>
          </w:tcPr>
          <w:p w14:paraId="17DCB11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tLeast"/>
              <w:jc w:val="center"/>
              <w:textAlignment w:val="auto"/>
              <w:rPr>
                <w:rFonts w:hint="eastAsia" w:eastAsia="宋体"/>
                <w:sz w:val="15"/>
                <w:szCs w:val="15"/>
                <w:vertAlign w:val="baseline"/>
                <w:lang w:eastAsia="zh-CN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5"/>
                <w:szCs w:val="15"/>
                <w:lang w:val="en-US" w:eastAsia="zh-CN" w:bidi="ar"/>
              </w:rPr>
              <w:t>转化成ABM规则</w:t>
            </w:r>
          </w:p>
        </w:tc>
      </w:tr>
      <w:tr w14:paraId="72418173">
        <w:trPr>
          <w:trHeight w:val="170" w:hRule="atLeast"/>
        </w:trPr>
        <w:tc>
          <w:tcPr>
            <w:tcW w:w="1651" w:type="dxa"/>
            <w:vAlign w:val="center"/>
          </w:tcPr>
          <w:p w14:paraId="5ACB0CA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tLeast"/>
              <w:jc w:val="both"/>
              <w:textAlignment w:val="auto"/>
              <w:rPr>
                <w:rFonts w:hint="default"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1.死亡立即引发讨论高峰</w:t>
            </w:r>
          </w:p>
        </w:tc>
        <w:tc>
          <w:tcPr>
            <w:tcW w:w="1482" w:type="dxa"/>
            <w:vAlign w:val="center"/>
          </w:tcPr>
          <w:p w14:paraId="51EB601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tLeast"/>
              <w:jc w:val="both"/>
              <w:textAlignment w:val="auto"/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W12约1,200条，W13突然升到10,804条</w:t>
            </w:r>
          </w:p>
        </w:tc>
        <w:tc>
          <w:tcPr>
            <w:tcW w:w="2216" w:type="dxa"/>
            <w:vAlign w:val="center"/>
          </w:tcPr>
          <w:p w14:paraId="1F6ACC3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tLeast"/>
              <w:jc w:val="both"/>
              <w:textAlignment w:val="auto"/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议程设置，公众人物死亡，各大媒体报道。</w:t>
            </w: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死亡事件触发集体注意和数字哀悼</w:t>
            </w:r>
          </w:p>
        </w:tc>
        <w:tc>
          <w:tcPr>
            <w:tcW w:w="3005" w:type="dxa"/>
            <w:vAlign w:val="center"/>
          </w:tcPr>
          <w:p w14:paraId="6AA866D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tLeast"/>
              <w:jc w:val="both"/>
              <w:textAlignment w:val="auto"/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第0轮注入死亡事件，提高所有Agent关注和发帖的概率，但不强迫他们发悼念帖</w:t>
            </w:r>
          </w:p>
        </w:tc>
      </w:tr>
      <w:tr w14:paraId="0030312F">
        <w:trPr>
          <w:trHeight w:val="170" w:hRule="atLeast"/>
        </w:trPr>
        <w:tc>
          <w:tcPr>
            <w:tcW w:w="1651" w:type="dxa"/>
            <w:vAlign w:val="center"/>
          </w:tcPr>
          <w:p w14:paraId="73612ED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tLeast"/>
              <w:jc w:val="both"/>
              <w:textAlignment w:val="auto"/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2.高峰之后逐渐下降</w:t>
            </w:r>
          </w:p>
        </w:tc>
        <w:tc>
          <w:tcPr>
            <w:tcW w:w="1482" w:type="dxa"/>
            <w:vAlign w:val="center"/>
          </w:tcPr>
          <w:p w14:paraId="61D957E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tLeast"/>
              <w:jc w:val="both"/>
              <w:textAlignment w:val="auto"/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W13以后一路降至W18约1,500条</w:t>
            </w:r>
          </w:p>
        </w:tc>
        <w:tc>
          <w:tcPr>
            <w:tcW w:w="2216" w:type="dxa"/>
            <w:vAlign w:val="center"/>
          </w:tcPr>
          <w:p w14:paraId="250DF00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tLeast"/>
              <w:jc w:val="both"/>
              <w:textAlignment w:val="auto"/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新奇性衰减、集体注意力衰减</w:t>
            </w:r>
          </w:p>
        </w:tc>
        <w:tc>
          <w:tcPr>
            <w:tcW w:w="3005" w:type="dxa"/>
            <w:vAlign w:val="center"/>
          </w:tcPr>
          <w:p w14:paraId="0B65EC8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tLeast"/>
              <w:jc w:val="both"/>
              <w:textAlignment w:val="auto"/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设置“事件关注度”随时间逐渐下降，不能永久保持高位</w:t>
            </w:r>
          </w:p>
        </w:tc>
      </w:tr>
      <w:tr w14:paraId="5AC1CAC1">
        <w:trPr>
          <w:trHeight w:val="170" w:hRule="atLeast"/>
        </w:trPr>
        <w:tc>
          <w:tcPr>
            <w:tcW w:w="1651" w:type="dxa"/>
            <w:vAlign w:val="center"/>
          </w:tcPr>
          <w:p w14:paraId="5DBFE62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tLeast"/>
              <w:jc w:val="both"/>
              <w:textAlignment w:val="auto"/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3.上升快、下降慢</w:t>
            </w:r>
          </w:p>
        </w:tc>
        <w:tc>
          <w:tcPr>
            <w:tcW w:w="1482" w:type="dxa"/>
            <w:vAlign w:val="center"/>
          </w:tcPr>
          <w:p w14:paraId="784EF30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tLeast"/>
              <w:jc w:val="both"/>
              <w:textAlignment w:val="auto"/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一周内突然爆发，但用了约5周才接近低位</w:t>
            </w:r>
          </w:p>
        </w:tc>
        <w:tc>
          <w:tcPr>
            <w:tcW w:w="2216" w:type="dxa"/>
            <w:vAlign w:val="center"/>
          </w:tcPr>
          <w:p w14:paraId="691B82B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tLeast"/>
              <w:jc w:val="both"/>
              <w:textAlignment w:val="auto"/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突发事件具有瞬时冲击，人的注意消退则是渐进的</w:t>
            </w:r>
          </w:p>
        </w:tc>
        <w:tc>
          <w:tcPr>
            <w:tcW w:w="3005" w:type="dxa"/>
            <w:vAlign w:val="center"/>
          </w:tcPr>
          <w:p w14:paraId="178D066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tLeast"/>
              <w:jc w:val="both"/>
              <w:textAlignment w:val="auto"/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死亡事件即时生效；关注度按照连续函数缓慢衰减，而不是下一轮直接恢复正常</w:t>
            </w:r>
          </w:p>
        </w:tc>
      </w:tr>
      <w:tr w14:paraId="34EB29B8">
        <w:trPr>
          <w:trHeight w:val="170" w:hRule="atLeast"/>
        </w:trPr>
        <w:tc>
          <w:tcPr>
            <w:tcW w:w="1651" w:type="dxa"/>
            <w:vAlign w:val="center"/>
          </w:tcPr>
          <w:p w14:paraId="00F594F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tLeast"/>
              <w:jc w:val="both"/>
              <w:textAlignment w:val="auto"/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4.W18以后出现第二波上涨</w:t>
            </w:r>
          </w:p>
        </w:tc>
        <w:tc>
          <w:tcPr>
            <w:tcW w:w="1482" w:type="dxa"/>
            <w:vAlign w:val="center"/>
          </w:tcPr>
          <w:p w14:paraId="5BC0C21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tLeast"/>
              <w:jc w:val="both"/>
              <w:textAlignment w:val="auto"/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W18触底后，W19—W22重新升至约5,000条</w:t>
            </w:r>
          </w:p>
        </w:tc>
        <w:tc>
          <w:tcPr>
            <w:tcW w:w="2216" w:type="dxa"/>
            <w:vAlign w:val="center"/>
          </w:tcPr>
          <w:p w14:paraId="331FBC5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tLeast"/>
              <w:jc w:val="both"/>
              <w:textAlignment w:val="auto"/>
              <w:rPr>
                <w:rFonts w:hint="default"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模因传播和算法反馈重新激活了事件注意</w:t>
            </w: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，以玩梗为主</w:t>
            </w:r>
          </w:p>
        </w:tc>
        <w:tc>
          <w:tcPr>
            <w:tcW w:w="3005" w:type="dxa"/>
            <w:vAlign w:val="center"/>
          </w:tcPr>
          <w:p w14:paraId="4A7EF6E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tLeast"/>
              <w:jc w:val="both"/>
              <w:textAlignment w:val="auto"/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把“死亡带来的外部关注”和“内容传播产生的内部关注”分开；梗内容的互动和二创可以重新提高曝光和发帖量</w:t>
            </w:r>
          </w:p>
        </w:tc>
      </w:tr>
      <w:tr w14:paraId="63A5612D">
        <w:trPr>
          <w:trHeight w:val="170" w:hRule="atLeast"/>
        </w:trPr>
        <w:tc>
          <w:tcPr>
            <w:tcW w:w="1651" w:type="dxa"/>
            <w:vAlign w:val="center"/>
          </w:tcPr>
          <w:p w14:paraId="60992A4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tLeast"/>
              <w:jc w:val="both"/>
              <w:textAlignment w:val="auto"/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5.事件前本来就有波动</w:t>
            </w:r>
          </w:p>
        </w:tc>
        <w:tc>
          <w:tcPr>
            <w:tcW w:w="1482" w:type="dxa"/>
            <w:vAlign w:val="center"/>
          </w:tcPr>
          <w:p w14:paraId="0E7D381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tLeast"/>
              <w:jc w:val="both"/>
              <w:textAlignment w:val="auto"/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W06、W10、W12也出现过小高峰</w:t>
            </w:r>
          </w:p>
        </w:tc>
        <w:tc>
          <w:tcPr>
            <w:tcW w:w="2216" w:type="dxa"/>
            <w:vAlign w:val="center"/>
          </w:tcPr>
          <w:p w14:paraId="6B8DE1C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tLeast"/>
              <w:jc w:val="both"/>
              <w:textAlignment w:val="auto"/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正常舆论场一直存在随机事件和日常讨论</w:t>
            </w:r>
          </w:p>
        </w:tc>
        <w:tc>
          <w:tcPr>
            <w:tcW w:w="3005" w:type="dxa"/>
            <w:vAlign w:val="center"/>
          </w:tcPr>
          <w:p w14:paraId="3078BB4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tLeast"/>
              <w:jc w:val="both"/>
              <w:textAlignment w:val="auto"/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每个Agent保留基础发帖概率，并加入正常随机波动，不要求事件前曲线完全平直</w:t>
            </w:r>
          </w:p>
        </w:tc>
      </w:tr>
    </w:tbl>
    <w:p w14:paraId="38E83C4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tLeast"/>
        <w:textAlignment w:val="auto"/>
        <w:rPr>
          <w:rFonts w:hint="eastAsia" w:eastAsia="宋体"/>
          <w:lang w:eastAsia="zh-CN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850"/>
        <w:gridCol w:w="850"/>
        <w:gridCol w:w="850"/>
        <w:gridCol w:w="850"/>
        <w:gridCol w:w="850"/>
      </w:tblGrid>
      <w:tr w14:paraId="47F72901">
        <w:trPr>
          <w:trHeight w:val="170" w:hRule="atLeast"/>
        </w:trPr>
        <w:tc>
          <w:tcPr>
            <w:tcW w:w="850" w:type="dxa"/>
            <w:gridSpan w:val="6"/>
            <w:shd w:val="clear" w:color="auto" w:fill="C7E4B3" w:themeFill="accent4" w:themeFillTint="66"/>
            <w:vAlign w:val="center"/>
          </w:tcPr>
          <w:p w14:paraId="4551EB9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tLeast"/>
              <w:jc w:val="center"/>
              <w:textAlignment w:val="auto"/>
              <w:rPr>
                <w:rFonts w:hint="eastAsia" w:eastAsia="宋体"/>
                <w:sz w:val="15"/>
                <w:szCs w:val="15"/>
                <w:vertAlign w:val="baseline"/>
                <w:lang w:eastAsia="zh-CN"/>
              </w:rPr>
            </w:pPr>
            <w:r>
              <w:rPr>
                <w:rFonts w:hint="eastAsia" w:eastAsia="宋体"/>
                <w:sz w:val="15"/>
                <w:szCs w:val="15"/>
                <w:vertAlign w:val="baseline"/>
                <w:lang w:eastAsia="zh-CN"/>
              </w:rPr>
              <w:t>抖音各周内容类别计数（W18–W22</w:t>
            </w:r>
          </w:p>
        </w:tc>
      </w:tr>
      <w:tr w14:paraId="68924DD0">
        <w:trPr>
          <w:trHeight w:val="170" w:hRule="atLeast"/>
        </w:trPr>
        <w:tc>
          <w:tcPr>
            <w:tcW w:w="1701" w:type="dxa"/>
            <w:vAlign w:val="center"/>
          </w:tcPr>
          <w:p w14:paraId="1471230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tLeast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/>
                <w:bCs/>
                <w:kern w:val="0"/>
                <w:sz w:val="15"/>
                <w:szCs w:val="15"/>
                <w:lang w:val="en-US" w:eastAsia="zh-CN" w:bidi="ar"/>
              </w:rPr>
              <w:t>内容类别</w:t>
            </w:r>
          </w:p>
        </w:tc>
        <w:tc>
          <w:tcPr>
            <w:tcW w:w="850" w:type="dxa"/>
            <w:vAlign w:val="center"/>
          </w:tcPr>
          <w:p w14:paraId="40CBB3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tLeas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/>
                <w:bCs/>
                <w:kern w:val="0"/>
                <w:sz w:val="15"/>
                <w:szCs w:val="15"/>
                <w:lang w:val="en-US" w:eastAsia="zh-CN" w:bidi="ar"/>
              </w:rPr>
              <w:t>W18</w:t>
            </w:r>
          </w:p>
        </w:tc>
        <w:tc>
          <w:tcPr>
            <w:tcW w:w="850" w:type="dxa"/>
            <w:vAlign w:val="center"/>
          </w:tcPr>
          <w:p w14:paraId="7200DCF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tLeas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/>
                <w:bCs/>
                <w:kern w:val="0"/>
                <w:sz w:val="15"/>
                <w:szCs w:val="15"/>
                <w:lang w:val="en-US" w:eastAsia="zh-CN" w:bidi="ar"/>
              </w:rPr>
              <w:t>W19</w:t>
            </w:r>
          </w:p>
        </w:tc>
        <w:tc>
          <w:tcPr>
            <w:tcW w:w="850" w:type="dxa"/>
            <w:vAlign w:val="center"/>
          </w:tcPr>
          <w:p w14:paraId="76167DA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tLeas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/>
                <w:bCs/>
                <w:kern w:val="0"/>
                <w:sz w:val="15"/>
                <w:szCs w:val="15"/>
                <w:lang w:val="en-US" w:eastAsia="zh-CN" w:bidi="ar"/>
              </w:rPr>
              <w:t>W20</w:t>
            </w:r>
          </w:p>
        </w:tc>
        <w:tc>
          <w:tcPr>
            <w:tcW w:w="850" w:type="dxa"/>
            <w:vAlign w:val="center"/>
          </w:tcPr>
          <w:p w14:paraId="4D9105C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tLeast"/>
              <w:jc w:val="center"/>
              <w:textAlignment w:val="auto"/>
              <w:rPr>
                <w:rFonts w:ascii="宋体" w:hAnsi="宋体" w:eastAsia="宋体" w:cs="宋体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/>
                <w:bCs/>
                <w:kern w:val="0"/>
                <w:sz w:val="15"/>
                <w:szCs w:val="15"/>
                <w:lang w:val="en-US" w:eastAsia="zh-CN" w:bidi="ar"/>
              </w:rPr>
              <w:t>W21</w:t>
            </w:r>
          </w:p>
        </w:tc>
        <w:tc>
          <w:tcPr>
            <w:tcW w:w="850" w:type="dxa"/>
            <w:vAlign w:val="center"/>
          </w:tcPr>
          <w:p w14:paraId="3F8B0D8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tLeast"/>
              <w:jc w:val="center"/>
              <w:textAlignment w:val="auto"/>
              <w:rPr>
                <w:rFonts w:ascii="宋体" w:hAnsi="宋体" w:eastAsia="宋体" w:cs="宋体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/>
                <w:bCs/>
                <w:kern w:val="0"/>
                <w:sz w:val="15"/>
                <w:szCs w:val="15"/>
                <w:lang w:val="en-US" w:eastAsia="zh-CN" w:bidi="ar"/>
              </w:rPr>
              <w:t>W22</w:t>
            </w:r>
          </w:p>
        </w:tc>
      </w:tr>
      <w:tr w14:paraId="73293878">
        <w:trPr>
          <w:trHeight w:val="170" w:hRule="atLeast"/>
        </w:trPr>
        <w:tc>
          <w:tcPr>
            <w:tcW w:w="1701" w:type="dxa"/>
            <w:vAlign w:val="center"/>
          </w:tcPr>
          <w:p w14:paraId="7354214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tLeast"/>
              <w:jc w:val="both"/>
              <w:textAlignment w:val="auto"/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梗文化讨论</w:t>
            </w:r>
          </w:p>
        </w:tc>
        <w:tc>
          <w:tcPr>
            <w:tcW w:w="850" w:type="dxa"/>
            <w:vAlign w:val="center"/>
          </w:tcPr>
          <w:p w14:paraId="46CBEDF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tLeast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17</w:t>
            </w:r>
          </w:p>
        </w:tc>
        <w:tc>
          <w:tcPr>
            <w:tcW w:w="850" w:type="dxa"/>
            <w:vAlign w:val="center"/>
          </w:tcPr>
          <w:p w14:paraId="10984A0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tLeast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121</w:t>
            </w:r>
          </w:p>
        </w:tc>
        <w:tc>
          <w:tcPr>
            <w:tcW w:w="850" w:type="dxa"/>
            <w:vAlign w:val="center"/>
          </w:tcPr>
          <w:p w14:paraId="07252BA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tLeast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766</w:t>
            </w:r>
          </w:p>
        </w:tc>
        <w:tc>
          <w:tcPr>
            <w:tcW w:w="850" w:type="dxa"/>
            <w:vAlign w:val="center"/>
          </w:tcPr>
          <w:p w14:paraId="7553D6C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tLeast"/>
              <w:jc w:val="center"/>
              <w:textAlignment w:val="auto"/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2242</w:t>
            </w:r>
          </w:p>
        </w:tc>
        <w:tc>
          <w:tcPr>
            <w:tcW w:w="850" w:type="dxa"/>
            <w:vAlign w:val="center"/>
          </w:tcPr>
          <w:p w14:paraId="1390C2D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tLeast"/>
              <w:jc w:val="center"/>
              <w:textAlignment w:val="auto"/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2891</w:t>
            </w:r>
          </w:p>
        </w:tc>
      </w:tr>
      <w:tr w14:paraId="4551E2A4">
        <w:trPr>
          <w:trHeight w:val="170" w:hRule="atLeast"/>
        </w:trPr>
        <w:tc>
          <w:tcPr>
            <w:tcW w:w="1701" w:type="dxa"/>
            <w:vAlign w:val="center"/>
          </w:tcPr>
          <w:p w14:paraId="4959A43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tLeast"/>
              <w:jc w:val="both"/>
              <w:textAlignment w:val="auto"/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借势营销</w:t>
            </w:r>
          </w:p>
        </w:tc>
        <w:tc>
          <w:tcPr>
            <w:tcW w:w="850" w:type="dxa"/>
            <w:vAlign w:val="center"/>
          </w:tcPr>
          <w:p w14:paraId="689B239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tLeast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127</w:t>
            </w:r>
          </w:p>
        </w:tc>
        <w:tc>
          <w:tcPr>
            <w:tcW w:w="850" w:type="dxa"/>
            <w:vAlign w:val="center"/>
          </w:tcPr>
          <w:p w14:paraId="39F4DF2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tLeast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115</w:t>
            </w:r>
          </w:p>
        </w:tc>
        <w:tc>
          <w:tcPr>
            <w:tcW w:w="850" w:type="dxa"/>
            <w:vAlign w:val="center"/>
          </w:tcPr>
          <w:p w14:paraId="4182BA3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tLeast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172</w:t>
            </w:r>
          </w:p>
        </w:tc>
        <w:tc>
          <w:tcPr>
            <w:tcW w:w="850" w:type="dxa"/>
            <w:vAlign w:val="center"/>
          </w:tcPr>
          <w:p w14:paraId="50E9CEF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tLeast"/>
              <w:jc w:val="center"/>
              <w:textAlignment w:val="auto"/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182</w:t>
            </w:r>
          </w:p>
        </w:tc>
        <w:tc>
          <w:tcPr>
            <w:tcW w:w="850" w:type="dxa"/>
            <w:vAlign w:val="center"/>
          </w:tcPr>
          <w:p w14:paraId="7AA432D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tLeast"/>
              <w:jc w:val="center"/>
              <w:textAlignment w:val="auto"/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256</w:t>
            </w:r>
          </w:p>
        </w:tc>
      </w:tr>
      <w:tr w14:paraId="55AA0AB7">
        <w:trPr>
          <w:trHeight w:val="170" w:hRule="atLeast"/>
        </w:trPr>
        <w:tc>
          <w:tcPr>
            <w:tcW w:w="1701" w:type="dxa"/>
            <w:vAlign w:val="center"/>
          </w:tcPr>
          <w:p w14:paraId="7E4C302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tLeast"/>
              <w:jc w:val="both"/>
              <w:textAlignment w:val="auto"/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事件悼念讨论</w:t>
            </w:r>
          </w:p>
        </w:tc>
        <w:tc>
          <w:tcPr>
            <w:tcW w:w="850" w:type="dxa"/>
            <w:vAlign w:val="center"/>
          </w:tcPr>
          <w:p w14:paraId="08B516E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tLeast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57</w:t>
            </w:r>
          </w:p>
        </w:tc>
        <w:tc>
          <w:tcPr>
            <w:tcW w:w="850" w:type="dxa"/>
            <w:vAlign w:val="center"/>
          </w:tcPr>
          <w:p w14:paraId="1535867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tLeast"/>
              <w:jc w:val="center"/>
              <w:textAlignment w:val="auto"/>
              <w:rPr>
                <w:rFonts w:hint="default"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53</w:t>
            </w:r>
          </w:p>
        </w:tc>
        <w:tc>
          <w:tcPr>
            <w:tcW w:w="850" w:type="dxa"/>
            <w:vAlign w:val="center"/>
          </w:tcPr>
          <w:p w14:paraId="4C90E14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tLeast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94</w:t>
            </w:r>
          </w:p>
        </w:tc>
        <w:tc>
          <w:tcPr>
            <w:tcW w:w="850" w:type="dxa"/>
            <w:vAlign w:val="center"/>
          </w:tcPr>
          <w:p w14:paraId="2288E9A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tLeast"/>
              <w:jc w:val="center"/>
              <w:textAlignment w:val="auto"/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261</w:t>
            </w:r>
          </w:p>
        </w:tc>
        <w:tc>
          <w:tcPr>
            <w:tcW w:w="850" w:type="dxa"/>
            <w:vAlign w:val="center"/>
          </w:tcPr>
          <w:p w14:paraId="05119A0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tLeast"/>
              <w:jc w:val="center"/>
              <w:textAlignment w:val="auto"/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241</w:t>
            </w:r>
          </w:p>
        </w:tc>
      </w:tr>
      <w:tr w14:paraId="2EEFA0A3">
        <w:trPr>
          <w:trHeight w:val="170" w:hRule="atLeast"/>
        </w:trPr>
        <w:tc>
          <w:tcPr>
            <w:tcW w:w="1701" w:type="dxa"/>
            <w:vAlign w:val="center"/>
          </w:tcPr>
          <w:p w14:paraId="7F55DE2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tLeast"/>
              <w:jc w:val="both"/>
              <w:textAlignment w:val="auto"/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教育观点讨论</w:t>
            </w:r>
          </w:p>
        </w:tc>
        <w:tc>
          <w:tcPr>
            <w:tcW w:w="850" w:type="dxa"/>
            <w:vAlign w:val="center"/>
          </w:tcPr>
          <w:p w14:paraId="1905150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tLeast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62</w:t>
            </w:r>
          </w:p>
        </w:tc>
        <w:tc>
          <w:tcPr>
            <w:tcW w:w="850" w:type="dxa"/>
            <w:vAlign w:val="center"/>
          </w:tcPr>
          <w:p w14:paraId="15784BE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tLeast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77</w:t>
            </w:r>
          </w:p>
        </w:tc>
        <w:tc>
          <w:tcPr>
            <w:tcW w:w="850" w:type="dxa"/>
            <w:vAlign w:val="center"/>
          </w:tcPr>
          <w:p w14:paraId="6975568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tLeast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61</w:t>
            </w:r>
          </w:p>
        </w:tc>
        <w:tc>
          <w:tcPr>
            <w:tcW w:w="850" w:type="dxa"/>
            <w:vAlign w:val="center"/>
          </w:tcPr>
          <w:p w14:paraId="18FC0E2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tLeast"/>
              <w:jc w:val="center"/>
              <w:textAlignment w:val="auto"/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96</w:t>
            </w:r>
          </w:p>
        </w:tc>
        <w:tc>
          <w:tcPr>
            <w:tcW w:w="850" w:type="dxa"/>
            <w:vAlign w:val="center"/>
          </w:tcPr>
          <w:p w14:paraId="7D7A3DA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tLeast"/>
              <w:jc w:val="center"/>
              <w:textAlignment w:val="auto"/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68</w:t>
            </w:r>
          </w:p>
        </w:tc>
      </w:tr>
      <w:tr w14:paraId="5B114F09">
        <w:trPr>
          <w:trHeight w:val="170" w:hRule="atLeast"/>
        </w:trPr>
        <w:tc>
          <w:tcPr>
            <w:tcW w:w="1701" w:type="dxa"/>
            <w:vAlign w:val="center"/>
          </w:tcPr>
          <w:p w14:paraId="1C779CA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tLeast"/>
              <w:jc w:val="both"/>
              <w:textAlignment w:val="auto"/>
              <w:rPr>
                <w:rFonts w:hint="default"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爬取噪音</w:t>
            </w:r>
          </w:p>
        </w:tc>
        <w:tc>
          <w:tcPr>
            <w:tcW w:w="850" w:type="dxa"/>
            <w:vAlign w:val="center"/>
          </w:tcPr>
          <w:p w14:paraId="16F1B84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tLeast"/>
              <w:jc w:val="center"/>
              <w:textAlignment w:val="auto"/>
              <w:rPr>
                <w:rFonts w:hint="default"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70</w:t>
            </w:r>
          </w:p>
        </w:tc>
        <w:tc>
          <w:tcPr>
            <w:tcW w:w="850" w:type="dxa"/>
            <w:vAlign w:val="center"/>
          </w:tcPr>
          <w:p w14:paraId="5B2A18E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tLeast"/>
              <w:jc w:val="center"/>
              <w:textAlignment w:val="auto"/>
              <w:rPr>
                <w:rFonts w:hint="default"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53</w:t>
            </w:r>
          </w:p>
        </w:tc>
        <w:tc>
          <w:tcPr>
            <w:tcW w:w="850" w:type="dxa"/>
            <w:vAlign w:val="center"/>
          </w:tcPr>
          <w:p w14:paraId="49B8E42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tLeast"/>
              <w:jc w:val="center"/>
              <w:textAlignment w:val="auto"/>
              <w:rPr>
                <w:rFonts w:hint="default"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249</w:t>
            </w:r>
          </w:p>
        </w:tc>
        <w:tc>
          <w:tcPr>
            <w:tcW w:w="850" w:type="dxa"/>
            <w:vAlign w:val="center"/>
          </w:tcPr>
          <w:p w14:paraId="4981AC4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tLeast"/>
              <w:jc w:val="center"/>
              <w:textAlignment w:val="auto"/>
              <w:rPr>
                <w:rFonts w:hint="default"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107</w:t>
            </w:r>
          </w:p>
        </w:tc>
        <w:tc>
          <w:tcPr>
            <w:tcW w:w="850" w:type="dxa"/>
            <w:vAlign w:val="center"/>
          </w:tcPr>
          <w:p w14:paraId="4ACC7C0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tLeast"/>
              <w:jc w:val="center"/>
              <w:textAlignment w:val="auto"/>
              <w:rPr>
                <w:rFonts w:hint="default"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110</w:t>
            </w:r>
          </w:p>
        </w:tc>
      </w:tr>
      <w:tr w14:paraId="1057DA6B">
        <w:trPr>
          <w:trHeight w:val="170" w:hRule="atLeast"/>
        </w:trPr>
        <w:tc>
          <w:tcPr>
            <w:tcW w:w="1701" w:type="dxa"/>
            <w:vAlign w:val="center"/>
          </w:tcPr>
          <w:p w14:paraId="059FFAC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tLeast"/>
              <w:jc w:val="both"/>
              <w:textAlignment w:val="auto"/>
              <w:rPr>
                <w:rFonts w:hint="default"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其他讨论</w:t>
            </w:r>
          </w:p>
        </w:tc>
        <w:tc>
          <w:tcPr>
            <w:tcW w:w="850" w:type="dxa"/>
            <w:vAlign w:val="center"/>
          </w:tcPr>
          <w:p w14:paraId="003C0B1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tLeast"/>
              <w:jc w:val="center"/>
              <w:textAlignment w:val="auto"/>
              <w:rPr>
                <w:rFonts w:hint="default"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45</w:t>
            </w:r>
          </w:p>
        </w:tc>
        <w:tc>
          <w:tcPr>
            <w:tcW w:w="850" w:type="dxa"/>
            <w:vAlign w:val="center"/>
          </w:tcPr>
          <w:p w14:paraId="26FBE0C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tLeast"/>
              <w:jc w:val="center"/>
              <w:textAlignment w:val="auto"/>
              <w:rPr>
                <w:rFonts w:hint="default"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38</w:t>
            </w:r>
          </w:p>
        </w:tc>
        <w:tc>
          <w:tcPr>
            <w:tcW w:w="850" w:type="dxa"/>
            <w:vAlign w:val="center"/>
          </w:tcPr>
          <w:p w14:paraId="5295472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tLeast"/>
              <w:jc w:val="center"/>
              <w:textAlignment w:val="auto"/>
              <w:rPr>
                <w:rFonts w:hint="default"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42</w:t>
            </w:r>
          </w:p>
        </w:tc>
        <w:tc>
          <w:tcPr>
            <w:tcW w:w="850" w:type="dxa"/>
            <w:vAlign w:val="center"/>
          </w:tcPr>
          <w:p w14:paraId="7CEC55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tLeast"/>
              <w:jc w:val="center"/>
              <w:textAlignment w:val="auto"/>
              <w:rPr>
                <w:rFonts w:hint="default"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44</w:t>
            </w:r>
          </w:p>
        </w:tc>
        <w:tc>
          <w:tcPr>
            <w:tcW w:w="850" w:type="dxa"/>
            <w:vAlign w:val="center"/>
          </w:tcPr>
          <w:p w14:paraId="7B0A722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tLeast"/>
              <w:jc w:val="center"/>
              <w:textAlignment w:val="auto"/>
              <w:rPr>
                <w:rFonts w:hint="default"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54</w:t>
            </w:r>
          </w:p>
        </w:tc>
      </w:tr>
    </w:tbl>
    <w:p w14:paraId="3AF7617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tLeast"/>
        <w:textAlignment w:val="auto"/>
        <w:rPr>
          <w:rFonts w:hint="eastAsia"/>
          <w:lang w:val="en-US" w:eastAsia="zh-CN"/>
        </w:rPr>
      </w:pPr>
    </w:p>
    <w:p w14:paraId="0DF405F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tLeast"/>
        <w:textAlignment w:val="auto"/>
        <w:rPr>
          <w:rFonts w:hint="eastAsia" w:eastAsia="宋体"/>
          <w:lang w:eastAsia="zh-CN"/>
        </w:rPr>
      </w:pPr>
      <w:r>
        <w:rPr>
          <w:rFonts w:hint="eastAsia"/>
          <w:lang w:val="en-US" w:eastAsia="zh-CN"/>
        </w:rPr>
        <w:t>Mr.张</w:t>
      </w:r>
      <w:r>
        <w:rPr>
          <w:rFonts w:hint="eastAsia" w:eastAsia="宋体"/>
          <w:lang w:eastAsia="zh-CN"/>
        </w:rPr>
        <w:t>去世约 2 个月后，抖音上爆发了一场大规模玩梗浪潮，把整体发帖量从衰减谷底重新拉起。悼念早已退潮（悼念帖W18后没怎么涨），教育讨论也没回温——这第二波注意力峰值，是玩梗驱动的，跟W13那波悼念驱动的尖峰性质完全不同。</w:t>
      </w:r>
    </w:p>
    <w:p w14:paraId="2E42B94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tLeast"/>
        <w:textAlignment w:val="auto"/>
        <w:rPr>
          <w:rFonts w:hint="eastAsia" w:eastAsia="宋体"/>
          <w:lang w:eastAsia="zh-CN"/>
        </w:rPr>
      </w:pPr>
    </w:p>
    <w:p w14:paraId="0BE727C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tLeast"/>
        <w:jc w:val="center"/>
        <w:textAlignment w:val="auto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73675" cy="2085340"/>
            <wp:effectExtent l="0" t="0" r="9525" b="22860"/>
            <wp:docPr id="3" name="图片 3" descr="截屏2026-09-06 下午9.41.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截屏2026-09-06 下午9.41.3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08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928B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tLeast"/>
        <w:jc w:val="center"/>
        <w:textAlignment w:val="auto"/>
        <w:rPr>
          <w:rFonts w:hint="eastAsia" w:eastAsia="宋体"/>
          <w:lang w:eastAsia="zh-CN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1"/>
        <w:gridCol w:w="1482"/>
        <w:gridCol w:w="2216"/>
        <w:gridCol w:w="3005"/>
      </w:tblGrid>
      <w:tr w14:paraId="39139F4E">
        <w:trPr>
          <w:trHeight w:val="170" w:hRule="atLeast"/>
        </w:trPr>
        <w:tc>
          <w:tcPr>
            <w:tcW w:w="1651" w:type="dxa"/>
            <w:shd w:val="clear" w:color="auto" w:fill="C7E4B3" w:themeFill="accent4" w:themeFillTint="66"/>
            <w:vAlign w:val="center"/>
          </w:tcPr>
          <w:p w14:paraId="7ACDE9B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tLeast"/>
              <w:jc w:val="center"/>
              <w:textAlignment w:val="auto"/>
              <w:rPr>
                <w:rFonts w:hint="eastAsia" w:eastAsia="宋体"/>
                <w:sz w:val="15"/>
                <w:szCs w:val="15"/>
                <w:vertAlign w:val="baseline"/>
                <w:lang w:eastAsia="zh-CN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5"/>
                <w:szCs w:val="15"/>
                <w:lang w:val="en-US" w:eastAsia="zh-CN" w:bidi="ar"/>
              </w:rPr>
              <w:t>观察</w:t>
            </w:r>
          </w:p>
        </w:tc>
        <w:tc>
          <w:tcPr>
            <w:tcW w:w="1482" w:type="dxa"/>
            <w:shd w:val="clear" w:color="auto" w:fill="C7E4B3" w:themeFill="accent4" w:themeFillTint="66"/>
            <w:vAlign w:val="center"/>
          </w:tcPr>
          <w:p w14:paraId="37C1B22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tLeast"/>
              <w:jc w:val="center"/>
              <w:textAlignment w:val="auto"/>
              <w:rPr>
                <w:rFonts w:hint="eastAsia" w:eastAsia="宋体"/>
                <w:sz w:val="15"/>
                <w:szCs w:val="15"/>
                <w:vertAlign w:val="baseline"/>
                <w:lang w:eastAsia="zh-CN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5"/>
                <w:szCs w:val="15"/>
                <w:lang w:val="en-US" w:eastAsia="zh-CN" w:bidi="ar"/>
              </w:rPr>
              <w:t>现象</w:t>
            </w:r>
          </w:p>
        </w:tc>
        <w:tc>
          <w:tcPr>
            <w:tcW w:w="2216" w:type="dxa"/>
            <w:shd w:val="clear" w:color="auto" w:fill="C7E4B3" w:themeFill="accent4" w:themeFillTint="66"/>
            <w:vAlign w:val="center"/>
          </w:tcPr>
          <w:p w14:paraId="50E0F51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tLeast"/>
              <w:jc w:val="center"/>
              <w:textAlignment w:val="auto"/>
              <w:rPr>
                <w:rFonts w:hint="eastAsia" w:eastAsia="宋体"/>
                <w:sz w:val="15"/>
                <w:szCs w:val="15"/>
                <w:vertAlign w:val="baseline"/>
                <w:lang w:eastAsia="zh-CN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5"/>
                <w:szCs w:val="15"/>
                <w:lang w:val="en-US" w:eastAsia="zh-CN" w:bidi="ar"/>
              </w:rPr>
              <w:t>理论解释</w:t>
            </w:r>
          </w:p>
        </w:tc>
        <w:tc>
          <w:tcPr>
            <w:tcW w:w="3005" w:type="dxa"/>
            <w:shd w:val="clear" w:color="auto" w:fill="C7E4B3" w:themeFill="accent4" w:themeFillTint="66"/>
            <w:vAlign w:val="center"/>
          </w:tcPr>
          <w:p w14:paraId="0ACAB9F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tLeast"/>
              <w:jc w:val="center"/>
              <w:textAlignment w:val="auto"/>
              <w:rPr>
                <w:rFonts w:hint="eastAsia" w:eastAsia="宋体"/>
                <w:sz w:val="15"/>
                <w:szCs w:val="15"/>
                <w:vertAlign w:val="baseline"/>
                <w:lang w:eastAsia="zh-CN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5"/>
                <w:szCs w:val="15"/>
                <w:lang w:val="en-US" w:eastAsia="zh-CN" w:bidi="ar"/>
              </w:rPr>
              <w:t>转化成ABM规则</w:t>
            </w:r>
          </w:p>
        </w:tc>
      </w:tr>
      <w:tr w14:paraId="34527674">
        <w:trPr>
          <w:trHeight w:val="170" w:hRule="atLeast"/>
        </w:trPr>
        <w:tc>
          <w:tcPr>
            <w:tcW w:w="1651" w:type="dxa"/>
            <w:vAlign w:val="center"/>
          </w:tcPr>
          <w:p w14:paraId="3B6E50C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tLeast"/>
              <w:jc w:val="both"/>
              <w:textAlignment w:val="auto"/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1</w:t>
            </w: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.生前梗基础</w:t>
            </w:r>
          </w:p>
        </w:tc>
        <w:tc>
          <w:tcPr>
            <w:tcW w:w="1482" w:type="dxa"/>
            <w:vAlign w:val="center"/>
          </w:tcPr>
          <w:p w14:paraId="6B218C2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tLeast"/>
              <w:jc w:val="both"/>
              <w:textAlignment w:val="auto"/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去世前真正的玩梗很少，但已经存在少量关于张雪峰的“活人梗”</w:t>
            </w:r>
          </w:p>
        </w:tc>
        <w:tc>
          <w:tcPr>
            <w:tcW w:w="2216" w:type="dxa"/>
            <w:vAlign w:val="center"/>
          </w:tcPr>
          <w:p w14:paraId="4E3240D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tLeast"/>
              <w:jc w:val="both"/>
              <w:textAlignment w:val="auto"/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去世后的梗不是凭空出现，而是在生前已有话语和模板上重新组合</w:t>
            </w:r>
          </w:p>
        </w:tc>
        <w:tc>
          <w:tcPr>
            <w:tcW w:w="3005" w:type="dxa"/>
            <w:vAlign w:val="center"/>
          </w:tcPr>
          <w:p w14:paraId="5AF2591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tLeast"/>
              <w:jc w:val="both"/>
              <w:textAlignment w:val="auto"/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初始内容库保留少量既有梗模板；死亡事件只提高旧模板被调用、改写和二创的可能性，不直接强制产生梗</w:t>
            </w:r>
          </w:p>
        </w:tc>
      </w:tr>
      <w:tr w14:paraId="67B7B884">
        <w:trPr>
          <w:trHeight w:val="170" w:hRule="atLeast"/>
        </w:trPr>
        <w:tc>
          <w:tcPr>
            <w:tcW w:w="1651" w:type="dxa"/>
            <w:vAlign w:val="center"/>
          </w:tcPr>
          <w:p w14:paraId="1955695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tLeast"/>
              <w:jc w:val="both"/>
              <w:textAlignment w:val="auto"/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2</w:t>
            </w: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.延迟爆发</w:t>
            </w:r>
          </w:p>
        </w:tc>
        <w:tc>
          <w:tcPr>
            <w:tcW w:w="1482" w:type="dxa"/>
            <w:vAlign w:val="center"/>
          </w:tcPr>
          <w:p w14:paraId="5571D13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tLeast"/>
              <w:jc w:val="both"/>
              <w:textAlignment w:val="auto"/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W13出现少量早期死亡梗，但真正的大规模增长发生在W20—W22</w:t>
            </w:r>
          </w:p>
        </w:tc>
        <w:tc>
          <w:tcPr>
            <w:tcW w:w="2216" w:type="dxa"/>
            <w:vAlign w:val="center"/>
          </w:tcPr>
          <w:p w14:paraId="5EF3BE5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tLeast"/>
              <w:jc w:val="both"/>
              <w:textAlignment w:val="auto"/>
              <w:rPr>
                <w:rFonts w:hint="default"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梗需要经历模板形成、模仿扩散和推荐反馈，因此可能延迟爆发</w:t>
            </w:r>
          </w:p>
        </w:tc>
        <w:tc>
          <w:tcPr>
            <w:tcW w:w="3005" w:type="dxa"/>
            <w:vAlign w:val="center"/>
          </w:tcPr>
          <w:p w14:paraId="17DEC55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tLeast"/>
              <w:jc w:val="both"/>
              <w:textAlignment w:val="auto"/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玩梗概率受重复曝光、可见热度、模仿倾向、内容可二创性和算法推荐影响；不能直接写死“第五周爆发”或“达到60%”</w:t>
            </w:r>
          </w:p>
        </w:tc>
      </w:tr>
    </w:tbl>
    <w:p w14:paraId="2789A8A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tLeast"/>
        <w:jc w:val="both"/>
        <w:textAlignment w:val="auto"/>
        <w:rPr>
          <w:rFonts w:hint="eastAsia" w:eastAsia="宋体"/>
          <w:lang w:eastAsia="zh-CN"/>
        </w:rPr>
      </w:pPr>
    </w:p>
    <w:p w14:paraId="34F6FA1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tLeast"/>
        <w:jc w:val="both"/>
        <w:textAlignment w:val="auto"/>
        <w:rPr>
          <w:rFonts w:hint="eastAsia" w:eastAsia="宋体"/>
          <w:lang w:eastAsia="zh-CN"/>
        </w:rPr>
      </w:pPr>
    </w:p>
    <w:p w14:paraId="5527F15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tLeast"/>
        <w:jc w:val="both"/>
        <w:textAlignment w:val="auto"/>
        <w:rPr>
          <w:rFonts w:hint="eastAsia" w:eastAsia="宋体"/>
          <w:lang w:eastAsia="zh-CN"/>
        </w:rPr>
      </w:pPr>
    </w:p>
    <w:p w14:paraId="06C67C3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tLeast"/>
        <w:jc w:val="both"/>
        <w:textAlignment w:val="auto"/>
        <w:rPr>
          <w:rFonts w:hint="eastAsia" w:eastAsia="宋体"/>
          <w:lang w:eastAsia="zh-CN"/>
        </w:rPr>
      </w:pPr>
    </w:p>
    <w:p w14:paraId="2332073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tLeast"/>
        <w:jc w:val="both"/>
        <w:textAlignment w:val="auto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71770" cy="2818130"/>
            <wp:effectExtent l="0" t="0" r="11430" b="1270"/>
            <wp:docPr id="5" name="图片 5" descr="截屏2026-09-06 下午9.47.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截屏2026-09-06 下午9.47.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6CB9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tLeast"/>
        <w:jc w:val="both"/>
        <w:textAlignment w:val="auto"/>
        <w:rPr>
          <w:rFonts w:hint="eastAsia" w:eastAsia="宋体"/>
          <w:lang w:eastAsia="zh-CN"/>
        </w:rPr>
      </w:pPr>
    </w:p>
    <w:p w14:paraId="0989807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tLeast"/>
        <w:jc w:val="both"/>
        <w:textAlignment w:val="auto"/>
        <w:rPr>
          <w:rFonts w:hint="eastAsia" w:eastAsia="宋体"/>
          <w:lang w:eastAsia="zh-CN"/>
        </w:rPr>
      </w:pPr>
    </w:p>
    <w:p w14:paraId="6DAA72E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tLeast"/>
        <w:jc w:val="center"/>
        <w:textAlignment w:val="auto"/>
        <w:rPr>
          <w:rFonts w:hint="eastAsia" w:eastAsia="宋体"/>
          <w:lang w:eastAsia="zh-CN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8"/>
        <w:gridCol w:w="1656"/>
        <w:gridCol w:w="2079"/>
        <w:gridCol w:w="2000"/>
        <w:gridCol w:w="1546"/>
      </w:tblGrid>
      <w:tr w14:paraId="574530B8">
        <w:trPr>
          <w:trHeight w:val="170" w:hRule="atLeast"/>
        </w:trPr>
        <w:tc>
          <w:tcPr>
            <w:tcW w:w="1238" w:type="dxa"/>
            <w:shd w:val="clear" w:color="auto" w:fill="C7E4B3" w:themeFill="accent4" w:themeFillTint="66"/>
            <w:vAlign w:val="center"/>
          </w:tcPr>
          <w:p w14:paraId="2029519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tLeast"/>
              <w:jc w:val="center"/>
              <w:textAlignment w:val="auto"/>
              <w:rPr>
                <w:rFonts w:hint="default" w:eastAsia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z w:val="15"/>
                <w:szCs w:val="15"/>
                <w:vertAlign w:val="baseline"/>
                <w:lang w:val="en-US" w:eastAsia="zh-CN"/>
              </w:rPr>
              <w:t>阶段</w:t>
            </w:r>
          </w:p>
        </w:tc>
        <w:tc>
          <w:tcPr>
            <w:tcW w:w="1656" w:type="dxa"/>
            <w:shd w:val="clear" w:color="auto" w:fill="C7E4B3" w:themeFill="accent4" w:themeFillTint="66"/>
            <w:vAlign w:val="center"/>
          </w:tcPr>
          <w:p w14:paraId="7D77605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tLeast"/>
              <w:jc w:val="center"/>
              <w:textAlignment w:val="auto"/>
              <w:rPr>
                <w:rFonts w:hint="eastAsia" w:eastAsia="宋体"/>
                <w:sz w:val="15"/>
                <w:szCs w:val="15"/>
                <w:vertAlign w:val="baseline"/>
                <w:lang w:eastAsia="zh-CN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5"/>
                <w:szCs w:val="15"/>
                <w:lang w:val="en-US" w:eastAsia="zh-CN" w:bidi="ar"/>
              </w:rPr>
              <w:t>现象</w:t>
            </w:r>
          </w:p>
        </w:tc>
        <w:tc>
          <w:tcPr>
            <w:tcW w:w="2079" w:type="dxa"/>
            <w:shd w:val="clear" w:color="auto" w:fill="C7E4B3" w:themeFill="accent4" w:themeFillTint="66"/>
            <w:vAlign w:val="center"/>
          </w:tcPr>
          <w:p w14:paraId="143F300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tLeast"/>
              <w:jc w:val="center"/>
              <w:textAlignment w:val="auto"/>
              <w:rPr>
                <w:rFonts w:hint="eastAsia" w:eastAsia="宋体"/>
                <w:sz w:val="15"/>
                <w:szCs w:val="15"/>
                <w:vertAlign w:val="baseline"/>
                <w:lang w:eastAsia="zh-CN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5"/>
                <w:szCs w:val="15"/>
                <w:lang w:val="en-US" w:eastAsia="zh-CN" w:bidi="ar"/>
              </w:rPr>
              <w:t>解释</w:t>
            </w:r>
          </w:p>
        </w:tc>
        <w:tc>
          <w:tcPr>
            <w:tcW w:w="2000" w:type="dxa"/>
            <w:shd w:val="clear" w:color="auto" w:fill="C7E4B3" w:themeFill="accent4" w:themeFillTint="66"/>
            <w:vAlign w:val="center"/>
          </w:tcPr>
          <w:p w14:paraId="44CBDCD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tLeast"/>
              <w:jc w:val="center"/>
              <w:textAlignment w:val="auto"/>
              <w:rPr>
                <w:rFonts w:hint="eastAsia" w:eastAsia="宋体"/>
                <w:sz w:val="15"/>
                <w:szCs w:val="15"/>
                <w:vertAlign w:val="baseline"/>
                <w:lang w:eastAsia="zh-CN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5"/>
                <w:szCs w:val="15"/>
                <w:lang w:val="en-US" w:eastAsia="zh-CN" w:bidi="ar"/>
              </w:rPr>
              <w:t>转化成ABM规则</w:t>
            </w:r>
          </w:p>
        </w:tc>
        <w:tc>
          <w:tcPr>
            <w:tcW w:w="1546" w:type="dxa"/>
            <w:shd w:val="clear" w:color="auto" w:fill="C7E4B3" w:themeFill="accent4" w:themeFillTint="66"/>
            <w:vAlign w:val="center"/>
          </w:tcPr>
          <w:p w14:paraId="29798EE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tLeast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15"/>
                <w:szCs w:val="15"/>
                <w:lang w:val="en-US" w:eastAsia="zh-CN" w:bidi="ar"/>
              </w:rPr>
              <w:t>备注</w:t>
            </w:r>
          </w:p>
        </w:tc>
      </w:tr>
      <w:tr w14:paraId="6B004AAA">
        <w:trPr>
          <w:trHeight w:val="170" w:hRule="atLeast"/>
        </w:trPr>
        <w:tc>
          <w:tcPr>
            <w:tcW w:w="1238" w:type="dxa"/>
            <w:vAlign w:val="center"/>
          </w:tcPr>
          <w:p w14:paraId="162F767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tLeast"/>
              <w:jc w:val="both"/>
              <w:textAlignment w:val="auto"/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W05–W12</w:t>
            </w:r>
          </w:p>
        </w:tc>
        <w:tc>
          <w:tcPr>
            <w:tcW w:w="1656" w:type="dxa"/>
            <w:vAlign w:val="center"/>
          </w:tcPr>
          <w:p w14:paraId="0221BF2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tLeast"/>
              <w:jc w:val="both"/>
              <w:textAlignment w:val="auto"/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总发言量较低，主要由营销内容构成；W06、W10和W12有小幅波动，悼念、玩梗几乎没有</w:t>
            </w:r>
          </w:p>
        </w:tc>
        <w:tc>
          <w:tcPr>
            <w:tcW w:w="2079" w:type="dxa"/>
            <w:vAlign w:val="center"/>
          </w:tcPr>
          <w:p w14:paraId="2FA6B18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tLeast"/>
              <w:jc w:val="both"/>
              <w:textAlignment w:val="auto"/>
              <w:rPr>
                <w:rFonts w:hint="default"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日常公共表征主要围绕商业传播和教育身份展开。人物虽然持续可见，但尚未成为高强度公共事件</w:t>
            </w:r>
          </w:p>
        </w:tc>
        <w:tc>
          <w:tcPr>
            <w:tcW w:w="2000" w:type="dxa"/>
            <w:vAlign w:val="center"/>
          </w:tcPr>
          <w:p w14:paraId="71D7806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tLeast"/>
              <w:jc w:val="both"/>
              <w:textAlignment w:val="auto"/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建立生前历史内容库，保留教育内容、生前旧梗和既有热度。营销若保留，应作为独立内容供给，而不是普通Agent的一种表达框架</w:t>
            </w:r>
          </w:p>
        </w:tc>
        <w:tc>
          <w:tcPr>
            <w:tcW w:w="1546" w:type="dxa"/>
            <w:vAlign w:val="center"/>
          </w:tcPr>
          <w:p w14:paraId="226F83F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tLeast"/>
              <w:jc w:val="both"/>
              <w:textAlignment w:val="auto"/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</w:pPr>
          </w:p>
        </w:tc>
      </w:tr>
      <w:tr w14:paraId="699C002D">
        <w:trPr>
          <w:trHeight w:val="170" w:hRule="atLeast"/>
        </w:trPr>
        <w:tc>
          <w:tcPr>
            <w:tcW w:w="1238" w:type="dxa"/>
            <w:vAlign w:val="center"/>
          </w:tcPr>
          <w:p w14:paraId="4915312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tLeast"/>
              <w:jc w:val="both"/>
              <w:textAlignment w:val="auto"/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W13</w:t>
            </w:r>
          </w:p>
        </w:tc>
        <w:tc>
          <w:tcPr>
            <w:tcW w:w="1656" w:type="dxa"/>
            <w:vAlign w:val="center"/>
          </w:tcPr>
          <w:p w14:paraId="19AC859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tLeast"/>
              <w:jc w:val="both"/>
              <w:textAlignment w:val="auto"/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总量达到10,804条。悼念约4,600—4,800条，是最大单类；但“其他”、营销和教育也同时大幅增加，玩梗仍很少</w:t>
            </w:r>
          </w:p>
        </w:tc>
        <w:tc>
          <w:tcPr>
            <w:tcW w:w="2079" w:type="dxa"/>
            <w:vAlign w:val="center"/>
          </w:tcPr>
          <w:p w14:paraId="35BBF59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tLeast"/>
              <w:jc w:val="both"/>
              <w:textAlignment w:val="auto"/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死亡事件首先提升的是人物整体显著性，而不只是悼念概率。人物相关的新闻、教育讨论、商业内容和历史内容都被重新激活</w:t>
            </w:r>
          </w:p>
        </w:tc>
        <w:tc>
          <w:tcPr>
            <w:tcW w:w="2000" w:type="dxa"/>
            <w:vAlign w:val="center"/>
          </w:tcPr>
          <w:p w14:paraId="4C807DA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tLeast"/>
              <w:jc w:val="both"/>
              <w:textAlignment w:val="auto"/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死亡事件应提高人物相关内容的总体召回率与Agent参与概率，而不是直接命令Agent悼念。Agent随后再根据曝光、偏好和内容属性选择表达框架</w:t>
            </w:r>
          </w:p>
        </w:tc>
        <w:tc>
          <w:tcPr>
            <w:tcW w:w="1546" w:type="dxa"/>
            <w:vAlign w:val="center"/>
          </w:tcPr>
          <w:p w14:paraId="6056CF1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tLeast"/>
              <w:jc w:val="both"/>
              <w:textAlignment w:val="auto"/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约</w:t>
            </w: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四分之一</w:t>
            </w: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帖子属于其他类型</w:t>
            </w:r>
          </w:p>
        </w:tc>
      </w:tr>
      <w:tr w14:paraId="4D4F1D49">
        <w:trPr>
          <w:trHeight w:val="170" w:hRule="atLeast"/>
        </w:trPr>
        <w:tc>
          <w:tcPr>
            <w:tcW w:w="1238" w:type="dxa"/>
            <w:vAlign w:val="center"/>
          </w:tcPr>
          <w:p w14:paraId="1E0241E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tLeast"/>
              <w:jc w:val="both"/>
              <w:textAlignment w:val="auto"/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W14</w:t>
            </w:r>
          </w:p>
        </w:tc>
        <w:tc>
          <w:tcPr>
            <w:tcW w:w="1656" w:type="dxa"/>
            <w:vAlign w:val="center"/>
          </w:tcPr>
          <w:p w14:paraId="6D4A079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tLeast"/>
              <w:jc w:val="both"/>
              <w:textAlignment w:val="auto"/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总量仍有7,964条，说明关注没有立即消失；但悼念绝对量已由约4,700条降至约1,400—1,500条，营销、教育和“其他”开始占据更大部分</w:t>
            </w:r>
          </w:p>
        </w:tc>
        <w:tc>
          <w:tcPr>
            <w:tcW w:w="2079" w:type="dxa"/>
            <w:vAlign w:val="center"/>
          </w:tcPr>
          <w:p w14:paraId="02530C4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tLeast"/>
              <w:jc w:val="both"/>
              <w:textAlignment w:val="auto"/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总体注意持续时间与悼念框架持续时间不同。人们仍在讨论这个人物，但讨论方式已经迅速分化</w:t>
            </w:r>
          </w:p>
        </w:tc>
        <w:tc>
          <w:tcPr>
            <w:tcW w:w="2000" w:type="dxa"/>
            <w:vAlign w:val="center"/>
          </w:tcPr>
          <w:p w14:paraId="6EF90C9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tLeast"/>
              <w:jc w:val="both"/>
              <w:textAlignment w:val="auto"/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模型必须分成两步：①Agent是否参与人物讨论；②参与后选择何种框架。不能用一个统一的“死亡热度”同时控制发帖量和悼念概率</w:t>
            </w:r>
          </w:p>
        </w:tc>
        <w:tc>
          <w:tcPr>
            <w:tcW w:w="1546" w:type="dxa"/>
            <w:vAlign w:val="center"/>
          </w:tcPr>
          <w:p w14:paraId="4342209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tLeast"/>
              <w:jc w:val="both"/>
              <w:textAlignment w:val="auto"/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只能观察总体结构变化，不能证明</w:t>
            </w:r>
            <w:r>
              <w:rPr>
                <w:rFonts w:ascii="宋体" w:hAnsi="宋体" w:eastAsia="宋体" w:cs="宋体"/>
                <w:kern w:val="0"/>
                <w:sz w:val="15"/>
                <w:szCs w:val="15"/>
                <w:highlight w:val="yellow"/>
                <w:lang w:val="en-US" w:eastAsia="zh-CN" w:bidi="ar"/>
              </w:rPr>
              <w:t>同一批用户</w:t>
            </w: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从悼念转向教育、营销或其他表达</w:t>
            </w:r>
          </w:p>
        </w:tc>
      </w:tr>
      <w:tr w14:paraId="3B4AD49F">
        <w:trPr>
          <w:trHeight w:val="170" w:hRule="atLeast"/>
        </w:trPr>
        <w:tc>
          <w:tcPr>
            <w:tcW w:w="1238" w:type="dxa"/>
            <w:vAlign w:val="center"/>
          </w:tcPr>
          <w:p w14:paraId="56617DA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tLeast"/>
              <w:jc w:val="both"/>
              <w:textAlignment w:val="auto"/>
              <w:rPr>
                <w:rFonts w:hint="default"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W14</w:t>
            </w: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-W16</w:t>
            </w:r>
          </w:p>
        </w:tc>
        <w:tc>
          <w:tcPr>
            <w:tcW w:w="1656" w:type="dxa"/>
            <w:vAlign w:val="center"/>
          </w:tcPr>
          <w:p w14:paraId="06DE172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tLeast"/>
              <w:jc w:val="both"/>
              <w:textAlignment w:val="auto"/>
              <w:rPr>
                <w:rFonts w:hint="default"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教育类帖子明显增多</w:t>
            </w:r>
          </w:p>
        </w:tc>
        <w:tc>
          <w:tcPr>
            <w:tcW w:w="2079" w:type="dxa"/>
            <w:vAlign w:val="center"/>
          </w:tcPr>
          <w:p w14:paraId="50E7CA7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tLeast"/>
              <w:jc w:val="both"/>
              <w:textAlignment w:val="auto"/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可能是因为悼念和死亡信息可以即时发布，而整理生前观点、搬运历史视频、评价教育贡献需要一定的内容生产时间。同时，高考倒计时等时令需求可能延长了教育内容的传播。</w:t>
            </w:r>
          </w:p>
        </w:tc>
        <w:tc>
          <w:tcPr>
            <w:tcW w:w="2000" w:type="dxa"/>
            <w:vAlign w:val="center"/>
          </w:tcPr>
          <w:p w14:paraId="2BDD930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tLeast"/>
              <w:jc w:val="both"/>
              <w:textAlignment w:val="auto"/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</w:pPr>
          </w:p>
        </w:tc>
        <w:tc>
          <w:tcPr>
            <w:tcW w:w="1546" w:type="dxa"/>
            <w:vAlign w:val="center"/>
          </w:tcPr>
          <w:p w14:paraId="7CBE871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tLeast"/>
              <w:jc w:val="both"/>
              <w:textAlignment w:val="auto"/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教育出现了两次——逝前的活人教育讨论，和逝后的遗产消费教育，性质完全不同。</w:t>
            </w:r>
          </w:p>
        </w:tc>
      </w:tr>
      <w:tr w14:paraId="75B2A7E1">
        <w:trPr>
          <w:trHeight w:val="170" w:hRule="atLeast"/>
        </w:trPr>
        <w:tc>
          <w:tcPr>
            <w:tcW w:w="1238" w:type="dxa"/>
            <w:vAlign w:val="center"/>
          </w:tcPr>
          <w:p w14:paraId="0DFC880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tLeast"/>
              <w:jc w:val="both"/>
              <w:textAlignment w:val="auto"/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W15–W18</w:t>
            </w:r>
          </w:p>
        </w:tc>
        <w:tc>
          <w:tcPr>
            <w:tcW w:w="1656" w:type="dxa"/>
            <w:vAlign w:val="center"/>
          </w:tcPr>
          <w:p w14:paraId="3AEF65E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tLeast"/>
              <w:jc w:val="both"/>
              <w:textAlignment w:val="auto"/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总量从约4,500条降至约1,500条；悼念下降最快，教育、营销和其他内容下降较慢；玩梗仍处在较低水平</w:t>
            </w:r>
          </w:p>
        </w:tc>
        <w:tc>
          <w:tcPr>
            <w:tcW w:w="2079" w:type="dxa"/>
            <w:vAlign w:val="center"/>
          </w:tcPr>
          <w:p w14:paraId="62EA72D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tLeast"/>
              <w:jc w:val="both"/>
              <w:textAlignment w:val="auto"/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集体注意逐渐衰减，但不同内容具有不同生命周期。死亡信息高度依赖时效；</w:t>
            </w:r>
            <w:r>
              <w:rPr>
                <w:rFonts w:ascii="宋体" w:hAnsi="宋体" w:eastAsia="宋体" w:cs="宋体"/>
                <w:b/>
                <w:bCs/>
                <w:kern w:val="0"/>
                <w:sz w:val="15"/>
                <w:szCs w:val="15"/>
                <w:highlight w:val="none"/>
                <w:lang w:val="en-US" w:eastAsia="zh-CN" w:bidi="ar"/>
              </w:rPr>
              <w:t>教育内容和历史内容则具有更强的持续性</w:t>
            </w:r>
          </w:p>
        </w:tc>
        <w:tc>
          <w:tcPr>
            <w:tcW w:w="2000" w:type="dxa"/>
            <w:vAlign w:val="center"/>
          </w:tcPr>
          <w:p w14:paraId="5E9596B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tLeast"/>
              <w:jc w:val="both"/>
              <w:textAlignment w:val="auto"/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设置会自然衰减的事件关注；内容具有不同的时效性、历史热度和可再利用性。近期曝光也应随时间衰减</w:t>
            </w:r>
          </w:p>
        </w:tc>
        <w:tc>
          <w:tcPr>
            <w:tcW w:w="1546" w:type="dxa"/>
            <w:vAlign w:val="center"/>
          </w:tcPr>
          <w:p w14:paraId="0AA5693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tLeast"/>
              <w:jc w:val="both"/>
              <w:textAlignment w:val="auto"/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</w:pPr>
          </w:p>
        </w:tc>
      </w:tr>
      <w:tr w14:paraId="511BBCFC">
        <w:trPr>
          <w:trHeight w:val="170" w:hRule="atLeast"/>
        </w:trPr>
        <w:tc>
          <w:tcPr>
            <w:tcW w:w="1238" w:type="dxa"/>
            <w:vAlign w:val="center"/>
          </w:tcPr>
          <w:p w14:paraId="063C56F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tLeast"/>
              <w:jc w:val="both"/>
              <w:textAlignment w:val="auto"/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W19–W20：第二轮增长启动</w:t>
            </w:r>
          </w:p>
        </w:tc>
        <w:tc>
          <w:tcPr>
            <w:tcW w:w="1656" w:type="dxa"/>
            <w:vAlign w:val="center"/>
          </w:tcPr>
          <w:p w14:paraId="05B8506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tLeast"/>
              <w:jc w:val="both"/>
              <w:textAlignment w:val="auto"/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总量结束下降，由约1,600条升至约2,300条；最明显的新增部分来自玩梗，其他类别变化相对有限</w:t>
            </w:r>
          </w:p>
        </w:tc>
        <w:tc>
          <w:tcPr>
            <w:tcW w:w="2079" w:type="dxa"/>
            <w:vAlign w:val="center"/>
          </w:tcPr>
          <w:p w14:paraId="1CFDA18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tLeast"/>
              <w:jc w:val="both"/>
              <w:textAlignment w:val="auto"/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可能出现了旧梗再激活、模板搬运、重复曝光和初步社会强化。内容不再只是消耗死亡事件带来的注意，也开始自行生产新的注意</w:t>
            </w:r>
          </w:p>
        </w:tc>
        <w:tc>
          <w:tcPr>
            <w:tcW w:w="2000" w:type="dxa"/>
            <w:vAlign w:val="center"/>
          </w:tcPr>
          <w:p w14:paraId="2A0A3C4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tLeast"/>
              <w:jc w:val="both"/>
              <w:textAlignment w:val="auto"/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历史内容库中应保留</w:t>
            </w:r>
            <w:r>
              <w:rPr>
                <w:rFonts w:ascii="宋体" w:hAnsi="宋体" w:eastAsia="宋体" w:cs="宋体"/>
                <w:b/>
                <w:bCs/>
                <w:kern w:val="0"/>
                <w:sz w:val="15"/>
                <w:szCs w:val="15"/>
                <w:lang w:val="en-US" w:eastAsia="zh-CN" w:bidi="ar"/>
              </w:rPr>
              <w:t>生前旧梗</w:t>
            </w: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；Agent只有在实际看到模板后才能转发或改编。梗的可二创性、近期互动和推荐曝光共同影响扩散</w:t>
            </w:r>
          </w:p>
        </w:tc>
        <w:tc>
          <w:tcPr>
            <w:tcW w:w="1546" w:type="dxa"/>
            <w:vAlign w:val="center"/>
          </w:tcPr>
          <w:p w14:paraId="4BE33C7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tLeast"/>
              <w:jc w:val="both"/>
              <w:textAlignment w:val="auto"/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</w:pPr>
          </w:p>
        </w:tc>
      </w:tr>
      <w:tr w14:paraId="28A26800">
        <w:trPr>
          <w:trHeight w:val="170" w:hRule="atLeast"/>
        </w:trPr>
        <w:tc>
          <w:tcPr>
            <w:tcW w:w="1238" w:type="dxa"/>
            <w:vAlign w:val="center"/>
          </w:tcPr>
          <w:p w14:paraId="01DFED2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tLeast"/>
              <w:jc w:val="both"/>
              <w:textAlignment w:val="auto"/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W21–W22：玩梗推动第二波</w:t>
            </w:r>
          </w:p>
        </w:tc>
        <w:tc>
          <w:tcPr>
            <w:tcW w:w="1656" w:type="dxa"/>
            <w:vAlign w:val="center"/>
          </w:tcPr>
          <w:p w14:paraId="09BA68C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tLeast"/>
              <w:jc w:val="both"/>
              <w:textAlignment w:val="auto"/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总量继续升至约3,900和5,000条；新增部分绝大多数是玩梗。玩梗绝对量从前期的数百条升至约2,000—3,000多条</w:t>
            </w:r>
          </w:p>
        </w:tc>
        <w:tc>
          <w:tcPr>
            <w:tcW w:w="2079" w:type="dxa"/>
            <w:vAlign w:val="center"/>
          </w:tcPr>
          <w:p w14:paraId="452CD11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tLeast"/>
              <w:jc w:val="both"/>
              <w:textAlignment w:val="auto"/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梗模板可能进入累积优势阶段：被看见得越多，越容易被模仿；模仿越多，又越可能获得互动和进一步曝光</w:t>
            </w:r>
          </w:p>
        </w:tc>
        <w:tc>
          <w:tcPr>
            <w:tcW w:w="2000" w:type="dxa"/>
            <w:vAlign w:val="center"/>
          </w:tcPr>
          <w:p w14:paraId="4C24656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tLeast"/>
              <w:jc w:val="both"/>
              <w:textAlignment w:val="auto"/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动态推荐组允许近期互动反馈进入下一轮排序；Agent可以搬运、改写和组合模板。算法不能直接给“梗”加分，只能对实际互动做出反应</w:t>
            </w:r>
          </w:p>
        </w:tc>
        <w:tc>
          <w:tcPr>
            <w:tcW w:w="1546" w:type="dxa"/>
            <w:vAlign w:val="center"/>
          </w:tcPr>
          <w:p w14:paraId="5139F4E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tLeast"/>
              <w:jc w:val="both"/>
              <w:textAlignment w:val="auto"/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W22仍在上升，因此只能称为“第二波增长”，不能称为已经出现第二峰；还需排查头部账号、跨平台搬运和外部事件</w:t>
            </w:r>
          </w:p>
        </w:tc>
      </w:tr>
      <w:tr w14:paraId="605A5FC3">
        <w:trPr>
          <w:trHeight w:val="170" w:hRule="atLeast"/>
        </w:trPr>
        <w:tc>
          <w:tcPr>
            <w:tcW w:w="1238" w:type="dxa"/>
            <w:vAlign w:val="center"/>
          </w:tcPr>
          <w:p w14:paraId="0F58672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tLeast"/>
              <w:jc w:val="both"/>
              <w:textAlignment w:val="auto"/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w20-w22</w:t>
            </w:r>
          </w:p>
        </w:tc>
        <w:tc>
          <w:tcPr>
            <w:tcW w:w="1656" w:type="dxa"/>
            <w:vAlign w:val="center"/>
          </w:tcPr>
          <w:p w14:paraId="3D6F11E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tLeast"/>
              <w:jc w:val="both"/>
              <w:textAlignment w:val="auto"/>
              <w:rPr>
                <w:rFonts w:hint="default"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悼念型帖子</w:t>
            </w:r>
            <w:bookmarkStart w:id="0" w:name="_GoBack"/>
            <w:bookmarkEnd w:id="0"/>
          </w:p>
        </w:tc>
        <w:tc>
          <w:tcPr>
            <w:tcW w:w="2079" w:type="dxa"/>
            <w:vAlign w:val="center"/>
          </w:tcPr>
          <w:p w14:paraId="36F0B9C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tLeast"/>
              <w:jc w:val="both"/>
              <w:textAlignment w:val="auto"/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悼念帖的二次增加主要与5月18日生日及女儿纪念帖带来的再事件化有关；W22则表现为该事件在抖音和小红书中的延迟扩散。</w:t>
            </w:r>
          </w:p>
        </w:tc>
        <w:tc>
          <w:tcPr>
            <w:tcW w:w="2000" w:type="dxa"/>
            <w:vAlign w:val="center"/>
          </w:tcPr>
          <w:p w14:paraId="39CB459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tLeast"/>
              <w:jc w:val="both"/>
              <w:textAlignment w:val="auto"/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</w:pPr>
          </w:p>
        </w:tc>
        <w:tc>
          <w:tcPr>
            <w:tcW w:w="1546" w:type="dxa"/>
            <w:vAlign w:val="center"/>
          </w:tcPr>
          <w:p w14:paraId="43B08ED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tLeast"/>
              <w:jc w:val="both"/>
              <w:textAlignment w:val="auto"/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雪碧、巧乐兹等梗符号已进入纪念表达，使后期公开表征呈现悼念与玩梗交叠的混合形态。但这种共现是否构成相互强化，仍需通过去重、逐日变化和多标签编码进一步验证。</w:t>
            </w:r>
          </w:p>
        </w:tc>
      </w:tr>
    </w:tbl>
    <w:p w14:paraId="6C86598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tLeast"/>
        <w:jc w:val="both"/>
        <w:textAlignment w:val="auto"/>
        <w:rPr>
          <w:rFonts w:hint="eastAsia" w:ascii="宋体" w:hAnsi="宋体" w:eastAsia="宋体" w:cs="宋体"/>
          <w:kern w:val="0"/>
          <w:sz w:val="15"/>
          <w:szCs w:val="15"/>
          <w:lang w:val="en-US" w:eastAsia="zh-CN" w:bidi="ar"/>
        </w:rPr>
      </w:pPr>
    </w:p>
    <w:p w14:paraId="7A08536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tLeast"/>
        <w:jc w:val="both"/>
        <w:textAlignment w:val="auto"/>
        <w:rPr>
          <w:rFonts w:hint="eastAsia" w:ascii="宋体" w:hAnsi="宋体" w:eastAsia="宋体" w:cs="宋体"/>
          <w:kern w:val="0"/>
          <w:sz w:val="15"/>
          <w:szCs w:val="15"/>
          <w:lang w:val="en-US" w:eastAsia="zh-CN" w:bidi="ar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6EA4F7D"/>
    <w:rsid w:val="69B73033"/>
    <w:rsid w:val="F6EA4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18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Office_12.1.21861.21861_F1E327BC-269C-435d-A152-05C5408002CA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2026-09-06T19:48:00Z</dcterms:created>
  <dc:creator>康康</dc:creator>
  <cp:lastModifiedBy>康康</cp:lastModifiedBy>
  <dcterms:modified xsi:type="dcterms:W3CDTF">2026-09-06T22:39:38Z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2052-12.1.21861.21861</vt:lpwstr>
  </property>
  <property fmtid="{D5CDD505-2E9C-101B-9397-08002B2CF9AE}" pid="3" name="ICV">
    <vt:lpwstr>2FEA35D6ABE0E8B420539D6AB0C4D632_41</vt:lpwstr>
  </property>
  <property fmtid="{D5CDD505-2E9C-101B-9397-08002B2CF9AE}" pid="4" name="AIGC">
    <vt:lpwstr>{"Label":"1","ContentProducer":"001191110102MACQD9K64018705","ProduceID":"3358352132278187_0-drive/217175499627774289/图表解读_1788710164426_brtq.docx","ReservedCode1":"","ContentPropagator":"001191110102MACQD9K64028705","PropagateID":"2156560362253756#1788760539249","ReservedCode2":""}</vt:lpwstr>
  </property>
</Properties>
</file>