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年同行上市公司财务和人效情况"/>
    <w:p>
      <w:pPr>
        <w:pStyle w:val="Heading1"/>
      </w:pPr>
      <w:r>
        <w:t xml:space="preserve">2025年同行上市公司财务和人效情况</w:t>
      </w:r>
    </w:p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本报告汇总了11家电力电子及新能源领域A股上市公司2025年度的核心财务数据及人效指标。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员工总数较2023年普遍有所增长，其中阳光电源员工规模最大（19,006人），汇川技术紧随其后（27,292人）。人均营收方面，阳光电源以469.2万元居首，上能电气（289.9万元）和精进电动（293.4万元）也表现突出。盈利能力上，阳光电源以15.2%的净利率和135.33亿元净利润领跑。</w:t>
      </w:r>
      <w:r>
        <w:rPr>
          <w:rStyle w:val="FootnoteReference"/>
        </w:rPr>
        <w:footnoteReference w:id="21"/>
      </w:r>
    </w:p>
    <w:bookmarkEnd w:id="22"/>
    <w:bookmarkStart w:id="27" w:name="一员工整体情况"/>
    <w:p>
      <w:pPr>
        <w:pStyle w:val="Heading2"/>
      </w:pPr>
      <w:r>
        <w:t xml:space="preserve">一、员工整体情况</w:t>
      </w:r>
    </w:p>
    <w:p>
      <w:pPr>
        <w:pStyle w:val="FirstParagraph"/>
      </w:pPr>
      <w:r>
        <w:t xml:space="preserve">2025年，多数企业员工规模保持稳定或小幅增长。以下为各板块员工人数详情。</w:t>
      </w:r>
      <w:r>
        <w:rPr>
          <w:rStyle w:val="FootnoteReference"/>
        </w:rPr>
        <w:footnoteReference w:id="23"/>
      </w:r>
    </w:p>
    <w:bookmarkStart w:id="24" w:name="员工整体人数"/>
    <w:p>
      <w:pPr>
        <w:pStyle w:val="Heading3"/>
      </w:pPr>
      <w:r>
        <w:t xml:space="preserve">1.1 员工整体人数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股票代码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2025年员工人数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一、测试电源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科威尔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爱科赛博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二、逆变器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禾望电气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上能电气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阳光电源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固德威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三、电机驱动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精进电动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汇川技术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四、风电整机厂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三一重能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五、高压变频和SVG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新风光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六、电池和储能PCS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派能科技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3,171</w:t>
            </w:r>
          </w:p>
        </w:tc>
      </w:tr>
    </w:tbl>
    <w:bookmarkEnd w:id="24"/>
    <w:bookmarkStart w:id="26" w:name="研发人员人数"/>
    <w:p>
      <w:pPr>
        <w:pStyle w:val="Heading3"/>
      </w:pPr>
      <w:r>
        <w:t xml:space="preserve">1.2 研发人员人数</w:t>
      </w:r>
    </w:p>
    <w:p>
      <w:pPr>
        <w:pStyle w:val="BlockText"/>
      </w:pPr>
      <w:r>
        <w:t xml:space="preserve">注：部分公司研发人员数据未能从公开渠道完整获取，以”-</w:t>
      </w:r>
      <w:r>
        <w:t xml:space="preserve">“</w:t>
      </w:r>
      <w:r>
        <w:t xml:space="preserve">表示。</w:t>
      </w:r>
      <w:r>
        <w:t xml:space="preserve">”</w:t>
      </w:r>
      <w:r>
        <w:t xml:space="preserve">估”为基于官方披露占比推算，</w:t>
      </w:r>
      <w:r>
        <w:t xml:space="preserve">“</w:t>
      </w:r>
      <w:r>
        <w:t xml:space="preserve">半</w:t>
      </w:r>
      <w:r>
        <w:t xml:space="preserve">”</w:t>
      </w:r>
      <w:r>
        <w:t xml:space="preserve">为2025年半年报数据，</w:t>
      </w:r>
      <w:r>
        <w:t xml:space="preserve">“</w:t>
      </w:r>
      <w:r>
        <w:t xml:space="preserve">待核实</w:t>
      </w:r>
      <w:r>
        <w:t xml:space="preserve">”</w:t>
      </w:r>
      <w:r>
        <w:t xml:space="preserve">源自网络摘要。</w:t>
      </w:r>
      <w:r>
        <w:rPr>
          <w:rStyle w:val="FootnoteReference"/>
        </w:rPr>
        <w:footnoteReference w:id="25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公司名称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2025年研发人员数量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研发人员占比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一、测试电源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科威尔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爱科赛博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二、逆变器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禾望电气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待核实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上能电气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阳光电源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固德威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三、电机驱动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精进电动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汇川技术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四、风电整机厂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三一重能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五、高压变频和SVG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新风光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六、电池和储能PCS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派能科技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6"/>
    <w:bookmarkEnd w:id="27"/>
    <w:bookmarkStart w:id="34" w:name="二员工人效"/>
    <w:p>
      <w:pPr>
        <w:pStyle w:val="Heading2"/>
      </w:pPr>
      <w:r>
        <w:t xml:space="preserve">二、员工人效</w:t>
      </w:r>
    </w:p>
    <w:bookmarkStart w:id="29" w:name="人均营收"/>
    <w:p>
      <w:pPr>
        <w:pStyle w:val="Heading3"/>
      </w:pPr>
      <w:r>
        <w:t xml:space="preserve">2.1 人均营收</w:t>
      </w:r>
    </w:p>
    <w:p>
      <w:pPr>
        <w:pStyle w:val="FirstParagraph"/>
      </w:pPr>
      <w:r>
        <w:t xml:space="preserve">人均营收反映了每位员工创造的营业收入水平，是衡量企业运营效率的关键指标。</w:t>
      </w:r>
      <w:r>
        <w:rPr>
          <w:rStyle w:val="FootnoteReference"/>
        </w:rPr>
        <w:footnoteReference w:id="28"/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37"/>
        <w:gridCol w:w="2722"/>
        <w:gridCol w:w="1856"/>
        <w:gridCol w:w="21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公司名称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2025年营业收入（亿元）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2025年员工人数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人均营收（万元）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一、测试电源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科威尔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爱科赛博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二、逆变器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禾望电气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上能电气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阳光电源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固德威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三、电机驱动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精进电动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汇川技术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四、风电整机厂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三一重能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五、高压变频和SVG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新风光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六、电池和储能PCS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派能科技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99.8</w:t>
            </w:r>
          </w:p>
        </w:tc>
      </w:tr>
    </w:tbl>
    <w:bookmarkEnd w:id="29"/>
    <w:bookmarkStart w:id="31" w:name="人均利润"/>
    <w:p>
      <w:pPr>
        <w:pStyle w:val="Heading3"/>
      </w:pPr>
      <w:r>
        <w:t xml:space="preserve">2.2 人均利润</w:t>
      </w:r>
    </w:p>
    <w:p>
      <w:pPr>
        <w:pStyle w:val="FirstParagraph"/>
      </w:pPr>
      <w:r>
        <w:t xml:space="preserve">人均净利润反映每位员工为企业创造的价值，是衡量人力资本回报的核心指标。</w:t>
      </w:r>
      <w:r>
        <w:rPr>
          <w:rStyle w:val="FootnoteReference"/>
        </w:rPr>
        <w:footnoteReference w:id="30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公司名称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2025年净利润（亿元）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2025年员工人数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人均利润（万元）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一、测试电源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科威尔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爱科赛博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二、逆变器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禾望电气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上能电气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阳光电源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固德威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三、电机驱动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精进电动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汇川技术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四、风电整机厂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三一重能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五、高压变频和SVG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新风光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六、电池和储能PCS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派能科技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</w:tbl>
    <w:bookmarkEnd w:id="31"/>
    <w:bookmarkStart w:id="33" w:name="毛利率及人均毛利"/>
    <w:p>
      <w:pPr>
        <w:pStyle w:val="Heading3"/>
      </w:pPr>
      <w:r>
        <w:t xml:space="preserve">2.3 毛利率及人均毛利</w:t>
      </w:r>
    </w:p>
    <w:p>
      <w:pPr>
        <w:pStyle w:val="FirstParagraph"/>
      </w:pPr>
      <w:r>
        <w:t xml:space="preserve">毛利率反映产品/服务的获利空间，人均毛利综合体现了产品溢价能力和人力效率。</w:t>
      </w:r>
      <w:r>
        <w:rPr>
          <w:rStyle w:val="FootnoteReference"/>
        </w:rPr>
        <w:footnoteReference w:id="32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公司名称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净利率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人均毛利（万元）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研发费用率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一、测试电源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科威尔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爱科赛博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二、逆变器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禾望电气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上能电气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阳光电源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固德威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三、电机驱动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精进电动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汇川技术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四、风电整机厂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三一重能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五、高压变频和SVG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新风光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六、电池和储能PCS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派能科技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10.1%</w:t>
            </w:r>
          </w:p>
        </w:tc>
      </w:tr>
    </w:tbl>
    <w:bookmarkEnd w:id="33"/>
    <w:bookmarkEnd w:id="34"/>
    <w:bookmarkStart w:id="36" w:name="三期间费用概览"/>
    <w:p>
      <w:pPr>
        <w:pStyle w:val="Heading2"/>
      </w:pPr>
      <w:r>
        <w:t xml:space="preserve">三、期间费用概览</w:t>
      </w:r>
    </w:p>
    <w:p>
      <w:pPr>
        <w:pStyle w:val="BlockText"/>
      </w:pPr>
      <w:r>
        <w:t xml:space="preserve">注：因原始数据源限制，人工成本（薪资总额、人均薪酬、研发薪酬明细）未能获取，仅列示期间费用供参考。</w:t>
      </w:r>
      <w:r>
        <w:rPr>
          <w:rStyle w:val="FootnoteReference"/>
        </w:rPr>
        <w:footnoteReference w:id="35"/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15"/>
        <w:gridCol w:w="1726"/>
        <w:gridCol w:w="1726"/>
        <w:gridCol w:w="1726"/>
        <w:gridCol w:w="17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公司名称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销售费用（亿元）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管理费用（亿元）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研发费用（亿元）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财务费用（亿元）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一、测试电源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科威尔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爱科赛博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二、逆变器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禾望电气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上能电气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阳光电源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固德威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三、电机驱动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精进电动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汇川技术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四、风电整机厂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三一重能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五、高压变频和SVG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新风光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六、电池和储能PCS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派能科技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本报告数据基于各公司2025年年度报告，通过akshare公开金融数据接口自动采集。研发人员数量因部分公司公开披露不完整暂缺。数据截至2026-05-31。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财务数据通过akshare库从各公司2025年年度报告公开披露中获取，原始报告可于上海证券交易所（http://www.sse.com.cn）、深圳证券交易所（http://www.szse.cn）及巨潮资讯网（http://www.cninfo.com.cn）查阅。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员工总数来自东方财富网F10公司资料页（https://emweb.securities.eastmoney.com/pc_hsf10/pages/index.html），截至2026-05-31。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所有员工人数数据来自东方财富网公司概况F10页面，通过jbzl.gyrs字段提取，访问日期2026-05-31。具体链接格式为 https://emweb.securities.eastmoney.com/PC_HSF10/CompanySurvey/CompanySurveyAjax?code=SH688551 等。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科威尔研发人员数据来自其2025年年报摘要（https://stock.stockstar.com/notice/SN2026042100047840.shtml，2026-04-21）；禾望电气数据来自网易财经文章（https://www.163.com/dy/article/KTLSKQA30519QIKK.html，标注为AI生成，需年报核实）；阳光电源按年报中”研发人员占总员工约40%“推算（https://www.163.com/dy/article/KNJ28A3E0519QIKK.html）；三一重能来自2025年半年报。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营业总收入数据通过akshare stock_financial_abstract接口获取，源自各公司2025年年度报告合并报表。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净利润数据通过akshare stock_financial_abstract接口获取，来自各公司2025年年度报告合并利润表。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毛利率、销售净利率等指标通过akshare stock_financial_abstract接口获取，源自各公司2025年年度报告。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研发费用、销售费用、管理费用、财务费用通过akshare stock_financial_benefit_ths接口获取，源自各公司2025年年度报告合并利润表。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2026-05-31T09:36:58Z</dcterms:created>
  <dcterms:modified xsi:type="dcterms:W3CDTF">2026-05-31T09:36:58Z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