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070F">
      <w:pPr>
        <w:spacing w:line="640" w:lineRule="exact"/>
        <w:ind w:left="-4" w:leftChars="-337" w:hanging="704" w:hangingChars="160"/>
        <w:jc w:val="center"/>
        <w:rPr>
          <w:rFonts w:ascii="方正小标宋简体" w:eastAsia="方正小标宋简体"/>
          <w:sz w:val="44"/>
          <w:szCs w:val="36"/>
        </w:rPr>
      </w:pPr>
      <w:r>
        <w:rPr>
          <w:rFonts w:hint="eastAsia" w:ascii="方正小标宋简体" w:eastAsia="方正小标宋简体"/>
          <w:sz w:val="44"/>
          <w:szCs w:val="36"/>
        </w:rPr>
        <w:t>西安电子科技大学</w:t>
      </w:r>
    </w:p>
    <w:p w14:paraId="51F3BCB7">
      <w:pPr>
        <w:spacing w:line="640" w:lineRule="exact"/>
        <w:ind w:left="144" w:leftChars="-53" w:right="422" w:rightChars="201" w:hanging="255" w:hangingChars="58"/>
        <w:jc w:val="center"/>
        <w:rPr>
          <w:rFonts w:hint="eastAsia"/>
          <w:b/>
          <w:bCs/>
          <w:sz w:val="48"/>
        </w:rPr>
      </w:pPr>
      <w:r>
        <w:rPr>
          <w:rFonts w:hint="eastAsia" w:ascii="方正小标宋简体" w:eastAsia="方正小标宋简体"/>
          <w:bCs/>
          <w:sz w:val="44"/>
          <w:szCs w:val="36"/>
        </w:rPr>
        <w:t>毕业设计（论文）工作计划</w:t>
      </w:r>
    </w:p>
    <w:p w14:paraId="0E9B9279">
      <w:pPr>
        <w:rPr>
          <w:rFonts w:hint="eastAsia"/>
          <w:sz w:val="28"/>
        </w:rPr>
      </w:pPr>
    </w:p>
    <w:p w14:paraId="014EE535">
      <w:pPr>
        <w:ind w:left="-1" w:leftChars="-135" w:hanging="282" w:hangingChars="94"/>
        <w:rPr>
          <w:rFonts w:hint="eastAsia" w:ascii="宋体" w:hAnsi="宋体"/>
          <w:sz w:val="28"/>
          <w:szCs w:val="28"/>
        </w:rPr>
      </w:pPr>
      <w:r>
        <w:rPr>
          <w:rFonts w:hint="eastAsia"/>
          <w:sz w:val="30"/>
        </w:rPr>
        <w:t xml:space="preserve">学生姓名  </w:t>
      </w:r>
      <w:r>
        <w:rPr>
          <w:rFonts w:hint="eastAsia" w:ascii="宋体" w:hAnsi="宋体"/>
          <w:sz w:val="28"/>
          <w:szCs w:val="28"/>
          <w:u w:val="single"/>
        </w:rPr>
        <w:t xml:space="preserve">  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李钰杰</w:t>
      </w:r>
      <w:r>
        <w:rPr>
          <w:rFonts w:hint="eastAsia" w:ascii="宋体" w:hAnsi="宋体"/>
          <w:sz w:val="28"/>
          <w:szCs w:val="28"/>
          <w:u w:val="single"/>
        </w:rPr>
        <w:t xml:space="preserve">          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/>
          <w:sz w:val="30"/>
        </w:rPr>
        <w:t xml:space="preserve">  学  号   </w:t>
      </w:r>
      <w:r>
        <w:rPr>
          <w:rFonts w:hint="eastAsia" w:ascii="宋体" w:hAnsi="宋体"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22009200957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</w:t>
      </w:r>
    </w:p>
    <w:p w14:paraId="4ABBCD0A">
      <w:pPr>
        <w:ind w:left="-58" w:leftChars="-135" w:hanging="225" w:hangingChars="94"/>
        <w:rPr>
          <w:rFonts w:hint="eastAsia"/>
          <w:sz w:val="24"/>
        </w:rPr>
      </w:pPr>
    </w:p>
    <w:p w14:paraId="21B5C79C">
      <w:pPr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指导教师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sz w:val="28"/>
          <w:szCs w:val="28"/>
          <w:u w:val="single"/>
        </w:rPr>
        <w:t xml:space="preserve">   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毋芳芳</w:t>
      </w:r>
      <w:r>
        <w:rPr>
          <w:rFonts w:hint="eastAsia" w:ascii="宋体" w:hAnsi="宋体"/>
          <w:sz w:val="28"/>
          <w:szCs w:val="28"/>
          <w:u w:val="single"/>
        </w:rPr>
        <w:t xml:space="preserve">          </w:t>
      </w:r>
      <w:r>
        <w:rPr>
          <w:rFonts w:hint="eastAsia"/>
          <w:sz w:val="30"/>
        </w:rPr>
        <w:t xml:space="preserve">   职  称   </w:t>
      </w:r>
      <w:r>
        <w:rPr>
          <w:rFonts w:hint="eastAsia"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副教授</w:t>
      </w:r>
      <w:r>
        <w:rPr>
          <w:rFonts w:hint="eastAsia" w:ascii="宋体" w:hAnsi="宋体"/>
          <w:sz w:val="28"/>
          <w:szCs w:val="28"/>
          <w:u w:val="single"/>
        </w:rPr>
        <w:t xml:space="preserve">           </w:t>
      </w:r>
    </w:p>
    <w:p w14:paraId="55B77BD8">
      <w:pPr>
        <w:ind w:left="-58" w:leftChars="-135" w:hanging="225" w:hangingChars="94"/>
        <w:rPr>
          <w:rFonts w:hint="eastAsia"/>
          <w:sz w:val="24"/>
        </w:rPr>
      </w:pPr>
    </w:p>
    <w:p w14:paraId="7B16F4F1">
      <w:pPr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学    院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计算机科学与技术学院</w:t>
      </w:r>
      <w:r>
        <w:rPr>
          <w:rFonts w:hint="eastAsia"/>
          <w:sz w:val="30"/>
        </w:rPr>
        <w:t xml:space="preserve">   专  业  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计算机科学与技术拔尖班</w:t>
      </w:r>
      <w:r>
        <w:rPr>
          <w:rFonts w:hint="eastAsia" w:ascii="宋体" w:hAnsi="宋体"/>
          <w:sz w:val="28"/>
          <w:szCs w:val="28"/>
          <w:u w:val="single"/>
        </w:rPr>
        <w:t xml:space="preserve">                     </w:t>
      </w:r>
    </w:p>
    <w:p w14:paraId="3ABFBBD6">
      <w:pPr>
        <w:ind w:left="-58" w:leftChars="-135" w:hanging="225" w:hangingChars="94"/>
        <w:rPr>
          <w:rFonts w:hint="eastAsia"/>
          <w:sz w:val="24"/>
        </w:rPr>
      </w:pPr>
    </w:p>
    <w:p w14:paraId="6895C500">
      <w:pPr>
        <w:ind w:left="-1" w:leftChars="-135" w:hanging="282" w:hangingChars="94"/>
        <w:rPr>
          <w:rFonts w:hint="eastAsia"/>
          <w:sz w:val="30"/>
          <w:u w:val="single"/>
        </w:rPr>
      </w:pPr>
      <w:r>
        <w:rPr>
          <w:rFonts w:hint="eastAsia"/>
          <w:sz w:val="30"/>
        </w:rPr>
        <w:t xml:space="preserve">题目名称 </w:t>
      </w:r>
      <w:r>
        <w:rPr>
          <w:rFonts w:hint="eastAsia" w:ascii="宋体" w:hAnsi="宋体"/>
          <w:sz w:val="28"/>
          <w:szCs w:val="28"/>
          <w:u w:val="single"/>
        </w:rPr>
        <w:t xml:space="preserve">基于3D高斯泼溅的视觉导航算法与实现                                                </w:t>
      </w:r>
    </w:p>
    <w:p w14:paraId="54B37D0C">
      <w:pPr>
        <w:ind w:left="-29" w:leftChars="-67" w:hanging="112" w:hangingChars="47"/>
        <w:rPr>
          <w:rFonts w:hint="eastAsia"/>
          <w:sz w:val="24"/>
        </w:rPr>
      </w:pPr>
    </w:p>
    <w:p w14:paraId="04D10C5B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一、毕业设计（论文）进度</w:t>
      </w:r>
    </w:p>
    <w:p w14:paraId="62D3AE1D">
      <w:pPr>
        <w:ind w:hanging="141"/>
        <w:rPr>
          <w:rFonts w:hint="eastAsia"/>
        </w:rPr>
      </w:pPr>
    </w:p>
    <w:tbl>
      <w:tblPr>
        <w:tblStyle w:val="5"/>
        <w:tblW w:w="10099" w:type="dxa"/>
        <w:tblInd w:w="-31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9"/>
        <w:gridCol w:w="5050"/>
      </w:tblGrid>
      <w:tr w14:paraId="781F4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5049" w:type="dxa"/>
            <w:tcBorders>
              <w:top w:val="single" w:color="auto" w:sz="24" w:space="0"/>
              <w:left w:val="nil"/>
              <w:bottom w:val="single" w:color="auto" w:sz="2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DCB6B12">
            <w:pPr>
              <w:jc w:val="center"/>
              <w:rPr>
                <w:rFonts w:hint="eastAsia"/>
                <w:b/>
                <w:bCs/>
                <w:color w:val="000000"/>
                <w:sz w:val="2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18"/>
              </w:rPr>
              <w:t>起止时间</w:t>
            </w:r>
          </w:p>
        </w:tc>
        <w:tc>
          <w:tcPr>
            <w:tcW w:w="5050" w:type="dxa"/>
            <w:tcBorders>
              <w:top w:val="single" w:color="auto" w:sz="24" w:space="0"/>
              <w:left w:val="single" w:color="000000" w:sz="4" w:space="0"/>
              <w:bottom w:val="single" w:color="auto" w:sz="24" w:space="0"/>
              <w:right w:val="nil"/>
            </w:tcBorders>
            <w:shd w:val="clear" w:color="auto" w:fill="FFFFFF"/>
            <w:vAlign w:val="center"/>
          </w:tcPr>
          <w:p w14:paraId="2FD777E4">
            <w:pPr>
              <w:jc w:val="center"/>
              <w:rPr>
                <w:rFonts w:hint="eastAsia"/>
                <w:b/>
                <w:bCs/>
                <w:color w:val="000000"/>
                <w:sz w:val="2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18"/>
              </w:rPr>
              <w:t>工作内容</w:t>
            </w:r>
          </w:p>
        </w:tc>
      </w:tr>
      <w:tr w14:paraId="6991D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</w:trPr>
        <w:tc>
          <w:tcPr>
            <w:tcW w:w="5049" w:type="dxa"/>
            <w:tcBorders>
              <w:top w:val="single" w:color="auto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924C84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2025.11.3——2025.11.7</w:t>
            </w:r>
          </w:p>
        </w:tc>
        <w:tc>
          <w:tcPr>
            <w:tcW w:w="5050" w:type="dxa"/>
            <w:tcBorders>
              <w:top w:val="single" w:color="auto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8E424A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完成课题选题，明确 3DGS 赋能 3D 视觉导航的研究任务、技术要求与成果指标。</w:t>
            </w:r>
          </w:p>
        </w:tc>
      </w:tr>
      <w:tr w14:paraId="74E3E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17C1B4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2025.11.10——2025.11.14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6ED4BB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收集、整理 3D 视觉导航及 3DGS 领域的文献资料与书籍，完成《毕业设计研究计划书》的撰写与提交。</w:t>
            </w:r>
          </w:p>
        </w:tc>
      </w:tr>
      <w:tr w14:paraId="7FDF2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5DEC53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2025.11.15——2025.11.30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C400A7D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精读 3D 视觉导航、3DGS 技术的顶会顶刊论文，调研该领域（如语义建模、SLAM 地图表示）的研究现状与典型方案。</w:t>
            </w:r>
          </w:p>
        </w:tc>
      </w:tr>
      <w:tr w14:paraId="2F77B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5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898BF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2025.12.1——2025.12.30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5895CE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复现 3DGS 与 3D 视觉导航领域的经典论文核心代码，理解 3DGS 加持下视觉导航的算法流程，确定系统架构，设计地图构建、导航定位等核心模块的技术方案。</w:t>
            </w:r>
          </w:p>
        </w:tc>
      </w:tr>
      <w:tr w14:paraId="58576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EA216F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2026.1.1——2026.1.31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19EF581">
            <w:pPr>
              <w:jc w:val="center"/>
              <w:rPr>
                <w:rFonts w:hint="default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sz w:val="28"/>
                <w:szCs w:val="24"/>
              </w:rPr>
              <w:t>基于确定的技术方案，初步实现融合 3DGS 的高精度语义地图构建模块。</w:t>
            </w:r>
          </w:p>
        </w:tc>
      </w:tr>
      <w:tr w14:paraId="62C4C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D6F805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2026.2.1——2026.2.28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F59E40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完成导航定位算法的开发，并与语义地图构建模块实现功能衔接与联调。</w:t>
            </w:r>
          </w:p>
        </w:tc>
      </w:tr>
      <w:tr w14:paraId="34AB0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00F019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2026.3.1</w:t>
            </w:r>
            <w:bookmarkStart w:id="0" w:name="_GoBack"/>
            <w:bookmarkEnd w:id="0"/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——2026.3.31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607CF5D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优化各模块算法性能，与领域前沿算法开展精度、效率对比实验，提出针对性改进策略。</w:t>
            </w:r>
          </w:p>
        </w:tc>
      </w:tr>
      <w:tr w14:paraId="5C0EA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031CC5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2026.4.1——2026.4.30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F7379A7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开发图形化前端界面，实现模型工程化部署与移动机器人导航 demo 演示；完成毕业论文初稿（含技术方案、算法实现、实验结果、性能分析等内容）。</w:t>
            </w:r>
          </w:p>
        </w:tc>
      </w:tr>
      <w:tr w14:paraId="78D89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49" w:type="dxa"/>
            <w:tcBorders>
              <w:top w:val="single" w:color="000000" w:sz="4" w:space="0"/>
              <w:left w:val="nil"/>
              <w:bottom w:val="single" w:color="auto" w:sz="24" w:space="0"/>
              <w:right w:val="single" w:color="000000" w:sz="4" w:space="0"/>
            </w:tcBorders>
            <w:shd w:val="clear" w:color="auto" w:fill="FFFFFF"/>
            <w:vAlign w:val="center"/>
          </w:tcPr>
          <w:p w14:paraId="38E0C172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2026.5.1——2026.5.20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auto" w:sz="24" w:space="0"/>
              <w:right w:val="nil"/>
            </w:tcBorders>
            <w:shd w:val="clear" w:color="auto" w:fill="FFFFFF"/>
            <w:vAlign w:val="center"/>
          </w:tcPr>
          <w:p w14:paraId="2169F494">
            <w:pPr>
              <w:jc w:val="center"/>
              <w:rPr>
                <w:rFonts w:hint="default" w:eastAsia="宋体"/>
                <w:b w:val="0"/>
                <w:color w:val="000000"/>
                <w:sz w:val="2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8"/>
                <w:szCs w:val="18"/>
                <w:lang w:val="en-US" w:eastAsia="zh-CN"/>
              </w:rPr>
              <w:t>完善毕业论文，准备答辩材料，完成毕业设计答辩。</w:t>
            </w:r>
          </w:p>
        </w:tc>
      </w:tr>
    </w:tbl>
    <w:p w14:paraId="12C2DCA4">
      <w:pPr>
        <w:ind w:hanging="141"/>
        <w:rPr>
          <w:sz w:val="30"/>
        </w:rPr>
      </w:pPr>
    </w:p>
    <w:p w14:paraId="589729FD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二、主要参考书目（资料）</w:t>
      </w:r>
    </w:p>
    <w:p w14:paraId="3A32A168">
      <w:pPr>
        <w:numPr>
          <w:ilvl w:val="0"/>
          <w:numId w:val="0"/>
        </w:numPr>
        <w:ind w:left="0" w:leftChars="0" w:firstLine="419" w:firstLineChars="139"/>
        <w:rPr>
          <w:rFonts w:hint="eastAsia"/>
          <w:b/>
          <w:bCs/>
          <w:sz w:val="30"/>
          <w:lang w:val="en-US" w:eastAsia="zh-CN"/>
        </w:rPr>
      </w:pPr>
      <w:r>
        <w:rPr>
          <w:rFonts w:hint="eastAsia"/>
          <w:b/>
          <w:bCs/>
          <w:sz w:val="30"/>
          <w:lang w:val="en-US" w:eastAsia="zh-CN"/>
        </w:rPr>
        <w:t>2.1 3DGS领域前沿论文</w:t>
      </w:r>
    </w:p>
    <w:p w14:paraId="4F2F0803">
      <w:pPr>
        <w:numPr>
          <w:ilvl w:val="0"/>
          <w:numId w:val="1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《RobustSplat: Decoupling Densification and Dynamics for Transient - Free 3DGS》</w:t>
      </w:r>
      <w:r>
        <w:rPr>
          <w:rFonts w:hint="eastAsia"/>
          <w:sz w:val="28"/>
          <w:szCs w:val="18"/>
          <w:lang w:val="en-US" w:eastAsia="zh-CN"/>
        </w:rPr>
        <w:t xml:space="preserve"> | ICCV2025</w:t>
      </w:r>
    </w:p>
    <w:p w14:paraId="152E9DBE">
      <w:pPr>
        <w:numPr>
          <w:ilvl w:val="0"/>
          <w:numId w:val="1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《3D Gaussian Splatting for Real - Time Radiance Field Rendering》</w:t>
      </w:r>
      <w:r>
        <w:rPr>
          <w:rFonts w:hint="eastAsia"/>
          <w:sz w:val="28"/>
          <w:szCs w:val="18"/>
          <w:lang w:val="en-US" w:eastAsia="zh-CN"/>
        </w:rPr>
        <w:t xml:space="preserve"> | ACM Transactions on Graphics 2023</w:t>
      </w:r>
    </w:p>
    <w:p w14:paraId="2F699507">
      <w:pPr>
        <w:numPr>
          <w:ilvl w:val="0"/>
          <w:numId w:val="1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《Mip - Splatting: Alias - free 3D Gaussian Splatting》</w:t>
      </w:r>
      <w:r>
        <w:rPr>
          <w:rFonts w:hint="eastAsia"/>
          <w:sz w:val="28"/>
          <w:szCs w:val="18"/>
          <w:lang w:val="en-US" w:eastAsia="zh-CN"/>
        </w:rPr>
        <w:t xml:space="preserve"> | CVPR2024</w:t>
      </w:r>
    </w:p>
    <w:p w14:paraId="4C2EAFE9">
      <w:pPr>
        <w:numPr>
          <w:ilvl w:val="0"/>
          <w:numId w:val="0"/>
        </w:numPr>
        <w:ind w:left="420" w:leftChars="0"/>
        <w:rPr>
          <w:rFonts w:hint="eastAsia"/>
          <w:sz w:val="28"/>
          <w:szCs w:val="18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等一系列在3DGS领域的前沿论文。</w:t>
      </w:r>
    </w:p>
    <w:p w14:paraId="4C95129B">
      <w:pPr>
        <w:numPr>
          <w:ilvl w:val="0"/>
          <w:numId w:val="0"/>
        </w:numPr>
        <w:ind w:left="420" w:leftChars="0"/>
        <w:rPr>
          <w:rFonts w:hint="eastAsia"/>
          <w:sz w:val="30"/>
          <w:lang w:val="en-US" w:eastAsia="zh-CN"/>
        </w:rPr>
      </w:pPr>
    </w:p>
    <w:p w14:paraId="6257DB7F">
      <w:pPr>
        <w:numPr>
          <w:ilvl w:val="0"/>
          <w:numId w:val="0"/>
        </w:numPr>
        <w:ind w:left="420" w:leftChars="200" w:firstLine="0" w:firstLineChars="0"/>
        <w:rPr>
          <w:rFonts w:hint="eastAsia"/>
          <w:b/>
          <w:bCs/>
          <w:sz w:val="30"/>
          <w:lang w:val="en-US" w:eastAsia="zh-CN"/>
        </w:rPr>
      </w:pPr>
      <w:r>
        <w:rPr>
          <w:rFonts w:hint="eastAsia"/>
          <w:b/>
          <w:bCs/>
          <w:sz w:val="30"/>
          <w:lang w:val="en-US" w:eastAsia="zh-CN"/>
        </w:rPr>
        <w:t>2.2 视觉导航领域前沿论文</w:t>
      </w:r>
    </w:p>
    <w:p w14:paraId="05BAAB3C">
      <w:pPr>
        <w:numPr>
          <w:ilvl w:val="0"/>
          <w:numId w:val="2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《S3PO-GS: Robust RGB-only Outdoor 3DGS SLAM》</w:t>
      </w:r>
      <w:r>
        <w:rPr>
          <w:rFonts w:hint="eastAsia"/>
          <w:sz w:val="28"/>
          <w:szCs w:val="18"/>
          <w:lang w:val="en-US" w:eastAsia="zh-CN"/>
        </w:rPr>
        <w:t xml:space="preserve"> |  ICCV2025</w:t>
      </w:r>
    </w:p>
    <w:p w14:paraId="660C5140">
      <w:pPr>
        <w:numPr>
          <w:ilvl w:val="0"/>
          <w:numId w:val="2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《GaussNav: Gaussian Splatting for Visual Navigation》</w:t>
      </w:r>
      <w:r>
        <w:rPr>
          <w:rFonts w:hint="eastAsia"/>
          <w:sz w:val="28"/>
          <w:szCs w:val="18"/>
          <w:lang w:val="en-US" w:eastAsia="zh-CN"/>
        </w:rPr>
        <w:t xml:space="preserve"> |  IEEE2024</w:t>
      </w:r>
    </w:p>
    <w:p w14:paraId="43565501">
      <w:pPr>
        <w:numPr>
          <w:ilvl w:val="0"/>
          <w:numId w:val="2"/>
        </w:numPr>
        <w:ind w:left="425" w:leftChars="0" w:hanging="5" w:firstLineChars="0"/>
        <w:rPr>
          <w:rFonts w:hint="default"/>
          <w:sz w:val="28"/>
          <w:szCs w:val="18"/>
          <w:lang w:val="en-US" w:eastAsia="zh-CN"/>
        </w:rPr>
      </w:pPr>
      <w:r>
        <w:rPr>
          <w:rFonts w:hint="default"/>
          <w:sz w:val="28"/>
          <w:szCs w:val="18"/>
          <w:lang w:val="en-US" w:eastAsia="zh-CN"/>
        </w:rPr>
        <w:t>《GaussNav: Gaussian Splatting for Visual Navigation》</w:t>
      </w:r>
      <w:r>
        <w:rPr>
          <w:rFonts w:hint="eastAsia"/>
          <w:sz w:val="28"/>
          <w:szCs w:val="18"/>
          <w:lang w:val="en-US" w:eastAsia="zh-CN"/>
        </w:rPr>
        <w:t xml:space="preserve"> | TPAMI2025</w:t>
      </w:r>
    </w:p>
    <w:p w14:paraId="55063C69">
      <w:pPr>
        <w:numPr>
          <w:numId w:val="0"/>
        </w:numPr>
        <w:ind w:left="420" w:leftChars="0"/>
        <w:rPr>
          <w:rFonts w:hint="default"/>
          <w:sz w:val="28"/>
          <w:szCs w:val="18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等一系列在视觉导航领域的前沿论文。</w:t>
      </w:r>
    </w:p>
    <w:p w14:paraId="4366EC19">
      <w:pPr>
        <w:ind w:firstLine="426"/>
        <w:rPr>
          <w:sz w:val="30"/>
        </w:rPr>
      </w:pPr>
    </w:p>
    <w:p w14:paraId="5E7C4256">
      <w:pPr>
        <w:ind w:firstLine="426"/>
        <w:rPr>
          <w:sz w:val="30"/>
        </w:rPr>
      </w:pPr>
    </w:p>
    <w:p w14:paraId="6009D37A">
      <w:pPr>
        <w:ind w:firstLine="426"/>
        <w:rPr>
          <w:rFonts w:hint="eastAsia"/>
          <w:sz w:val="30"/>
        </w:rPr>
      </w:pPr>
    </w:p>
    <w:p w14:paraId="7402E149">
      <w:pPr>
        <w:ind w:firstLine="426"/>
        <w:rPr>
          <w:rFonts w:hint="eastAsia"/>
          <w:sz w:val="30"/>
        </w:rPr>
      </w:pPr>
    </w:p>
    <w:p w14:paraId="2D8991ED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三、主要仪器设备及材料</w:t>
      </w:r>
    </w:p>
    <w:p w14:paraId="11AFF3DD">
      <w:pPr>
        <w:numPr>
          <w:ilvl w:val="0"/>
          <w:numId w:val="3"/>
        </w:numPr>
        <w:ind w:left="425" w:leftChars="0" w:hanging="425" w:firstLineChars="0"/>
        <w:rPr>
          <w:rFonts w:hint="eastAsia"/>
          <w:sz w:val="28"/>
          <w:szCs w:val="18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硬件方面：该题目所需要的实验设备有摄像头、高算力显卡（RTX3060及以上）与电脑，主要在虚拟环境中实现地图构建与虚拟智能体导航。</w:t>
      </w:r>
    </w:p>
    <w:p w14:paraId="05A0582F">
      <w:pPr>
        <w:numPr>
          <w:ilvl w:val="0"/>
          <w:numId w:val="3"/>
        </w:numPr>
        <w:ind w:left="425" w:leftChars="0" w:hanging="425" w:firstLineChars="0"/>
        <w:rPr>
          <w:rFonts w:hint="default"/>
          <w:sz w:val="30"/>
          <w:lang w:val="en-US" w:eastAsia="zh-CN"/>
        </w:rPr>
      </w:pPr>
      <w:r>
        <w:rPr>
          <w:rFonts w:hint="eastAsia"/>
          <w:sz w:val="28"/>
          <w:szCs w:val="18"/>
          <w:lang w:val="en-US" w:eastAsia="zh-CN"/>
        </w:rPr>
        <w:t>软件方面：需要Pytorch、Tensorflow深度学习框架，C/C++，Python，PyQt5，等编程语言及相关库支持；需要Habitat-sim和Habitat-lab用于三维场景模拟，用于将来结果的验证。</w:t>
      </w:r>
    </w:p>
    <w:p w14:paraId="262B12B2">
      <w:pPr>
        <w:ind w:firstLine="426"/>
        <w:rPr>
          <w:sz w:val="30"/>
        </w:rPr>
      </w:pPr>
    </w:p>
    <w:p w14:paraId="5D78ECFC">
      <w:pPr>
        <w:ind w:firstLine="426"/>
        <w:rPr>
          <w:sz w:val="30"/>
        </w:rPr>
      </w:pPr>
    </w:p>
    <w:p w14:paraId="032873D7">
      <w:pPr>
        <w:ind w:firstLine="426"/>
        <w:rPr>
          <w:rFonts w:hint="eastAsia"/>
          <w:sz w:val="30"/>
        </w:rPr>
      </w:pPr>
    </w:p>
    <w:p w14:paraId="41F0AEFC">
      <w:pPr>
        <w:ind w:firstLine="426"/>
        <w:rPr>
          <w:rFonts w:hint="eastAsia"/>
          <w:sz w:val="30"/>
        </w:rPr>
      </w:pPr>
    </w:p>
    <w:p w14:paraId="4975D603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四、教师的指导安排情况（场地安排、指导方式等）</w:t>
      </w:r>
    </w:p>
    <w:p w14:paraId="48A0011D">
      <w:pPr>
        <w:numPr>
          <w:ilvl w:val="0"/>
          <w:numId w:val="4"/>
        </w:numPr>
        <w:ind w:left="425" w:leftChars="0" w:hanging="5" w:firstLineChars="0"/>
        <w:rPr>
          <w:rFonts w:hint="eastAsia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>网安大楼A0935实验室，采用线上/线下指导结合模式；</w:t>
      </w:r>
    </w:p>
    <w:p w14:paraId="7A4398F0">
      <w:pPr>
        <w:numPr>
          <w:ilvl w:val="0"/>
          <w:numId w:val="4"/>
        </w:numPr>
        <w:ind w:left="425" w:leftChars="0" w:hanging="5" w:firstLineChars="0"/>
        <w:rPr>
          <w:rFonts w:hint="eastAsia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>周记由学生撰写，按周次上传至教务系统，由指导教师审核。至少上传16篇。</w:t>
      </w:r>
    </w:p>
    <w:p w14:paraId="48588765">
      <w:pPr>
        <w:numPr>
          <w:ilvl w:val="0"/>
          <w:numId w:val="4"/>
        </w:numPr>
        <w:ind w:left="425" w:leftChars="0" w:hanging="5" w:firstLineChars="0"/>
        <w:rPr>
          <w:rFonts w:hint="eastAsia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>指导教师需掌握学生毕业设计论文实际紧张情况，检查算法实现，论文撰写等毕业设计等关键环节。</w:t>
      </w:r>
    </w:p>
    <w:p w14:paraId="0581B565">
      <w:pPr>
        <w:ind w:firstLine="426"/>
        <w:rPr>
          <w:rFonts w:hint="default"/>
          <w:sz w:val="30"/>
          <w:lang w:val="en-US" w:eastAsia="zh-CN"/>
        </w:rPr>
      </w:pPr>
    </w:p>
    <w:p w14:paraId="3D578F13">
      <w:pPr>
        <w:ind w:firstLine="426"/>
        <w:rPr>
          <w:sz w:val="30"/>
        </w:rPr>
      </w:pPr>
    </w:p>
    <w:p w14:paraId="6318A810">
      <w:pPr>
        <w:ind w:firstLine="426"/>
        <w:rPr>
          <w:rFonts w:hint="eastAsia"/>
          <w:sz w:val="30"/>
        </w:rPr>
      </w:pPr>
    </w:p>
    <w:p w14:paraId="43F457B0">
      <w:pPr>
        <w:ind w:firstLine="426"/>
        <w:rPr>
          <w:rFonts w:hint="eastAsia"/>
          <w:sz w:val="30"/>
        </w:rPr>
      </w:pPr>
    </w:p>
    <w:p w14:paraId="0FD4C7AB">
      <w:pPr>
        <w:ind w:left="0" w:leftChars="0" w:firstLine="0" w:firstLineChars="0"/>
        <w:rPr>
          <w:rFonts w:ascii="黑体" w:hAnsi="黑体" w:eastAsia="黑体"/>
          <w:b/>
          <w:sz w:val="30"/>
        </w:rPr>
      </w:pPr>
      <w:r>
        <w:rPr>
          <w:rFonts w:hint="eastAsia" w:ascii="黑体" w:hAnsi="黑体" w:eastAsia="黑体"/>
          <w:b/>
          <w:sz w:val="30"/>
        </w:rPr>
        <w:t>五、对计划的说明</w:t>
      </w:r>
    </w:p>
    <w:p w14:paraId="70FC9E98">
      <w:pPr>
        <w:ind w:firstLine="426"/>
        <w:rPr>
          <w:rFonts w:hint="default" w:eastAsia="宋体"/>
          <w:sz w:val="30"/>
          <w:lang w:val="en-US" w:eastAsia="zh-CN"/>
        </w:rPr>
      </w:pPr>
      <w:r>
        <w:rPr>
          <w:rFonts w:hint="eastAsia"/>
          <w:sz w:val="30"/>
          <w:lang w:val="en-US" w:eastAsia="zh-CN"/>
        </w:rPr>
        <w:t>本计划根据任务书要求初步制定，执行过程可能会依据实际情况进行调整和更改。</w:t>
      </w:r>
    </w:p>
    <w:p w14:paraId="265D2541">
      <w:pPr>
        <w:ind w:firstLine="426"/>
        <w:rPr>
          <w:sz w:val="30"/>
        </w:rPr>
      </w:pPr>
    </w:p>
    <w:p w14:paraId="5E6B0827">
      <w:pPr>
        <w:ind w:firstLine="426"/>
        <w:rPr>
          <w:sz w:val="30"/>
        </w:rPr>
      </w:pPr>
    </w:p>
    <w:p w14:paraId="4B249C54">
      <w:pPr>
        <w:ind w:firstLine="426"/>
        <w:rPr>
          <w:szCs w:val="21"/>
        </w:rPr>
      </w:pPr>
      <w:r>
        <w:rPr>
          <w:rFonts w:hint="eastAsia"/>
          <w:szCs w:val="21"/>
        </w:rPr>
        <w:t>注：1</w:t>
      </w:r>
      <w:r>
        <w:rPr>
          <w:szCs w:val="21"/>
        </w:rPr>
        <w:t>.</w:t>
      </w:r>
      <w:r>
        <w:rPr>
          <w:rFonts w:hint="eastAsia"/>
          <w:szCs w:val="21"/>
        </w:rPr>
        <w:t>本计划一式两份，一份交学院，一份学生自己保存（计划双面打印）。</w:t>
      </w:r>
    </w:p>
    <w:p w14:paraId="568E2C63">
      <w:pPr>
        <w:ind w:left="420" w:leftChars="100" w:hanging="210" w:hangingChars="100"/>
        <w:rPr>
          <w:rFonts w:hint="eastAsia"/>
          <w:szCs w:val="21"/>
        </w:rPr>
      </w:pPr>
      <w:r>
        <w:rPr>
          <w:szCs w:val="21"/>
        </w:rPr>
        <w:tab/>
      </w:r>
      <w:r>
        <w:rPr>
          <w:szCs w:val="21"/>
        </w:rPr>
        <w:t>2.</w:t>
      </w:r>
      <w:r>
        <w:rPr>
          <w:rFonts w:hint="eastAsia"/>
          <w:szCs w:val="21"/>
        </w:rPr>
        <w:t>各学院可根据本学院专业认证要求及细则对表格进行修改，修改后的表格需向本科生院备案。</w:t>
      </w:r>
    </w:p>
    <w:sectPr>
      <w:pgSz w:w="11906" w:h="16838"/>
      <w:pgMar w:top="1418" w:right="1134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7F6A5"/>
    <w:multiLevelType w:val="singleLevel"/>
    <w:tmpl w:val="AF07F6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563495"/>
    <w:multiLevelType w:val="singleLevel"/>
    <w:tmpl w:val="E45634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60B4B49"/>
    <w:multiLevelType w:val="singleLevel"/>
    <w:tmpl w:val="F60B4B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22C620F"/>
    <w:multiLevelType w:val="singleLevel"/>
    <w:tmpl w:val="422C62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mirrorMargin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A60"/>
    <w:rsid w:val="002B13E2"/>
    <w:rsid w:val="003E3AD5"/>
    <w:rsid w:val="00440E6E"/>
    <w:rsid w:val="004C2DEA"/>
    <w:rsid w:val="004F5994"/>
    <w:rsid w:val="00646B80"/>
    <w:rsid w:val="006A376A"/>
    <w:rsid w:val="006F51B3"/>
    <w:rsid w:val="0070308D"/>
    <w:rsid w:val="00705FDE"/>
    <w:rsid w:val="00713A60"/>
    <w:rsid w:val="007E33FF"/>
    <w:rsid w:val="008372EE"/>
    <w:rsid w:val="00854CB7"/>
    <w:rsid w:val="00876238"/>
    <w:rsid w:val="009E1871"/>
    <w:rsid w:val="00BB48CE"/>
    <w:rsid w:val="00C70F0C"/>
    <w:rsid w:val="00E25AAA"/>
    <w:rsid w:val="00F93086"/>
    <w:rsid w:val="02555ED9"/>
    <w:rsid w:val="058D14E6"/>
    <w:rsid w:val="06B156A8"/>
    <w:rsid w:val="07866B35"/>
    <w:rsid w:val="082A5712"/>
    <w:rsid w:val="085E53BC"/>
    <w:rsid w:val="0CE51C08"/>
    <w:rsid w:val="0F2B249C"/>
    <w:rsid w:val="10390BE8"/>
    <w:rsid w:val="103E42B3"/>
    <w:rsid w:val="10F7015B"/>
    <w:rsid w:val="153E0A4F"/>
    <w:rsid w:val="15CC7E09"/>
    <w:rsid w:val="167B4492"/>
    <w:rsid w:val="17DA40D4"/>
    <w:rsid w:val="19A215AC"/>
    <w:rsid w:val="19AF3CC9"/>
    <w:rsid w:val="1A0F29BA"/>
    <w:rsid w:val="1D4209B0"/>
    <w:rsid w:val="223034CD"/>
    <w:rsid w:val="24D42836"/>
    <w:rsid w:val="25064A6C"/>
    <w:rsid w:val="27A74232"/>
    <w:rsid w:val="299741EC"/>
    <w:rsid w:val="2ADC41F2"/>
    <w:rsid w:val="320E7262"/>
    <w:rsid w:val="34AB5434"/>
    <w:rsid w:val="358E6A31"/>
    <w:rsid w:val="35C91817"/>
    <w:rsid w:val="36050AA1"/>
    <w:rsid w:val="36F31940"/>
    <w:rsid w:val="392C0A3B"/>
    <w:rsid w:val="3DD0408A"/>
    <w:rsid w:val="3E36420B"/>
    <w:rsid w:val="42BF647C"/>
    <w:rsid w:val="43104F29"/>
    <w:rsid w:val="44143D9D"/>
    <w:rsid w:val="44BD69EB"/>
    <w:rsid w:val="47B57E4D"/>
    <w:rsid w:val="482F19AD"/>
    <w:rsid w:val="489D7779"/>
    <w:rsid w:val="4BAD5A0B"/>
    <w:rsid w:val="4CC50B32"/>
    <w:rsid w:val="51B86EB8"/>
    <w:rsid w:val="51ED4DB3"/>
    <w:rsid w:val="53D65ED8"/>
    <w:rsid w:val="54183C3E"/>
    <w:rsid w:val="54617393"/>
    <w:rsid w:val="54D1276A"/>
    <w:rsid w:val="55BB2AD2"/>
    <w:rsid w:val="57F15901"/>
    <w:rsid w:val="5C283144"/>
    <w:rsid w:val="5D6B3030"/>
    <w:rsid w:val="5F806BA1"/>
    <w:rsid w:val="5FB32A6C"/>
    <w:rsid w:val="5FEA46E0"/>
    <w:rsid w:val="61C251E9"/>
    <w:rsid w:val="63041F5D"/>
    <w:rsid w:val="63043D0B"/>
    <w:rsid w:val="64524F4A"/>
    <w:rsid w:val="6470717E"/>
    <w:rsid w:val="66AA2E1B"/>
    <w:rsid w:val="68AB69D7"/>
    <w:rsid w:val="6B1E16E2"/>
    <w:rsid w:val="6DDB7D5E"/>
    <w:rsid w:val="6DF66946"/>
    <w:rsid w:val="6F2D45E9"/>
    <w:rsid w:val="71A60683"/>
    <w:rsid w:val="747B5DF7"/>
    <w:rsid w:val="751D0C5C"/>
    <w:rsid w:val="75271ADB"/>
    <w:rsid w:val="781E71C5"/>
    <w:rsid w:val="78C6618C"/>
    <w:rsid w:val="78E0091E"/>
    <w:rsid w:val="7A2D1941"/>
    <w:rsid w:val="7A444A03"/>
    <w:rsid w:val="7B2E2F14"/>
    <w:rsid w:val="7B71585E"/>
    <w:rsid w:val="7CA659DB"/>
    <w:rsid w:val="7D5D2DF3"/>
    <w:rsid w:val="7D6C2781"/>
    <w:rsid w:val="7E74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link w:val="4"/>
    <w:uiPriority w:val="0"/>
    <w:rPr>
      <w:kern w:val="2"/>
      <w:sz w:val="18"/>
      <w:szCs w:val="18"/>
    </w:rPr>
  </w:style>
  <w:style w:type="character" w:customStyle="1" w:styleId="9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0">
    <w:name w:val="批注框文本 Char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小熔工作室</Company>
  <Pages>4</Pages>
  <Words>452</Words>
  <Characters>784</Characters>
  <Lines>79</Lines>
  <Paragraphs>36</Paragraphs>
  <TotalTime>1351</TotalTime>
  <ScaleCrop>false</ScaleCrop>
  <LinksUpToDate>false</LinksUpToDate>
  <CharactersWithSpaces>1026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2025-09-19T06:23:00Z</dcterms:created>
  <dc:creator>Lenovo User</dc:creator>
  <cp:lastModifiedBy>LiYuki</cp:lastModifiedBy>
  <cp:lastPrinted>2019-06-19T07:58:00Z</cp:lastPrinted>
  <dcterms:modified xsi:type="dcterms:W3CDTF">2025-11-13T07:54:05Z</dcterms:modified>
  <dc:title>西 安 电 子 科 技 大 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eyJoZGlkIjoiN2U2YzNlY2Y3OTdkNTZlZTgwZjNiYWEyNTZlYmI3OTgiLCJ1c2VySWQiOiIxMDIzMzc0NTMwIn0=</vt:lpwstr>
  </property>
  <property fmtid="{D5CDD505-2E9C-101B-9397-08002B2CF9AE}" pid="3" name="KSOProductBuildVer">
    <vt:lpwstr>2052-12.1.0.23542</vt:lpwstr>
  </property>
  <property fmtid="{D5CDD505-2E9C-101B-9397-08002B2CF9AE}" pid="4" name="ICV">
    <vt:lpwstr>26BD548127244B61ACA2CF04EF2B80FB_12</vt:lpwstr>
  </property>
</Properties>
</file>