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7" w:hanging="0"/>
        <w:jc w:val="center"/>
        <w:rPr/>
      </w:pPr>
      <w:r>
        <w:rPr>
          <w:rFonts w:eastAsia="Calibri" w:cs="Times New Roman" w:ascii="Times New Roman" w:hAnsi="Times New Roman"/>
          <w:b/>
          <w:szCs w:val="28"/>
        </w:rPr>
        <w:t>ФЕДЕРАЛЬНОЕ АГЕНТСТВО ПО ОБРАЗОВАНИЮ</w:t>
      </w:r>
    </w:p>
    <w:p>
      <w:pPr>
        <w:pStyle w:val="FR1"/>
        <w:ind w:left="567" w:hanging="0"/>
        <w:rPr/>
      </w:pPr>
      <w:r>
        <w:rPr>
          <w:rFonts w:eastAsia="Calibri" w:ascii="Times New Roman" w:hAnsi="Times New Roman"/>
          <w:b/>
          <w:sz w:val="28"/>
          <w:szCs w:val="28"/>
          <w:lang w:eastAsia="en-US"/>
        </w:rPr>
        <w:t>Государственное образовательное учреждение высшего профессионального образования</w:t>
      </w:r>
    </w:p>
    <w:p>
      <w:pPr>
        <w:pStyle w:val="FR1"/>
        <w:ind w:left="567" w:right="118" w:hanging="0"/>
        <w:rPr/>
      </w:pP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Казанский национальны</w:t>
      </w:r>
      <w:r>
        <w:rPr>
          <w:rFonts w:ascii="Times New Roman" w:hAnsi="Times New Roman"/>
          <w:b/>
          <w:bCs/>
          <w:sz w:val="28"/>
          <w:szCs w:val="28"/>
        </w:rPr>
        <w:t xml:space="preserve">й исследовательский технический </w:t>
      </w:r>
      <w:r>
        <w:rPr>
          <w:rFonts w:ascii="Times New Roman" w:hAnsi="Times New Roman"/>
          <w:b/>
          <w:sz w:val="28"/>
          <w:szCs w:val="28"/>
        </w:rPr>
        <w:t>университет им. А.Н.Туполева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>
      <w:pPr>
        <w:pStyle w:val="Standard"/>
        <w:spacing w:lineRule="auto" w:line="360"/>
        <w:ind w:left="567" w:hanging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ind w:left="567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Кафедра автоматизированных систем обработки информации и управления</w:t>
      </w:r>
    </w:p>
    <w:p>
      <w:pPr>
        <w:pStyle w:val="Style19"/>
        <w:spacing w:lineRule="exact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Style15"/>
        <w:spacing w:lineRule="exact" w:line="360"/>
        <w:rPr/>
      </w:pPr>
      <w:r>
        <w:rPr>
          <w:bCs/>
          <w:sz w:val="28"/>
          <w:szCs w:val="28"/>
        </w:rPr>
        <w:t>ИНСТРУМЕНТАЛЬНЫЕ СРЕДСТВА ИНФОРМАЦИОННЫХ СИСТЕМ</w:t>
        <w:br/>
      </w:r>
    </w:p>
    <w:p>
      <w:pPr>
        <w:pStyle w:val="Normal"/>
        <w:spacing w:lineRule="exact" w:line="360"/>
        <w:jc w:val="center"/>
        <w:rPr/>
      </w:pPr>
      <w:r>
        <w:rPr>
          <w:rFonts w:cs="Times New Roman" w:ascii="Times New Roman" w:hAnsi="Times New Roman"/>
          <w:b/>
          <w:szCs w:val="28"/>
        </w:rPr>
        <w:t>Лабораторная работа №1</w:t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/>
          <w:b/>
          <w:szCs w:val="28"/>
        </w:rPr>
      </w:pPr>
      <w:r>
        <w:rPr>
          <w:rFonts w:cs="Times New Roman" w:ascii="Times New Roman" w:hAnsi="Times New Roman"/>
          <w:b/>
          <w:szCs w:val="28"/>
        </w:rPr>
      </w:r>
    </w:p>
    <w:p>
      <w:pPr>
        <w:pStyle w:val="P37"/>
        <w:spacing w:beforeAutospacing="0" w:before="0" w:afterAutospacing="0" w:after="0"/>
        <w:ind w:firstLine="709"/>
        <w:jc w:val="center"/>
        <w:rPr/>
      </w:pPr>
      <w:r>
        <w:rPr>
          <w:b/>
          <w:sz w:val="28"/>
          <w:szCs w:val="28"/>
        </w:rPr>
        <w:t>Диаграммы вариантов использования (Use Case)</w:t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/>
          <w:szCs w:val="28"/>
        </w:rPr>
      </w:pPr>
      <w:r>
        <w:rPr>
          <w:rFonts w:cs="Times New Roman" w:ascii="Times New Roman" w:hAnsi="Times New Roman"/>
          <w:b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/>
          <w:szCs w:val="28"/>
        </w:rPr>
      </w:pPr>
      <w:r>
        <w:rPr>
          <w:rFonts w:cs="Times New Roman" w:ascii="Times New Roman" w:hAnsi="Times New Roman"/>
          <w:b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/>
          <w:szCs w:val="28"/>
        </w:rPr>
      </w:pPr>
      <w:r>
        <w:rPr>
          <w:rFonts w:cs="Times New Roman" w:ascii="Times New Roman" w:hAnsi="Times New Roman"/>
          <w:b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Cs w:val="28"/>
        </w:rPr>
      </w:pPr>
      <w:bookmarkStart w:id="0" w:name="_GoBack1"/>
      <w:bookmarkStart w:id="1" w:name="_GoBack1"/>
      <w:bookmarkEnd w:id="1"/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exact" w:line="360"/>
        <w:jc w:val="right"/>
        <w:rPr/>
      </w:pPr>
      <w:r>
        <w:rPr>
          <w:rFonts w:cs="Times New Roman" w:ascii="Times New Roman" w:hAnsi="Times New Roman"/>
          <w:b/>
          <w:sz w:val="32"/>
          <w:szCs w:val="28"/>
        </w:rPr>
        <w:t>Выполнил: студент группы 4308</w:t>
      </w:r>
    </w:p>
    <w:p>
      <w:pPr>
        <w:pStyle w:val="Normal"/>
        <w:spacing w:lineRule="exact" w:line="360"/>
        <w:jc w:val="right"/>
        <w:rPr/>
      </w:pPr>
      <w:r>
        <w:rPr>
          <w:rFonts w:cs="Times New Roman" w:ascii="Times New Roman" w:hAnsi="Times New Roman"/>
          <w:b/>
          <w:sz w:val="32"/>
          <w:szCs w:val="28"/>
        </w:rPr>
        <w:t>Исмагилов Аяз</w:t>
      </w:r>
    </w:p>
    <w:p>
      <w:pPr>
        <w:pStyle w:val="2"/>
        <w:spacing w:lineRule="exact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spacing w:lineRule="exact" w:line="360"/>
        <w:rPr/>
      </w:pPr>
      <w:r>
        <w:rPr>
          <w:sz w:val="28"/>
          <w:szCs w:val="28"/>
        </w:rPr>
        <w:t>Казань – 2016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Вариант-3: </w:t>
      </w:r>
      <w:r>
        <w:rPr>
          <w:rStyle w:val="Ft4"/>
          <w:rFonts w:cs="Times New Roman" w:ascii="Times New Roman" w:hAnsi="Times New Roman"/>
          <w:sz w:val="28"/>
          <w:szCs w:val="28"/>
        </w:rPr>
        <w:t>Терминал для оплаты за сотовую связь.</w:t>
      </w:r>
    </w:p>
    <w:p>
      <w:pPr>
        <w:pStyle w:val="Normal"/>
        <w:jc w:val="center"/>
        <w:rPr>
          <w:rStyle w:val="Ft4"/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Ft4"/>
          <w:rFonts w:cs="Times New Roman" w:ascii="Times New Roman" w:hAnsi="Times New Roman"/>
          <w:b/>
          <w:sz w:val="28"/>
          <w:szCs w:val="28"/>
        </w:rPr>
        <w:t>Глоссарий</w:t>
      </w:r>
    </w:p>
    <w:p>
      <w:pPr>
        <w:pStyle w:val="Normal"/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ab/>
      </w:r>
      <w:r>
        <w:rPr>
          <w:rStyle w:val="Ft4"/>
          <w:rFonts w:cs="Times New Roman" w:ascii="Times New Roman" w:hAnsi="Times New Roman"/>
          <w:b/>
          <w:sz w:val="28"/>
          <w:szCs w:val="28"/>
        </w:rPr>
        <w:t>Терминал</w:t>
      </w:r>
      <w:r>
        <w:rPr>
          <w:rStyle w:val="Ft4"/>
          <w:rFonts w:cs="Times New Roman" w:ascii="Times New Roman" w:hAnsi="Times New Roman"/>
          <w:sz w:val="28"/>
          <w:szCs w:val="28"/>
        </w:rPr>
        <w:t xml:space="preserve"> – устройство с сенсорным или клавишным вводом, предназначенный для взаимодействия клиента и информационной системы. Состоит из дисплея, устройства ввода, приемника для купюр или банковский карт и устройства вывода ( чеки).</w:t>
      </w:r>
    </w:p>
    <w:p>
      <w:pPr>
        <w:pStyle w:val="Normal"/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ab/>
      </w:r>
      <w:r>
        <w:rPr>
          <w:rStyle w:val="Ft4"/>
          <w:rFonts w:cs="Times New Roman" w:ascii="Times New Roman" w:hAnsi="Times New Roman"/>
          <w:b/>
          <w:sz w:val="28"/>
          <w:szCs w:val="28"/>
        </w:rPr>
        <w:t>Сотовая связь</w:t>
      </w:r>
      <w:r>
        <w:rPr>
          <w:rStyle w:val="Ft4"/>
          <w:rFonts w:cs="Times New Roman" w:ascii="Times New Roman" w:hAnsi="Times New Roman"/>
          <w:sz w:val="28"/>
          <w:szCs w:val="28"/>
        </w:rPr>
        <w:t xml:space="preserve"> – услуга, предоставляемая оператором мобильной связи физическому лицу, для осуществления разговоров в сотовой сети.</w:t>
      </w:r>
    </w:p>
    <w:p>
      <w:pPr>
        <w:pStyle w:val="Normal"/>
        <w:jc w:val="center"/>
        <w:rPr>
          <w:rStyle w:val="Ft4"/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Ft4"/>
          <w:rFonts w:cs="Times New Roman" w:ascii="Times New Roman" w:hAnsi="Times New Roman"/>
          <w:b/>
          <w:sz w:val="28"/>
          <w:szCs w:val="28"/>
        </w:rPr>
        <w:t>Пользователи терминала:</w:t>
      </w:r>
    </w:p>
    <w:p>
      <w:pPr>
        <w:pStyle w:val="Normal"/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ab/>
      </w:r>
      <w:r>
        <w:rPr>
          <w:rStyle w:val="Ft4"/>
          <w:rFonts w:cs="Times New Roman" w:ascii="Times New Roman" w:hAnsi="Times New Roman"/>
          <w:b/>
          <w:sz w:val="28"/>
          <w:szCs w:val="28"/>
        </w:rPr>
        <w:t>Обычные пользователи</w:t>
      </w:r>
      <w:r>
        <w:rPr>
          <w:rStyle w:val="Ft4"/>
          <w:rFonts w:cs="Times New Roman" w:ascii="Times New Roman" w:hAnsi="Times New Roman"/>
          <w:sz w:val="28"/>
          <w:szCs w:val="28"/>
        </w:rPr>
        <w:t xml:space="preserve"> – физические лица, заключившие договор с оператором мобильной связи и имеющие лицевой счёт.</w:t>
      </w:r>
    </w:p>
    <w:p>
      <w:pPr>
        <w:pStyle w:val="Normal"/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ab/>
      </w:r>
      <w:r>
        <w:rPr>
          <w:rStyle w:val="Ft4"/>
          <w:rFonts w:cs="Times New Roman" w:ascii="Times New Roman" w:hAnsi="Times New Roman"/>
          <w:b/>
          <w:sz w:val="28"/>
          <w:szCs w:val="28"/>
        </w:rPr>
        <w:t>Техник</w:t>
      </w:r>
      <w:r>
        <w:rPr>
          <w:rStyle w:val="Ft4"/>
          <w:rFonts w:cs="Times New Roman" w:ascii="Times New Roman" w:hAnsi="Times New Roman"/>
          <w:sz w:val="28"/>
          <w:szCs w:val="28"/>
        </w:rPr>
        <w:t xml:space="preserve"> – специально обученный сотрудник, обязанностями которого являются настройка терминала, диагностика проблем и пополнение терминала расходным материалом (бумага и чернила для печати чеков, денежные купюры для сдачи).</w:t>
      </w:r>
    </w:p>
    <w:p>
      <w:pPr>
        <w:pStyle w:val="Normal"/>
        <w:jc w:val="center"/>
        <w:rPr>
          <w:rStyle w:val="Ft4"/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Ft4"/>
          <w:rFonts w:cs="Times New Roman" w:ascii="Times New Roman" w:hAnsi="Times New Roman"/>
          <w:b/>
          <w:sz w:val="28"/>
          <w:szCs w:val="28"/>
        </w:rPr>
        <w:t>Основные функции терминала</w:t>
      </w:r>
    </w:p>
    <w:p>
      <w:pPr>
        <w:pStyle w:val="Normal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>Для обычных пользователей:</w:t>
      </w:r>
    </w:p>
    <w:p>
      <w:pPr>
        <w:pStyle w:val="ListParagraph"/>
        <w:numPr>
          <w:ilvl w:val="0"/>
          <w:numId w:val="1"/>
        </w:numPr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>Проверка лицевого счёта ( баланс , тарифный план и название оператора)</w:t>
      </w:r>
    </w:p>
    <w:p>
      <w:pPr>
        <w:pStyle w:val="ListParagraph"/>
        <w:numPr>
          <w:ilvl w:val="0"/>
          <w:numId w:val="1"/>
        </w:numPr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>Пополнение лицевого счёта</w:t>
      </w:r>
    </w:p>
    <w:p>
      <w:pPr>
        <w:pStyle w:val="Normal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>Для техника:</w:t>
      </w:r>
    </w:p>
    <w:p>
      <w:pPr>
        <w:pStyle w:val="ListParagraph"/>
        <w:numPr>
          <w:ilvl w:val="0"/>
          <w:numId w:val="2"/>
        </w:num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>Вход в режим диагностики с использованием специальной карты и получение диагностической информации ( список последних операций с указанием оператора и вида операции, запись с системы видеонаблюдения)</w:t>
      </w:r>
    </w:p>
    <w:p>
      <w:pPr>
        <w:pStyle w:val="ListParagraph"/>
        <w:numPr>
          <w:ilvl w:val="0"/>
          <w:numId w:val="2"/>
        </w:num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 xml:space="preserve">Вход в режим диагностики с использованием специальной карты и отключение терминала с последующим автоматическим открытием корпуса терминала для пополнения расходных материалов и </w:t>
      </w:r>
      <w:r>
        <w:rPr>
          <w:rFonts w:cs="Times New Roman" w:ascii="Times New Roman" w:hAnsi="Times New Roman"/>
          <w:sz w:val="28"/>
          <w:szCs w:val="28"/>
        </w:rPr>
        <w:t>изъятие денег из терминала</w:t>
      </w:r>
    </w:p>
    <w:p>
      <w:pPr>
        <w:pStyle w:val="ListParagraph"/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0" w:hanging="0"/>
        <w:jc w:val="center"/>
        <w:rPr>
          <w:rStyle w:val="Ft4"/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256655" cy="52127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cs="Times New Roman" w:ascii="Times New Roman" w:hAnsi="Times New Roman"/>
          <w:sz w:val="28"/>
          <w:szCs w:val="28"/>
        </w:rPr>
        <w:t>Потоки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Основной поток событий для терминала «Проверка лицевого счета»: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использования начинается, когда клиент выбирает пункт «Проверка лицевого счета»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cs="Times New Roman" w:ascii="Times New Roman" w:hAnsi="Times New Roman"/>
          <w:sz w:val="28"/>
          <w:szCs w:val="28"/>
        </w:rPr>
        <w:t>Клиент терминала вводит номер своего телефона в поле ввода терминала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Терминал формирует запрос в удаленную базу данных, содержащих информацию о балансе лицевого счёта и используемого клиентом тарифного плана. Если такой телефонный номер отсутствует в базе данных или телефонный номер введен не полностью и был вызван запрос, то выполняется альтернативный поток А1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Банкомат выводит и печатает информацию о балансе, тарифном плане и об операторе мобильной связи, обслуживающего этот лицевой счёт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нажатия «Завершения работы» терминал стирает всю информацию и возвращается в главное меню.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поток А1: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использования начинается, когда введенный телефонный номер отсутствует в базе данных или телефонный номер введен не полностью и был вызван запрос.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Зафиксировать случай отказа в локальной памяти терминала с указанием даты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Вывести сообщение об ошибке и напечатать сообщение о ней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нажатия клиентом кнопки «Далее» работа терминала возвращается в начальное состояние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Основной поток событий для терминала «Пополнение лицевого счета»: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использования начинается, когда клиент выбирает пункт «Пополнение лицевого счета»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 терминала вводит номер своего телефона в поле ввода терминала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Терминал предлагает внести сумму в купюроприёмник  и предупреждает о взимаемой комиссии и невыдачи сдачи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Терминал соединяется с удаленным сервером по защищенному каналу и совершает транзакцию. Если нет возможности совершить соединение, то выполняется альтернативный поток А2.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успешного соединения терминал выводит сообщение об успешной оплате и печатает чек.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нажатия «Далее» работа терминала возвращается в исходное состояние.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поток А2: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использования начинается, когда соединение с сервером невозможно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локальную память терминала вносится запись о неудачной попытке соединения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Терминал выводит сообщение о невозможности соединения с сервером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нажатия «Далее» работа терминала возвращается в исходное состояние.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Основной поток событий для терминала «Диагностика»: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использования начинается, когда специалист после ввода специальной карты в терминал и ввода пароля выбирает режим «Диагностика». Если пароль неверный, то выполняется альтернативный поток А3.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Терминал отправляет информацию на сервер об использовании этого режима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Выполняется считывание диагностической информации на карту и передача этой информации по защищенному каналу на сервер.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нажатия кнопки «Перезапуск» работа терминала возвращается в исходное состояние.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поток А3: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использования начинается, когда пароль для входа в диагностический режим введен неправильно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Терминал отправляет информацию о несанкционированном доступе к терминалу в офис, обслуживающий терминал, и в отделение охраны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Основной поток событий для терминала «Диагностика»: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использования начинается, когда специалист после ввода специальной карты в терминал и ввода пароля выбирает режим «Диагностика». Если пароль неверный, то выполняется альтернативный поток А3.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Терминал отправляет информацию на сервер об использовании этого режима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Терминал выключается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Запускают электродвигатели, которые открывают корпус терминала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нажатия специальной кнопки внутри корпус закрывается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Терминал включается и работа терминала возвращается в исходное состояние.</w:t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9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25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2">
    <w:name w:val="Heading 2"/>
    <w:basedOn w:val="Normal"/>
    <w:qFormat/>
    <w:pPr>
      <w:keepNext/>
      <w:widowControl w:val="false"/>
      <w:snapToGrid w:val="false"/>
      <w:spacing w:lineRule="atLeast" w:line="240" w:before="0" w:after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t4" w:customStyle="1">
    <w:name w:val="ft4"/>
    <w:basedOn w:val="DefaultParagraphFont"/>
    <w:qFormat/>
    <w:rsid w:val="00e90f97"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f65c37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125f"/>
    <w:pPr>
      <w:spacing w:before="0" w:after="200"/>
      <w:ind w:left="720" w:hanging="0"/>
      <w:contextualSpacing/>
    </w:pPr>
    <w:rPr/>
  </w:style>
  <w:style w:type="paragraph" w:styleId="P46" w:customStyle="1">
    <w:name w:val="p46"/>
    <w:basedOn w:val="Normal"/>
    <w:qFormat/>
    <w:rsid w:val="004812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65c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1">
    <w:name w:val="FR1"/>
    <w:qFormat/>
    <w:pPr>
      <w:widowControl w:val="false"/>
      <w:bidi w:val="0"/>
      <w:snapToGrid w:val="false"/>
      <w:spacing w:lineRule="auto" w:line="240" w:before="0" w:after="0"/>
      <w:ind w:left="40" w:hanging="0"/>
      <w:jc w:val="center"/>
    </w:pPr>
    <w:rPr>
      <w:rFonts w:ascii="Arial" w:hAnsi="Arial" w:eastAsia="Times New Roman" w:cs="Times New Roman"/>
      <w:color w:val="auto"/>
      <w:sz w:val="48"/>
      <w:szCs w:val="20"/>
      <w:lang w:eastAsia="ru-RU" w:val="ru-RU" w:bidi="ar-SA"/>
    </w:rPr>
  </w:style>
  <w:style w:type="paragraph" w:styleId="Standard">
    <w:name w:val="Standard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ahoma"/>
      <w:color w:val="auto"/>
      <w:sz w:val="24"/>
      <w:szCs w:val="24"/>
      <w:lang w:val="de-DE" w:eastAsia="ja-JP" w:bidi="fa-IR"/>
    </w:rPr>
  </w:style>
  <w:style w:type="paragraph" w:styleId="Style19">
    <w:name w:val="Title"/>
    <w:basedOn w:val="Normal"/>
    <w:qFormat/>
    <w:pPr>
      <w:widowControl w:val="false"/>
      <w:snapToGrid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36"/>
      <w:szCs w:val="24"/>
      <w:lang w:eastAsia="ru-RU"/>
    </w:rPr>
  </w:style>
  <w:style w:type="paragraph" w:styleId="P37">
    <w:name w:val="p37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54E17-BF1B-4424-986A-A63FF9A9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LibreOffice/5.1.4.2$Linux_X86_64 LibreOffice_project/10m0$Build-2</Application>
  <Pages>5</Pages>
  <Words>685</Words>
  <Characters>4652</Characters>
  <CharactersWithSpaces>5250</CharactersWithSpaces>
  <Paragraphs>64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2016-09-14T07:50:00Z</dcterms:created>
  <dc:creator>itki_07_345</dc:creator>
  <dc:description/>
  <dc:language>ru-RU</dc:language>
  <cp:lastModifiedBy/>
  <dcterms:modified xsi:type="dcterms:W3CDTF">2016-10-01T21:02:58Z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