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Bdr>
          <w:bottom w:val="single" w:sz="12" w:space="1" w:color="000000"/>
        </w:pBdr>
      </w:pPr>
      <w:r>
        <w:rPr>
          <w:rFonts w:ascii="Calibri" w:hAnsi="Calibri"/>
          <w:b/>
          <w:sz w:val="52"/>
        </w:rPr>
        <w:t>Jhansi Yeoj Gatus</w:t>
      </w:r>
    </w:p>
    <w:p>
      <w:pPr>
        <w:jc w:val="center"/>
      </w:pPr>
      <w:r>
        <w:t>+63 953 054 1704 | jhansiyeojgatus10@gmail.com | LinkedIn | Pampanga, Philippines</w:t>
      </w:r>
    </w:p>
    <w:p/>
    <w:p>
      <w:pPr>
        <w:jc w:val="center"/>
        <w:pBdr>
          <w:top w:val="single" w:sz="4" w:space="1" w:color="000000"/>
        </w:pBdr>
      </w:pPr>
      <w:r>
        <w:rPr>
          <w:rFonts w:ascii="Calibri" w:hAnsi="Calibri"/>
          <w:b/>
          <w:sz w:val="28"/>
        </w:rPr>
        <w:t>PROFILE</w:t>
      </w:r>
    </w:p>
    <w:p>
      <w:r>
        <w:t>IT Support with hands-on experience in end-to-end service delivery, network infrastructure administration, Microsoft 365/Azure support, VPN/remote access, SDN multi-site management, web filtering, and email migration automation. Proven ability to support cross-team operations, onboard users, and turn ad-hoc requests into repeatable IT support processes.</w:t>
      </w:r>
    </w:p>
    <w:p>
      <w:pPr>
        <w:jc w:val="center"/>
        <w:pBdr>
          <w:top w:val="single" w:sz="4" w:space="1" w:color="000000"/>
        </w:pBdr>
      </w:pPr>
      <w:r>
        <w:rPr>
          <w:rFonts w:ascii="Calibri" w:hAnsi="Calibri"/>
          <w:b/>
          <w:sz w:val="28"/>
        </w:rPr>
        <w:t>PROFESSIONAL EXPERIENCE</w:t>
      </w:r>
    </w:p>
    <w:tbl>
      <w:tblPr>
        <w:tblW w:type="auto" w:w="0"/>
        <w:tblLayout w:type="autofit"/>
        <w:tblLook w:firstColumn="1" w:firstRow="1" w:lastColumn="0" w:lastRow="0" w:noHBand="0" w:noVBand="1" w:val="04A0"/>
      </w:tblPr>
      <w:tblGrid>
        <w:gridCol w:w="7920"/>
        <w:gridCol w:w="2160"/>
      </w:tblGrid>
      <w:tr>
        <w:tc>
          <w:tcPr>
            <w:tcW w:type="dxa" w:w="4320"/>
            <w:tcBorders>
              <w:top w:val="none" w:sz="0" w:space="0" w:color="auto"/>
              <w:left w:val="none" w:sz="0" w:space="0" w:color="auto"/>
              <w:bottom w:val="none" w:sz="0" w:space="0" w:color="auto"/>
              <w:right w:val="none" w:sz="0" w:space="0" w:color="auto"/>
            </w:tcBorders>
          </w:tcPr>
          <w:p>
            <w:pPr>
              <w:jc w:val="left"/>
            </w:pPr>
            <w:r>
              <w:rPr>
                <w:rFonts w:ascii="Calibri" w:hAnsi="Calibri"/>
                <w:b/>
                <w:sz w:val="22"/>
              </w:rPr>
              <w:t>IT Support, PRTNA Outsourcing Corporation (StrataStaff), Philippines</w:t>
            </w:r>
          </w:p>
        </w:tc>
        <w:tc>
          <w:tcPr>
            <w:tcW w:type="dxa" w:w="4320"/>
            <w:tcBorders>
              <w:top w:val="none" w:sz="0" w:space="0" w:color="auto"/>
              <w:left w:val="none" w:sz="0" w:space="0" w:color="auto"/>
              <w:bottom w:val="none" w:sz="0" w:space="0" w:color="auto"/>
              <w:right w:val="none" w:sz="0" w:space="0" w:color="auto"/>
            </w:tcBorders>
          </w:tcPr>
          <w:p>
            <w:pPr>
              <w:jc w:val="right"/>
            </w:pPr>
            <w:r>
              <w:rPr>
                <w:rFonts w:ascii="Calibri" w:hAnsi="Calibri"/>
                <w:b/>
                <w:sz w:val="22"/>
              </w:rPr>
              <w:t>2024 - 12/16 – Present</w:t>
            </w:r>
          </w:p>
        </w:tc>
      </w:tr>
    </w:tbl>
    <w:p>
      <w:pPr>
        <w:pStyle w:val="ListBullet"/>
      </w:pPr>
      <w:r>
        <w:t>IT Onboarding &amp; User Support: Conducted structured IT onboarding sessions for new employees, covering support processes, ticketing systems, acceptable-use policies, cybersecurity best practices, company device handling, and pre-configured tools to ensure a secure and productive work environment.</w:t>
      </w:r>
    </w:p>
    <w:p>
      <w:pPr>
        <w:pStyle w:val="ListBullet"/>
      </w:pPr>
      <w:r>
        <w:t>Network Infrastructure Administration: Managed and supported network infrastructure, including router and modem deployment, switch configuration, VLAN implementation, LAN cabling, and wireless network setup. Monitored network performance and resolved connectivity issues to maintain stable and secure business operations.</w:t>
      </w:r>
    </w:p>
    <w:p>
      <w:pPr>
        <w:pStyle w:val="ListBullet"/>
      </w:pPr>
      <w:r>
        <w:t>End-User &amp; Technical Support: Provided hardware, software, and network troubleshooting for end users, including remote desktop support, VPN configuration, Microsoft 365 installation, Outlook email troubleshooting, and TeamLogger setup/administration. Supported user onboarding, account provisioning, credential management, and remote access solutions.</w:t>
      </w:r>
    </w:p>
    <w:p>
      <w:pPr>
        <w:pStyle w:val="ListBullet"/>
      </w:pPr>
      <w:r>
        <w:t>TP-Link Omada SDN &amp; Multi-Site Network Administration: Designed, deployed, and administered centralized TP-Link Omada SDN infrastructure across multiple sites using the Omada Controller for unified management. Configured WAN failover, load balancing, Quality of Service (QoS), VPN connectivity, and device provisioning while monitoring performance, client activity, and infrastructure health.</w:t>
      </w:r>
    </w:p>
    <w:p>
      <w:pPr>
        <w:pStyle w:val="ListBullet"/>
      </w:pPr>
      <w:r>
        <w:t>Network Security &amp; Web Filtering: Managed AdGuard DNS and web-filtering solutions to enforce security policies, block malicious websites, reduce malware threats, and enhance overall network security.</w:t>
      </w:r>
    </w:p>
    <w:p>
      <w:pPr>
        <w:pStyle w:val="ListBullet"/>
      </w:pPr>
      <w:r>
        <w:t>Client &amp; IT Coordination: Collaborated with clients and onshore IT teams to manage user access, account setup, remote desktop configurations, and technical support requests, ensuring timely issue resolution.</w:t>
      </w:r>
    </w:p>
    <w:p>
      <w:pPr>
        <w:pStyle w:val="ListBullet"/>
      </w:pPr>
      <w:r>
        <w:t>Microsoft Azure Administration: Provided administrative support within Microsoft Azure, including user account management, password resets, access administration, and basic DNS configuration.</w:t>
      </w:r>
    </w:p>
    <w:p>
      <w:pPr>
        <w:pStyle w:val="ListBullet"/>
      </w:pPr>
      <w:r>
        <w:t>cPanel Administration &amp; Web Hosting Support: Managed cPanel environments for email and domain hosting, including mailbox administration, DNS configuration, email delivery troubleshooting, and website hosting support.</w:t>
      </w:r>
    </w:p>
    <w:p>
      <w:pPr>
        <w:pStyle w:val="ListBullet"/>
      </w:pPr>
      <w:r>
        <w:t>Email Migration Automation (IMAP to Microsoft Exchange Online): Developed and implemented PowerShell automation to streamline mailbox migrations from IMAP-based email platforms to Microsoft Exchange Online (Microsoft 365).</w:t>
      </w:r>
    </w:p>
    <w:p>
      <w:r>
        <w:t>Tech: Microsoft 365, Exchange Online, Microsoft Azure, Windows 10/11, PowerShell, ServiceNow, Teams, TeamLogger, Zoom, VPN, RDP, TP-Link Omada SDN, LAN/WAN, VLAN, QoS, Load Balancing, AdGuard DNS, Web Filtering, cPanel, Email Migration</w:t>
      </w:r>
    </w:p>
    <w:p>
      <w:pPr>
        <w:jc w:val="center"/>
        <w:pBdr>
          <w:top w:val="single" w:sz="4" w:space="1" w:color="000000"/>
        </w:pBdr>
      </w:pPr>
      <w:r>
        <w:rPr>
          <w:rFonts w:ascii="Calibri" w:hAnsi="Calibri"/>
          <w:b/>
          <w:sz w:val="28"/>
        </w:rPr>
        <w:t>EDUCATION</w:t>
      </w:r>
    </w:p>
    <w:p>
      <w:pPr/>
      <w:r>
        <w:t>Bachelor of Science in Information Technology</w:t>
      </w:r>
    </w:p>
    <w:p>
      <w:r>
        <w:t>2020 – 2024</w:t>
      </w:r>
    </w:p>
    <w:p>
      <w:r>
        <w:t>Pampanga State Agricultural University</w:t>
      </w:r>
    </w:p>
    <w:p>
      <w:pPr>
        <w:jc w:val="center"/>
        <w:pBdr>
          <w:top w:val="single" w:sz="4" w:space="1" w:color="000000"/>
        </w:pBdr>
      </w:pPr>
      <w:r>
        <w:rPr>
          <w:rFonts w:ascii="Calibri" w:hAnsi="Calibri"/>
          <w:b/>
          <w:sz w:val="28"/>
        </w:rPr>
        <w:t>CERTIFICATIONS</w:t>
      </w:r>
    </w:p>
    <w:p>
      <w:pPr>
        <w:pStyle w:val="ListBullet"/>
      </w:pPr>
      <w:r>
        <w:t>Cybersecurity in Strata Community Management — Professional Training</w:t>
      </w:r>
    </w:p>
    <w:p>
      <w:pPr>
        <w:jc w:val="center"/>
        <w:pBdr>
          <w:top w:val="single" w:sz="4" w:space="1" w:color="000000"/>
        </w:pBdr>
      </w:pPr>
      <w:r>
        <w:rPr>
          <w:rFonts w:ascii="Calibri" w:hAnsi="Calibri"/>
          <w:b/>
          <w:sz w:val="28"/>
        </w:rPr>
        <w:t>KEY SKILLS</w:t>
      </w:r>
    </w:p>
    <w:tbl>
      <w:tblPr>
        <w:tblW w:type="auto" w:w="0"/>
        <w:tblLayout w:type="autofit"/>
        <w:tblLook w:firstColumn="1" w:firstRow="1" w:lastColumn="0" w:lastRow="0" w:noHBand="0" w:noVBand="1" w:val="04A0"/>
      </w:tblPr>
      <w:tblGrid>
        <w:gridCol w:w="4680"/>
        <w:gridCol w:w="4680"/>
      </w:tblGrid>
      <w:tr>
        <w:tc>
          <w:tcPr>
            <w:tcW w:type="dxa" w:w="4320"/>
            <w:tcBorders>
              <w:top w:val="none" w:sz="0" w:space="0" w:color="auto"/>
              <w:left w:val="none" w:sz="0" w:space="0" w:color="auto"/>
              <w:bottom w:val="none" w:sz="0" w:space="0" w:color="auto"/>
              <w:right w:val="none" w:sz="0" w:space="0" w:color="auto"/>
            </w:tcBorders>
          </w:tcPr>
          <w:p>
            <w:r>
              <w:t>• IT Onboarding &amp; User Support</w:t>
            </w:r>
          </w:p>
        </w:tc>
        <w:tc>
          <w:tcPr>
            <w:tcW w:type="dxa" w:w="4320"/>
            <w:tcBorders>
              <w:top w:val="none" w:sz="0" w:space="0" w:color="auto"/>
              <w:left w:val="none" w:sz="0" w:space="0" w:color="auto"/>
              <w:bottom w:val="none" w:sz="0" w:space="0" w:color="auto"/>
              <w:right w:val="none" w:sz="0" w:space="0" w:color="auto"/>
            </w:tcBorders>
          </w:tcPr>
          <w:p>
            <w:r>
              <w:t>• Email Migration Automation</w:t>
            </w:r>
          </w:p>
        </w:tc>
      </w:tr>
      <w:tr>
        <w:tc>
          <w:tcPr>
            <w:tcW w:type="dxa" w:w="4320"/>
            <w:tcBorders>
              <w:top w:val="none" w:sz="0" w:space="0" w:color="auto"/>
              <w:left w:val="none" w:sz="0" w:space="0" w:color="auto"/>
              <w:bottom w:val="none" w:sz="0" w:space="0" w:color="auto"/>
              <w:right w:val="none" w:sz="0" w:space="0" w:color="auto"/>
            </w:tcBorders>
          </w:tcPr>
          <w:p>
            <w:r>
              <w:t>• Network Infrastructure Administration</w:t>
            </w:r>
          </w:p>
        </w:tc>
        <w:tc>
          <w:tcPr>
            <w:tcW w:type="dxa" w:w="4320"/>
            <w:tcBorders>
              <w:top w:val="none" w:sz="0" w:space="0" w:color="auto"/>
              <w:left w:val="none" w:sz="0" w:space="0" w:color="auto"/>
              <w:bottom w:val="none" w:sz="0" w:space="0" w:color="auto"/>
              <w:right w:val="none" w:sz="0" w:space="0" w:color="auto"/>
            </w:tcBorders>
          </w:tcPr>
          <w:p>
            <w:r>
              <w:t>• Microsoft 365 / Exchange</w:t>
            </w:r>
          </w:p>
        </w:tc>
      </w:tr>
      <w:tr>
        <w:tc>
          <w:tcPr>
            <w:tcW w:type="dxa" w:w="4320"/>
            <w:tcBorders>
              <w:top w:val="none" w:sz="0" w:space="0" w:color="auto"/>
              <w:left w:val="none" w:sz="0" w:space="0" w:color="auto"/>
              <w:bottom w:val="none" w:sz="0" w:space="0" w:color="auto"/>
              <w:right w:val="none" w:sz="0" w:space="0" w:color="auto"/>
            </w:tcBorders>
          </w:tcPr>
          <w:p>
            <w:r>
              <w:t>• End-User &amp; Technical Support</w:t>
            </w:r>
          </w:p>
        </w:tc>
        <w:tc>
          <w:tcPr>
            <w:tcW w:type="dxa" w:w="4320"/>
            <w:tcBorders>
              <w:top w:val="none" w:sz="0" w:space="0" w:color="auto"/>
              <w:left w:val="none" w:sz="0" w:space="0" w:color="auto"/>
              <w:bottom w:val="none" w:sz="0" w:space="0" w:color="auto"/>
              <w:right w:val="none" w:sz="0" w:space="0" w:color="auto"/>
            </w:tcBorders>
          </w:tcPr>
          <w:p>
            <w:r>
              <w:t>• Windows Administration</w:t>
            </w:r>
          </w:p>
        </w:tc>
      </w:tr>
      <w:tr>
        <w:tc>
          <w:tcPr>
            <w:tcW w:type="dxa" w:w="4320"/>
            <w:tcBorders>
              <w:top w:val="none" w:sz="0" w:space="0" w:color="auto"/>
              <w:left w:val="none" w:sz="0" w:space="0" w:color="auto"/>
              <w:bottom w:val="none" w:sz="0" w:space="0" w:color="auto"/>
              <w:right w:val="none" w:sz="0" w:space="0" w:color="auto"/>
            </w:tcBorders>
          </w:tcPr>
          <w:p>
            <w:r>
              <w:t>• TP-Link Omada SDN &amp; Multi-Site Administration</w:t>
            </w:r>
          </w:p>
        </w:tc>
        <w:tc>
          <w:tcPr>
            <w:tcW w:type="dxa" w:w="4320"/>
            <w:tcBorders>
              <w:top w:val="none" w:sz="0" w:space="0" w:color="auto"/>
              <w:left w:val="none" w:sz="0" w:space="0" w:color="auto"/>
              <w:bottom w:val="none" w:sz="0" w:space="0" w:color="auto"/>
              <w:right w:val="none" w:sz="0" w:space="0" w:color="auto"/>
            </w:tcBorders>
          </w:tcPr>
          <w:p>
            <w:r>
              <w:t>• VPN &amp; Remote Access</w:t>
            </w:r>
          </w:p>
        </w:tc>
      </w:tr>
      <w:tr>
        <w:tc>
          <w:tcPr>
            <w:tcW w:type="dxa" w:w="4320"/>
            <w:tcBorders>
              <w:top w:val="none" w:sz="0" w:space="0" w:color="auto"/>
              <w:left w:val="none" w:sz="0" w:space="0" w:color="auto"/>
              <w:bottom w:val="none" w:sz="0" w:space="0" w:color="auto"/>
              <w:right w:val="none" w:sz="0" w:space="0" w:color="auto"/>
            </w:tcBorders>
          </w:tcPr>
          <w:p>
            <w:r>
              <w:t>• Network Security &amp; Web Filtering</w:t>
            </w:r>
          </w:p>
        </w:tc>
        <w:tc>
          <w:tcPr>
            <w:tcW w:type="dxa" w:w="4320"/>
            <w:tcBorders>
              <w:top w:val="none" w:sz="0" w:space="0" w:color="auto"/>
              <w:left w:val="none" w:sz="0" w:space="0" w:color="auto"/>
              <w:bottom w:val="none" w:sz="0" w:space="0" w:color="auto"/>
              <w:right w:val="none" w:sz="0" w:space="0" w:color="auto"/>
            </w:tcBorders>
          </w:tcPr>
          <w:p>
            <w:r>
              <w:t>• Networking</w:t>
            </w:r>
          </w:p>
        </w:tc>
      </w:tr>
      <w:tr>
        <w:tc>
          <w:tcPr>
            <w:tcW w:type="dxa" w:w="4320"/>
            <w:tcBorders>
              <w:top w:val="none" w:sz="0" w:space="0" w:color="auto"/>
              <w:left w:val="none" w:sz="0" w:space="0" w:color="auto"/>
              <w:bottom w:val="none" w:sz="0" w:space="0" w:color="auto"/>
              <w:right w:val="none" w:sz="0" w:space="0" w:color="auto"/>
            </w:tcBorders>
          </w:tcPr>
          <w:p>
            <w:r>
              <w:t>• Client &amp; IT Coordination</w:t>
            </w:r>
          </w:p>
        </w:tc>
        <w:tc>
          <w:tcPr>
            <w:tcW w:type="dxa" w:w="4320"/>
            <w:tcBorders>
              <w:top w:val="none" w:sz="0" w:space="0" w:color="auto"/>
              <w:left w:val="none" w:sz="0" w:space="0" w:color="auto"/>
              <w:bottom w:val="none" w:sz="0" w:space="0" w:color="auto"/>
              <w:right w:val="none" w:sz="0" w:space="0" w:color="auto"/>
            </w:tcBorders>
          </w:tcPr>
          <w:p>
            <w:r>
              <w:t>• ServiceNow / Ticketing</w:t>
            </w:r>
          </w:p>
        </w:tc>
      </w:tr>
      <w:tr>
        <w:tc>
          <w:tcPr>
            <w:tcW w:type="dxa" w:w="4320"/>
            <w:tcBorders>
              <w:top w:val="none" w:sz="0" w:space="0" w:color="auto"/>
              <w:left w:val="none" w:sz="0" w:space="0" w:color="auto"/>
              <w:bottom w:val="none" w:sz="0" w:space="0" w:color="auto"/>
              <w:right w:val="none" w:sz="0" w:space="0" w:color="auto"/>
            </w:tcBorders>
          </w:tcPr>
          <w:p>
            <w:r>
              <w:t>• Microsoft Azure Administration</w:t>
            </w:r>
          </w:p>
        </w:tc>
        <w:tc>
          <w:tcPr>
            <w:tcW w:type="dxa" w:w="4320"/>
            <w:tcBorders>
              <w:top w:val="none" w:sz="0" w:space="0" w:color="auto"/>
              <w:left w:val="none" w:sz="0" w:space="0" w:color="auto"/>
              <w:bottom w:val="none" w:sz="0" w:space="0" w:color="auto"/>
              <w:right w:val="none" w:sz="0" w:space="0" w:color="auto"/>
            </w:tcBorders>
          </w:tcPr>
          <w:p>
            <w:r>
              <w:t>• Application Support</w:t>
            </w:r>
          </w:p>
        </w:tc>
      </w:tr>
      <w:tr>
        <w:tc>
          <w:tcPr>
            <w:tcW w:type="dxa" w:w="4320"/>
            <w:tcBorders>
              <w:top w:val="none" w:sz="0" w:space="0" w:color="auto"/>
              <w:left w:val="none" w:sz="0" w:space="0" w:color="auto"/>
              <w:bottom w:val="none" w:sz="0" w:space="0" w:color="auto"/>
              <w:right w:val="none" w:sz="0" w:space="0" w:color="auto"/>
            </w:tcBorders>
          </w:tcPr>
          <w:p>
            <w:r>
              <w:t>• cPanel &amp; Web Hosting Support</w:t>
            </w:r>
          </w:p>
        </w:tc>
        <w:tc>
          <w:tcPr>
            <w:tcW w:type="dxa" w:w="4320"/>
            <w:tcBorders>
              <w:top w:val="none" w:sz="0" w:space="0" w:color="auto"/>
              <w:left w:val="none" w:sz="0" w:space="0" w:color="auto"/>
              <w:bottom w:val="none" w:sz="0" w:space="0" w:color="auto"/>
              <w:right w:val="none" w:sz="0" w:space="0" w:color="auto"/>
            </w:tcBorders>
          </w:tcPr>
          <w:p>
            <w:r>
              <w:t>• Automation / Scripting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