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[hw:I.C. 150]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(G)</w:t>
        <w:tab/>
        <w:tab/>
        <w:t xml:space="preserve">TWO SMALL PLAQUES, of greyish schist cut in the shape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of the amulet PESESH-KEF, one of which bears the legend: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[hieroglyphics]. [hw:(pp. 30-31).]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(H)</w:t>
        <w:tab/>
        <w:tab/>
        <w:t xml:space="preserve">FRAGMENT OF FURNITURE, much decomposed and bearing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following names: [hieroglyphics]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[hw:(p.32)]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(I)</w:t>
        <w:tab/>
        <w:tab/>
        <w:t xml:space="preserve">HAEMATITE VASE, bearing the cartouches: [hieroglyphics][hw:(pp.35-6, pl.IV)]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(J)</w:t>
        <w:tab/>
        <w:tab/>
        <w:t xml:space="preserve">AMAZONITE VASE, bearing the prenomen and nomen: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[hieroglyphics] [hw:(p.36, pl.IV).]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These four objects could easily come from the king’s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tomb.  Note the erased cartouche of Amenhotep in specimen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([hw:I]), which name has escaped erasure in example ([hw:J]).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Among the funerary furniture discovered in the royal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hypogea objects bearing the names of preceeding monarchs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relatives are found (cf.tombs of Amenhotep I,II, Thoth-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 I, III, &amp; IV).  [hw:I presume that these are what Maspero refers to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 his statement: “Such of the small objects as were inscribed bore the name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of Amenôthes III and his wife Tîyi, proving that the set of tiny pots, boxes, tools,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fictitious offerings, in an </w:t>
      </w:r>
      <w:r w:rsidDel="00000000" w:rsidR="00000000" w:rsidRPr="00000000">
        <w:rPr>
          <w:highlight w:val="white"/>
          <w:rtl w:val="0"/>
        </w:rPr>
        <w:t xml:space="preserve">enamelled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stone</w:t>
      </w:r>
      <w:r w:rsidDel="00000000" w:rsidR="00000000" w:rsidRPr="00000000">
        <w:rPr>
          <w:rtl w:val="0"/>
        </w:rPr>
        <w:t xml:space="preserve"> or glazed pottery, were the property of the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Queen.”]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