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158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Akenhaten’s Skull.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[image]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a. Max. h. 190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B. Tip of Chin to occiput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254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head of Pr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rtl w:val="0"/>
        </w:rPr>
        <w:t xml:space="preserve"> a. 154</w:t>
      </w:r>
      <w:r w:rsidDel="00000000" w:rsidR="00000000" w:rsidRPr="00000000">
        <w:rPr>
          <w:highlight w:val="yellow"/>
          <w:rtl w:val="0"/>
        </w:rPr>
        <w:t xml:space="preserve"> 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    B. 193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