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I.C. 167</w:t>
      </w:r>
    </w:p>
    <w:p w:rsidR="00000000" w:rsidDel="00000000" w:rsidP="00000000" w:rsidRDefault="00000000" w:rsidRPr="00000000">
      <w:pPr>
        <w:keepNext w:val="0"/>
        <w:keepLines w:val="0"/>
        <w:widowControl w:val="0"/>
        <w:contextualSpacing w:val="0"/>
        <w:jc w:val="righ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[HW]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ab/>
        <w:tab/>
        <w:tab/>
      </w:r>
      <w:r w:rsidDel="00000000" w:rsidR="00000000" w:rsidRPr="00000000">
        <w:rPr>
          <w:u w:val="single"/>
          <w:rtl w:val="0"/>
        </w:rPr>
        <w:t xml:space="preserve">-Tomb - used as a Cache (to objects of Tut-ankh and Qai) </w:t>
      </w:r>
      <w:r w:rsidDel="00000000" w:rsidR="00000000" w:rsidRPr="00000000">
        <w:rPr>
          <w:rtl w:val="0"/>
        </w:rPr>
        <w:t xml:space="preserve">discovered 1907 by Harold Jones. (Theo M. Davis’ Excavations, </w:t>
      </w:r>
      <w:r w:rsidDel="00000000" w:rsidR="00000000" w:rsidRPr="00000000">
        <w:rPr>
          <w:color w:val="ff0000"/>
          <w:rtl w:val="0"/>
        </w:rPr>
        <w:t xml:space="preserve">Biblau El Malulee</w:t>
      </w:r>
      <w:r w:rsidDel="00000000" w:rsidR="00000000" w:rsidRPr="00000000">
        <w:rPr>
          <w:rtl w:val="0"/>
        </w:rPr>
        <w:t xml:space="preserve">, Tombs of Tut-Ankh-Amen and Qai).</w:t>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Funerary Statutette -</w:t>
      </w:r>
      <w:r w:rsidDel="00000000" w:rsidR="00000000" w:rsidRPr="00000000">
        <w:rPr>
          <w:rtl w:val="0"/>
        </w:rPr>
        <w:t xml:space="preserve"> Alabaster - Of a dignitary of the late XVIII Dynasty. “The deceased is represented in Civilian Costume of State.” A mode of dress not found before the reign of Amenhotep III, which appears to be of foreign origin. From the sendiment of this resin-logged Tomb (No. 1 pp.3, 125. pl. xcl). Daressy in the above publication suggests this figure is Qai before his elevation to the Throne (p. 125). This figure is obviously of a personage of high rank, but there is no indication of it in any way being Royal. Daressy’s suggestion has many points in its favour. More than less an arguement that it belongs to the original owner of this ^private Tomb (used as a Cache) would be as strong as the Qai contention. The fact that it was </w:t>
      </w:r>
      <w:r w:rsidDel="00000000" w:rsidR="00000000" w:rsidRPr="00000000">
        <w:rPr>
          <w:color w:val="ff0000"/>
          <w:rtl w:val="0"/>
        </w:rPr>
        <w:t xml:space="preserve">(page break)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found in the </w:t>
      </w:r>
      <w:r w:rsidDel="00000000" w:rsidR="00000000" w:rsidRPr="00000000">
        <w:rPr>
          <w:color w:val="ff0000"/>
          <w:rtl w:val="0"/>
        </w:rPr>
        <w:t xml:space="preserve">diy </w:t>
      </w:r>
      <w:r w:rsidDel="00000000" w:rsidR="00000000" w:rsidRPr="00000000">
        <w:rPr>
          <w:rtl w:val="0"/>
        </w:rPr>
        <w:t xml:space="preserve">and caked in the Tomb, and not in the box containing gold-foil ^</w:t>
      </w:r>
      <w:r w:rsidDel="00000000" w:rsidR="00000000" w:rsidRPr="00000000">
        <w:rPr>
          <w:u w:val="single"/>
          <w:rtl w:val="0"/>
        </w:rPr>
        <w:t xml:space="preserve">NB </w:t>
      </w:r>
      <w:r w:rsidDel="00000000" w:rsidR="00000000" w:rsidRPr="00000000">
        <w:rPr>
          <w:rtl w:val="0"/>
        </w:rPr>
        <w:t xml:space="preserve">stripped from the burial of either Tut-Ankh-Amen or Qai must be borne in mind. For those reasons, until we have some further data upon the subject, I cannot see any way to separate this figure from this - Tomb. </w:t>
      </w:r>
    </w:p>
    <w:p w:rsidR="00000000" w:rsidDel="00000000" w:rsidP="00000000" w:rsidRDefault="00000000" w:rsidRPr="00000000">
      <w:pPr>
        <w:keepNext w:val="0"/>
        <w:keepLines w:val="0"/>
        <w:widowControl w:val="0"/>
        <w:contextualSpacing w:val="0"/>
      </w:pPr>
      <w:r w:rsidDel="00000000" w:rsidR="00000000" w:rsidRPr="00000000">
        <w:rPr>
          <w:color w:val="ff0000"/>
          <w:u w:val="single"/>
          <w:rtl w:val="0"/>
        </w:rPr>
        <w:t xml:space="preserve">Noe</w:t>
      </w:r>
      <w:r w:rsidDel="00000000" w:rsidR="00000000" w:rsidRPr="00000000">
        <w:rPr>
          <w:u w:val="single"/>
          <w:rtl w:val="0"/>
        </w:rPr>
        <w:t xml:space="preserve">5</w:t>
      </w:r>
      <w:r w:rsidDel="00000000" w:rsidR="00000000" w:rsidRPr="00000000">
        <w:rPr>
          <w:rtl w:val="0"/>
        </w:rPr>
        <w:t xml:space="preserve"> The box, found </w:t>
      </w:r>
      <w:r w:rsidDel="00000000" w:rsidR="00000000" w:rsidRPr="00000000">
        <w:rPr>
          <w:strike w:val="1"/>
          <w:rtl w:val="0"/>
        </w:rPr>
        <w:t xml:space="preserve">in the Tomb </w:t>
      </w:r>
      <w:r w:rsidDel="00000000" w:rsidR="00000000" w:rsidRPr="00000000">
        <w:rPr>
          <w:rtl w:val="0"/>
        </w:rPr>
        <w:t xml:space="preserve">here, containing gold-foil of two kinds (pp. 3 and 125) - Thin </w:t>
      </w:r>
      <w:r w:rsidDel="00000000" w:rsidR="00000000" w:rsidRPr="00000000">
        <w:rPr>
          <w:strike w:val="1"/>
          <w:rtl w:val="0"/>
        </w:rPr>
        <w:t xml:space="preserve">and almost gold-leaf, and thick sheet gold</w:t>
      </w:r>
      <w:r w:rsidDel="00000000" w:rsidR="00000000" w:rsidRPr="00000000">
        <w:rPr>
          <w:rtl w:val="0"/>
        </w:rPr>
        <w:t xml:space="preserve"> - bearing data of both Tut-Ankh-Amen or Qai appears to have come from both of the burials of these Kings, or from one only. If only from one of t</w:t>
      </w:r>
      <w:r w:rsidDel="00000000" w:rsidR="00000000" w:rsidRPr="00000000">
        <w:rPr>
          <w:color w:val="ff0000"/>
          <w:rtl w:val="0"/>
        </w:rPr>
        <w:t xml:space="preserve">hin inlayments</w:t>
      </w:r>
      <w:r w:rsidDel="00000000" w:rsidR="00000000" w:rsidRPr="00000000">
        <w:rPr>
          <w:rtl w:val="0"/>
        </w:rPr>
        <w:t xml:space="preserve">, then the conclusion must be from that of Qai: as this king is represented with them not only as merely being </w:t>
      </w:r>
      <w:r w:rsidDel="00000000" w:rsidR="00000000" w:rsidRPr="00000000">
        <w:rPr>
          <w:color w:val="ff0000"/>
          <w:rtl w:val="0"/>
        </w:rPr>
        <w:t xml:space="preserve">(hieroglyphics) </w:t>
      </w:r>
      <w:r w:rsidDel="00000000" w:rsidR="00000000" w:rsidRPr="00000000">
        <w:rPr>
          <w:rtl w:val="0"/>
        </w:rPr>
        <w:t xml:space="preserve">as King (No. 4, p. 128), and as </w:t>
      </w:r>
      <w:r w:rsidDel="00000000" w:rsidR="00000000" w:rsidRPr="00000000">
        <w:rPr>
          <w:color w:val="ff0000"/>
          <w:rtl w:val="0"/>
        </w:rPr>
        <w:t xml:space="preserve">(hieroglyphics) </w:t>
      </w:r>
      <w:r w:rsidDel="00000000" w:rsidR="00000000" w:rsidRPr="00000000">
        <w:rPr>
          <w:rtl w:val="0"/>
        </w:rPr>
        <w:t xml:space="preserve">and </w:t>
      </w:r>
      <w:r w:rsidDel="00000000" w:rsidR="00000000" w:rsidRPr="00000000">
        <w:rPr>
          <w:color w:val="ff0000"/>
          <w:rtl w:val="0"/>
        </w:rPr>
        <w:t xml:space="preserve">(hieroglyphics) {scribbled out words} </w:t>
      </w:r>
      <w:r w:rsidDel="00000000" w:rsidR="00000000" w:rsidRPr="00000000">
        <w:rPr>
          <w:rtl w:val="0"/>
        </w:rPr>
        <w:t xml:space="preserve">as a Reigning power (No. 3.5 pp. 127.129) </w:t>
      </w:r>
      <w:r w:rsidDel="00000000" w:rsidR="00000000" w:rsidRPr="00000000">
        <w:rPr>
          <w:color w:val="ff0000"/>
          <w:rtl w:val="0"/>
        </w:rPr>
        <w:t xml:space="preserve">(page break) </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Could these then originate from Tut-Ankh-Amen if as the first piece shows he was only “Divine Father” during that Reign?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fragments No. 2, 10-16, (pp. 123-133) are most interesting and important for the study of ornament of foreign origin. The remaining fragments I have noted under the respective Tombs of the monarchs of whose names they bear.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(Not </w:t>
      </w:r>
      <w:r w:rsidDel="00000000" w:rsidR="00000000" w:rsidRPr="00000000">
        <w:rPr>
          <w:color w:val="ff0000"/>
          <w:rtl w:val="0"/>
        </w:rPr>
        <w:t xml:space="preserve">??? </w:t>
      </w:r>
      <w:r w:rsidDel="00000000" w:rsidR="00000000" w:rsidRPr="00000000">
        <w:rPr>
          <w:rtl w:val="0"/>
        </w:rPr>
        <w:t xml:space="preserve">of gods.)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