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right"/>
      </w:pPr>
      <w:r w:rsidDel="00000000" w:rsidR="00000000" w:rsidRPr="00000000">
        <w:rPr>
          <w:rtl w:val="0"/>
        </w:rPr>
        <w:t xml:space="preserve">[hw: I.C. 147]</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w:t>
        <w:tab/>
        <w:t xml:space="preserve">FOUR MAGICAL BRICKS - being pedestals in [strikethrough: illegible] clay for the four magical figures.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“Four inscribed mud tablets, on two of which the cartouche</w:t>
      </w:r>
      <w:r w:rsidDel="00000000" w:rsidR="00000000" w:rsidRPr="00000000">
        <w:rPr>
          <w:strike w:val="1"/>
          <w:rtl w:val="0"/>
        </w:rPr>
        <w:t xml:space="preserve">s </w:t>
      </w:r>
      <w:r w:rsidDel="00000000" w:rsidR="00000000" w:rsidRPr="00000000">
        <w:rPr>
          <w:rtl w:val="0"/>
        </w:rPr>
        <w:t xml:space="preserve">of Akhenaten is legible, were found, respectively(a) - The Northern Brick - in the N.W. corner; (b) - The Southern Brick - under the mummy couch; (c) - The Western Brick - in the small side chamber; (d) - The Eastern Brick - against the E. wall at about seven feet from the N.E.corner.” (pp.10, 26-7, pl.xxii).</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Their texts with slight variation agree with those found in the tomb of Thothmes IV (cf.pp.9, 10, pl. IV), and (Book of the Dead, Naville, P.S.B.A.,XXV,p.108).</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Their presence in this cache is of interest [hw: .] [hw: T]he fact of their being transported from the king’s tomb with the coffin and mummy, shows that these magical figures are intended more for the protection of the mummy than for the sepulchre.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