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Title"/>
        <w:spacing w:after="140" w:before="0"/>
      </w:pPr>
      <w:r>
        <w:t xml:space="preserve">Note Technique 15 - Moteur de rendu des fiches décisionnelles G2M</w:t>
      </w:r>
    </w:p>
    <w:p>
      <w:pPr>
        <w:pStyle w:val="Heading1"/>
        <w:spacing w:after="140" w:before="260"/>
      </w:pPr>
      <w:r>
        <w:t xml:space="preserve">1. Objet</w:t>
      </w:r>
    </w:p>
    <w:p>
      <w:pPr>
        <w:spacing w:after="130"/>
      </w:pPr>
      <w:r>
        <w:t xml:space="preserve">Cette note décrit une proposition pragmatique de première version du moteur de rendu des fiches et rapports générés à partir des données d'une soumission Kobo dans G2M.</w:t>
      </w:r>
    </w:p>
    <w:p>
      <w:pPr>
        <w:spacing w:after="130"/>
      </w:pPr>
      <w:r>
        <w:t xml:space="preserve">L'objectif n'est pas de construire un moteur parfait dès le départ, mais de livrer une V1 simple, configurable, testable et améliorable progressivement.</w:t>
      </w:r>
    </w:p>
    <w:p>
      <w:pPr>
        <w:pStyle w:val="Heading1"/>
        <w:spacing w:after="140" w:before="260"/>
      </w:pPr>
      <w:r>
        <w:t xml:space="preserve">2. Contexte</w:t>
      </w:r>
    </w:p>
    <w:p>
      <w:pPr>
        <w:spacing w:after="130"/>
      </w:pPr>
      <w:r>
        <w:t xml:space="preserve">Dans G2M, les données collectées via KoboToolbox sont stockées sous forme de soumissions JSON brutes, dans le champ </w:t>
      </w:r>
      <w:r>
        <w:rPr>
          <w:rFonts w:ascii="Courier New" w:cs="Courier New" w:eastAsia="Courier New" w:hAnsi="Courier New"/>
          <w:shd w:fill="E9EEF2"/>
        </w:rPr>
        <w:t xml:space="preserve">raw_data_json</w:t>
      </w:r>
      <w:r>
        <w:t xml:space="preserve">.</w:t>
      </w:r>
    </w:p>
    <w:p>
      <w:pPr>
        <w:spacing w:after="130"/>
      </w:pPr>
      <w:r>
        <w:t xml:space="preserve">Ces données sont adaptées au stockage et à l'analyse, mais elles restent peu lisibles pour un décideur. La fiche décisionnelle doit donc transformer une soumission technique en document HTML clair, structuré et orienté décision.</w:t>
      </w:r>
    </w:p>
    <w:p>
      <w:pPr>
        <w:spacing w:after="130"/>
      </w:pPr>
      <w:r>
        <w:t xml:space="preserve">Le principe retenu est de ne pas créer un système de mapping complet de type Form.io. G2M doit plutôt disposer d'un moteur de rendu générique piloté par des templates JSON.</w:t>
      </w:r>
    </w:p>
    <w:p>
      <w:pPr>
        <w:pStyle w:val="Heading1"/>
        <w:spacing w:after="140" w:before="260"/>
      </w:pPr>
      <w:r>
        <w:t xml:space="preserve">3. Principe général</w:t>
      </w:r>
    </w:p>
    <w:p>
      <w:pPr>
        <w:spacing w:after="130"/>
      </w:pPr>
      <w:r>
        <w:t xml:space="preserve">Les fiches décisionnelles doivent être générées côté backend à partir :</w:t>
      </w:r>
    </w:p>
    <w:p>
      <w:pPr>
        <w:pStyle w:val="ListParagraph"/>
        <w:numPr>
          <w:ilvl w:val="0"/>
          <w:numId w:val="1"/>
        </w:numPr>
        <w:spacing w:after="130"/>
      </w:pPr>
      <w:r>
        <w:t xml:space="preserve">d'une soumission stockée en base ;</w:t>
      </w:r>
    </w:p>
    <w:p>
      <w:pPr>
        <w:pStyle w:val="ListParagraph"/>
        <w:numPr>
          <w:ilvl w:val="0"/>
          <w:numId w:val="1"/>
        </w:numPr>
        <w:spacing w:after="130"/>
      </w:pPr>
      <w:r>
        <w:t xml:space="preserve">du </w:t>
      </w:r>
      <w:r>
        <w:rPr>
          <w:rFonts w:ascii="Courier New" w:cs="Courier New" w:eastAsia="Courier New" w:hAnsi="Courier New"/>
          <w:shd w:fill="E9EEF2"/>
        </w:rPr>
        <w:t xml:space="preserve">raw_data_json</w:t>
      </w:r>
      <w:r>
        <w:t xml:space="preserve"> Kobo ;</w:t>
      </w:r>
    </w:p>
    <w:p>
      <w:pPr>
        <w:pStyle w:val="ListParagraph"/>
        <w:numPr>
          <w:ilvl w:val="0"/>
          <w:numId w:val="1"/>
        </w:numPr>
        <w:spacing w:after="130"/>
      </w:pPr>
      <w:r>
        <w:t xml:space="preserve">d'un template JSON décrivant les champs à afficher ;</w:t>
      </w:r>
    </w:p>
    <w:p>
      <w:pPr>
        <w:pStyle w:val="ListParagraph"/>
        <w:numPr>
          <w:ilvl w:val="0"/>
          <w:numId w:val="1"/>
        </w:numPr>
        <w:spacing w:after="130"/>
      </w:pPr>
      <w:r>
        <w:t xml:space="preserve">d'un template HTML/EJS générique chargé de l'affichage.</w:t>
      </w:r>
    </w:p>
    <w:p>
      <w:pPr>
        <w:spacing w:after="130"/>
      </w:pPr>
      <w:r>
        <w:t xml:space="preserve">Le moteur ne doit pas contenir de logique métier spécifique à un questionnaire. La logique de présentation doit être portée par des fichiers de configuration JSON.</w:t>
      </w:r>
    </w:p>
    <w:p>
      <w:pPr>
        <w:pStyle w:val="Heading1"/>
        <w:spacing w:after="140" w:before="260"/>
      </w:pPr>
      <w:r>
        <w:t xml:space="preserve">4. Améliorations recommandées pour une V1</w:t>
      </w:r>
    </w:p>
    <w:p>
      <w:pPr>
        <w:pStyle w:val="Heading2"/>
        <w:spacing w:after="140" w:before="260"/>
      </w:pPr>
      <w:r>
        <w:t xml:space="preserve">4.1. Séparer mapping et template de rendu</w:t>
      </w:r>
    </w:p>
    <w:p>
      <w:pPr>
        <w:spacing w:after="130"/>
      </w:pPr>
      <w:r>
        <w:t xml:space="preserve">Le mapping de formulaire décrit les champs Kobo.</w:t>
      </w:r>
    </w:p>
    <w:p>
      <w:pPr>
        <w:spacing w:after="130"/>
      </w:pPr>
      <w:r>
        <w:t xml:space="preserve">Le template de rendu doit seulement décrire :</w:t>
      </w:r>
    </w:p>
    <w:p>
      <w:pPr>
        <w:pStyle w:val="ListParagraph"/>
        <w:numPr>
          <w:ilvl w:val="0"/>
          <w:numId w:val="1"/>
        </w:numPr>
        <w:spacing w:after="130"/>
      </w:pPr>
      <w:r>
        <w:t xml:space="preserve">quoi afficher ;</w:t>
      </w:r>
    </w:p>
    <w:p>
      <w:pPr>
        <w:pStyle w:val="ListParagraph"/>
        <w:numPr>
          <w:ilvl w:val="0"/>
          <w:numId w:val="1"/>
        </w:numPr>
        <w:spacing w:after="130"/>
      </w:pPr>
      <w:r>
        <w:t xml:space="preserve">dans quel ordre ;</w:t>
      </w:r>
    </w:p>
    <w:p>
      <w:pPr>
        <w:pStyle w:val="ListParagraph"/>
        <w:numPr>
          <w:ilvl w:val="0"/>
          <w:numId w:val="1"/>
        </w:numPr>
        <w:spacing w:after="130"/>
      </w:pPr>
      <w:r>
        <w:t xml:space="preserve">avec quel libellé ;</w:t>
      </w:r>
    </w:p>
    <w:p>
      <w:pPr>
        <w:pStyle w:val="ListParagraph"/>
        <w:numPr>
          <w:ilvl w:val="0"/>
          <w:numId w:val="1"/>
        </w:numPr>
        <w:spacing w:after="130"/>
      </w:pPr>
      <w:r>
        <w:t xml:space="preserve">avec quel format ;</w:t>
      </w:r>
    </w:p>
    <w:p>
      <w:pPr>
        <w:pStyle w:val="ListParagraph"/>
        <w:numPr>
          <w:ilvl w:val="0"/>
          <w:numId w:val="1"/>
        </w:numPr>
        <w:spacing w:after="130"/>
      </w:pPr>
      <w:r>
        <w:t xml:space="preserve">avec quel fallback éventuel.</w:t>
      </w:r>
    </w:p>
    <w:p>
      <w:pPr>
        <w:spacing w:after="130"/>
      </w:pPr>
      <w:r>
        <w:t xml:space="preserve">Cette séparation évite de dupliquer toute la structure XLSForm dans le moteur de rendu.</w:t>
      </w:r>
    </w:p>
    <w:p>
      <w:pPr>
        <w:pStyle w:val="Heading2"/>
        <w:spacing w:after="140" w:before="260"/>
      </w:pPr>
      <w:r>
        <w:t xml:space="preserve">4.2. Limiter les blocs supportés en V1</w:t>
      </w:r>
    </w:p>
    <w:p>
      <w:pPr>
        <w:spacing w:after="130"/>
      </w:pPr>
      <w:r>
        <w:t xml:space="preserve">Blocs recommandés pour démarrer :</w:t>
      </w:r>
    </w:p>
    <w:p>
      <w:pPr>
        <w:pStyle w:val="ListParagraph"/>
        <w:numPr>
          <w:ilvl w:val="0"/>
          <w:numId w:val="1"/>
        </w:numPr>
        <w:spacing w:after="130"/>
      </w:pPr>
      <w:r>
        <w:rPr>
          <w:rFonts w:ascii="Courier New" w:cs="Courier New" w:eastAsia="Courier New" w:hAnsi="Courier New"/>
          <w:shd w:fill="E9EEF2"/>
        </w:rPr>
        <w:t xml:space="preserve">header</w:t>
      </w:r>
      <w:r>
        <w:t xml:space="preserve"> ;</w:t>
      </w:r>
    </w:p>
    <w:p>
      <w:pPr>
        <w:pStyle w:val="ListParagraph"/>
        <w:numPr>
          <w:ilvl w:val="0"/>
          <w:numId w:val="1"/>
        </w:numPr>
        <w:spacing w:after="130"/>
      </w:pPr>
      <w:r>
        <w:rPr>
          <w:rFonts w:ascii="Courier New" w:cs="Courier New" w:eastAsia="Courier New" w:hAnsi="Courier New"/>
          <w:shd w:fill="E9EEF2"/>
        </w:rPr>
        <w:t xml:space="preserve">summary</w:t>
      </w:r>
      <w:r>
        <w:t xml:space="preserve"> ;</w:t>
      </w:r>
    </w:p>
    <w:p>
      <w:pPr>
        <w:pStyle w:val="ListParagraph"/>
        <w:numPr>
          <w:ilvl w:val="0"/>
          <w:numId w:val="1"/>
        </w:numPr>
        <w:spacing w:after="130"/>
      </w:pPr>
      <w:r>
        <w:rPr>
          <w:rFonts w:ascii="Courier New" w:cs="Courier New" w:eastAsia="Courier New" w:hAnsi="Courier New"/>
          <w:shd w:fill="E9EEF2"/>
        </w:rPr>
        <w:t xml:space="preserve">facts_grid</w:t>
      </w:r>
      <w:r>
        <w:t xml:space="preserve"> ;</w:t>
      </w:r>
    </w:p>
    <w:p>
      <w:pPr>
        <w:pStyle w:val="ListParagraph"/>
        <w:numPr>
          <w:ilvl w:val="0"/>
          <w:numId w:val="1"/>
        </w:numPr>
        <w:spacing w:after="130"/>
      </w:pPr>
      <w:r>
        <w:rPr>
          <w:rFonts w:ascii="Courier New" w:cs="Courier New" w:eastAsia="Courier New" w:hAnsi="Courier New"/>
          <w:shd w:fill="E9EEF2"/>
        </w:rPr>
        <w:t xml:space="preserve">sections</w:t>
      </w:r>
      <w:r>
        <w:t xml:space="preserve"> ;</w:t>
      </w:r>
    </w:p>
    <w:p>
      <w:pPr>
        <w:pStyle w:val="ListParagraph"/>
        <w:numPr>
          <w:ilvl w:val="0"/>
          <w:numId w:val="1"/>
        </w:numPr>
        <w:spacing w:after="130"/>
      </w:pPr>
      <w:r>
        <w:rPr>
          <w:rFonts w:ascii="Courier New" w:cs="Courier New" w:eastAsia="Courier New" w:hAnsi="Courier New"/>
          <w:shd w:fill="E9EEF2"/>
        </w:rPr>
        <w:t xml:space="preserve">repeat_table</w:t>
      </w:r>
      <w:r>
        <w:t xml:space="preserve"> ;</w:t>
      </w:r>
    </w:p>
    <w:p>
      <w:pPr>
        <w:pStyle w:val="ListParagraph"/>
        <w:numPr>
          <w:ilvl w:val="0"/>
          <w:numId w:val="1"/>
        </w:numPr>
        <w:spacing w:after="130"/>
      </w:pPr>
      <w:r>
        <w:rPr>
          <w:rFonts w:ascii="Courier New" w:cs="Courier New" w:eastAsia="Courier New" w:hAnsi="Courier New"/>
          <w:shd w:fill="E9EEF2"/>
        </w:rPr>
        <w:t xml:space="preserve">map_point</w:t>
      </w:r>
      <w:r>
        <w:t xml:space="preserve">.</w:t>
      </w:r>
    </w:p>
    <w:p>
      <w:pPr>
        <w:spacing w:after="130"/>
      </w:pPr>
      <w:r>
        <w:t xml:space="preserve">À reporter en V2 :</w:t>
      </w:r>
    </w:p>
    <w:p>
      <w:pPr>
        <w:pStyle w:val="ListParagraph"/>
        <w:numPr>
          <w:ilvl w:val="0"/>
          <w:numId w:val="1"/>
        </w:numPr>
        <w:spacing w:after="130"/>
      </w:pPr>
      <w:r>
        <w:t xml:space="preserve">génération PDF ;</w:t>
      </w:r>
    </w:p>
    <w:p>
      <w:pPr>
        <w:pStyle w:val="ListParagraph"/>
        <w:numPr>
          <w:ilvl w:val="0"/>
          <w:numId w:val="1"/>
        </w:numPr>
        <w:spacing w:after="130"/>
      </w:pPr>
      <w:r>
        <w:t xml:space="preserve">galerie média ;</w:t>
      </w:r>
    </w:p>
    <w:p>
      <w:pPr>
        <w:pStyle w:val="ListParagraph"/>
        <w:numPr>
          <w:ilvl w:val="0"/>
          <w:numId w:val="1"/>
        </w:numPr>
        <w:spacing w:after="130"/>
      </w:pPr>
      <w:r>
        <w:t xml:space="preserve">photos Wasabi ;</w:t>
      </w:r>
    </w:p>
    <w:p>
      <w:pPr>
        <w:pStyle w:val="ListParagraph"/>
        <w:numPr>
          <w:ilvl w:val="0"/>
          <w:numId w:val="1"/>
        </w:numPr>
        <w:spacing w:after="130"/>
      </w:pPr>
      <w:r>
        <w:t xml:space="preserve">géoshapes complexes ;</w:t>
      </w:r>
    </w:p>
    <w:p>
      <w:pPr>
        <w:pStyle w:val="ListParagraph"/>
        <w:numPr>
          <w:ilvl w:val="0"/>
          <w:numId w:val="1"/>
        </w:numPr>
        <w:spacing w:after="130"/>
      </w:pPr>
      <w:r>
        <w:t xml:space="preserve">accordéons ;</w:t>
      </w:r>
    </w:p>
    <w:p>
      <w:pPr>
        <w:pStyle w:val="ListParagraph"/>
        <w:numPr>
          <w:ilvl w:val="0"/>
          <w:numId w:val="1"/>
        </w:numPr>
        <w:spacing w:after="130"/>
      </w:pPr>
      <w:r>
        <w:t xml:space="preserve">renderers séparés avancés.</w:t>
      </w:r>
    </w:p>
    <w:p>
      <w:pPr>
        <w:pStyle w:val="Heading2"/>
        <w:spacing w:after="140" w:before="260"/>
      </w:pPr>
      <w:r>
        <w:t xml:space="preserve">4.3. Supporter deux syntaxes de chemins</w:t>
      </w:r>
    </w:p>
    <w:p>
      <w:pPr>
        <w:spacing w:after="130"/>
      </w:pPr>
      <w:r>
        <w:t xml:space="preserve">Le moteur doit lire les deux formes suivantes :</w:t>
      </w:r>
    </w:p>
    <w:p>
      <w:pPr>
        <w:shd w:fill="F1F4F5"/>
        <w:spacing w:after="160" w:before="80"/>
        <w:ind w:left="220" w:right="220"/>
      </w:pPr>
      <w:r>
        <w:rPr>
          <w:rFonts w:ascii="Courier New" w:cs="Courier New" w:eastAsia="Courier New" w:hAnsi="Courier New"/>
          <w:sz w:val="18"/>
          <w:szCs w:val="18"/>
        </w:rPr>
        <w:t xml:space="preserve">modB/nom_officiel
modB.nom_officiel</w:t>
      </w:r>
    </w:p>
    <w:p>
      <w:pPr>
        <w:spacing w:after="130"/>
      </w:pPr>
      <w:r>
        <w:t xml:space="preserve">Cela évite les champs vides liés aux différences entre Kobo, XLSForm et structures JSON internes.</w:t>
      </w:r>
    </w:p>
    <w:p>
      <w:pPr>
        <w:pStyle w:val="Heading2"/>
        <w:spacing w:after="140" w:before="260"/>
      </w:pPr>
      <w:r>
        <w:t xml:space="preserve">4.4. Prévoir des fallbacks</w:t>
      </w:r>
    </w:p>
    <w:p>
      <w:pPr>
        <w:spacing w:after="130"/>
      </w:pPr>
      <w:r>
        <w:t xml:space="preserve">Chaque champ du template devrait pouvoir définir :</w:t>
      </w:r>
    </w:p>
    <w:p>
      <w:pPr>
        <w:pStyle w:val="ListParagraph"/>
        <w:numPr>
          <w:ilvl w:val="0"/>
          <w:numId w:val="1"/>
        </w:numPr>
        <w:spacing w:after="130"/>
      </w:pPr>
      <w:r>
        <w:rPr>
          <w:rFonts w:ascii="Courier New" w:cs="Courier New" w:eastAsia="Courier New" w:hAnsi="Courier New"/>
          <w:shd w:fill="E9EEF2"/>
        </w:rPr>
        <w:t xml:space="preserve">path</w:t>
      </w:r>
      <w:r>
        <w:t xml:space="preserve"> ;</w:t>
      </w:r>
    </w:p>
    <w:p>
      <w:pPr>
        <w:pStyle w:val="ListParagraph"/>
        <w:numPr>
          <w:ilvl w:val="0"/>
          <w:numId w:val="1"/>
        </w:numPr>
        <w:spacing w:after="130"/>
      </w:pPr>
      <w:r>
        <w:rPr>
          <w:rFonts w:ascii="Courier New" w:cs="Courier New" w:eastAsia="Courier New" w:hAnsi="Courier New"/>
          <w:shd w:fill="E9EEF2"/>
        </w:rPr>
        <w:t xml:space="preserve">fallbackPath</w:t>
      </w:r>
      <w:r>
        <w:t xml:space="preserve"> ;</w:t>
      </w:r>
    </w:p>
    <w:p>
      <w:pPr>
        <w:pStyle w:val="ListParagraph"/>
        <w:numPr>
          <w:ilvl w:val="0"/>
          <w:numId w:val="1"/>
        </w:numPr>
        <w:spacing w:after="130"/>
      </w:pPr>
      <w:r>
        <w:rPr>
          <w:rFonts w:ascii="Courier New" w:cs="Courier New" w:eastAsia="Courier New" w:hAnsi="Courier New"/>
          <w:shd w:fill="E9EEF2"/>
        </w:rPr>
        <w:t xml:space="preserve">defaultValue</w:t>
      </w:r>
      <w:r>
        <w:t xml:space="preserve"> ;</w:t>
      </w:r>
    </w:p>
    <w:p>
      <w:pPr>
        <w:pStyle w:val="ListParagraph"/>
        <w:numPr>
          <w:ilvl w:val="0"/>
          <w:numId w:val="1"/>
        </w:numPr>
        <w:spacing w:after="130"/>
      </w:pPr>
      <w:r>
        <w:rPr>
          <w:rFonts w:ascii="Courier New" w:cs="Courier New" w:eastAsia="Courier New" w:hAnsi="Courier New"/>
          <w:shd w:fill="E9EEF2"/>
        </w:rPr>
        <w:t xml:space="preserve">format</w:t>
      </w:r>
      <w:r>
        <w:t xml:space="preserve">.</w:t>
      </w:r>
    </w:p>
    <w:p>
      <w:pPr>
        <w:spacing w:after="130"/>
      </w:pPr>
      <w:r>
        <w:t xml:space="preserve">Exemple fonctionnel : si </w:t>
      </w:r>
      <w:r>
        <w:rPr>
          <w:rFonts w:ascii="Courier New" w:cs="Courier New" w:eastAsia="Courier New" w:hAnsi="Courier New"/>
          <w:shd w:fill="E9EEF2"/>
        </w:rPr>
        <w:t xml:space="preserve">modB/region</w:t>
      </w:r>
      <w:r>
        <w:t xml:space="preserve"> est vide, utiliser </w:t>
      </w:r>
      <w:r>
        <w:rPr>
          <w:rFonts w:ascii="Courier New" w:cs="Courier New" w:eastAsia="Courier New" w:hAnsi="Courier New"/>
          <w:shd w:fill="E9EEF2"/>
        </w:rPr>
        <w:t xml:space="preserve">record.nom_region</w:t>
      </w:r>
      <w:r>
        <w:t xml:space="preserve">.</w:t>
      </w:r>
    </w:p>
    <w:p>
      <w:pPr>
        <w:pStyle w:val="Heading2"/>
        <w:spacing w:after="140" w:before="260"/>
      </w:pPr>
      <w:r>
        <w:t xml:space="preserve">4.5. Centraliser le formatage</w:t>
      </w:r>
    </w:p>
    <w:p>
      <w:pPr>
        <w:spacing w:after="130"/>
      </w:pPr>
      <w:r>
        <w:t xml:space="preserve">Le formatage doit être fait dans un service unique, pas dans les vues EJS.</w:t>
      </w:r>
    </w:p>
    <w:p>
      <w:pPr>
        <w:spacing w:after="130"/>
      </w:pPr>
      <w:r>
        <w:t xml:space="preserve">Formats V1 :</w:t>
      </w:r>
    </w:p>
    <w:p>
      <w:pPr>
        <w:pStyle w:val="ListParagraph"/>
        <w:numPr>
          <w:ilvl w:val="0"/>
          <w:numId w:val="1"/>
        </w:numPr>
        <w:spacing w:after="130"/>
      </w:pPr>
      <w:r>
        <w:t xml:space="preserve">valeur vide vers </w:t>
      </w:r>
      <w:r>
        <w:rPr>
          <w:rFonts w:ascii="Courier New" w:cs="Courier New" w:eastAsia="Courier New" w:hAnsi="Courier New"/>
          <w:shd w:fill="E9EEF2"/>
        </w:rPr>
        <w:t xml:space="preserve">-</w:t>
      </w:r>
      <w:r>
        <w:t xml:space="preserve"> ;</w:t>
      </w:r>
    </w:p>
    <w:p>
      <w:pPr>
        <w:pStyle w:val="ListParagraph"/>
        <w:numPr>
          <w:ilvl w:val="0"/>
          <w:numId w:val="1"/>
        </w:numPr>
        <w:spacing w:after="130"/>
      </w:pPr>
      <w:r>
        <w:rPr>
          <w:rFonts w:ascii="Courier New" w:cs="Courier New" w:eastAsia="Courier New" w:hAnsi="Courier New"/>
          <w:shd w:fill="E9EEF2"/>
        </w:rPr>
        <w:t xml:space="preserve">text</w:t>
      </w:r>
      <w:r>
        <w:t xml:space="preserve"> ;</w:t>
      </w:r>
    </w:p>
    <w:p>
      <w:pPr>
        <w:pStyle w:val="ListParagraph"/>
        <w:numPr>
          <w:ilvl w:val="0"/>
          <w:numId w:val="1"/>
        </w:numPr>
        <w:spacing w:after="130"/>
      </w:pPr>
      <w:r>
        <w:rPr>
          <w:rFonts w:ascii="Courier New" w:cs="Courier New" w:eastAsia="Courier New" w:hAnsi="Courier New"/>
          <w:shd w:fill="E9EEF2"/>
        </w:rPr>
        <w:t xml:space="preserve">date</w:t>
      </w:r>
      <w:r>
        <w:t xml:space="preserve"> ;</w:t>
      </w:r>
    </w:p>
    <w:p>
      <w:pPr>
        <w:pStyle w:val="ListParagraph"/>
        <w:numPr>
          <w:ilvl w:val="0"/>
          <w:numId w:val="1"/>
        </w:numPr>
        <w:spacing w:after="130"/>
      </w:pPr>
      <w:r>
        <w:rPr>
          <w:rFonts w:ascii="Courier New" w:cs="Courier New" w:eastAsia="Courier New" w:hAnsi="Courier New"/>
          <w:shd w:fill="E9EEF2"/>
        </w:rPr>
        <w:t xml:space="preserve">number</w:t>
      </w:r>
      <w:r>
        <w:t xml:space="preserve"> ;</w:t>
      </w:r>
    </w:p>
    <w:p>
      <w:pPr>
        <w:pStyle w:val="ListParagraph"/>
        <w:numPr>
          <w:ilvl w:val="0"/>
          <w:numId w:val="1"/>
        </w:numPr>
        <w:spacing w:after="130"/>
      </w:pPr>
      <w:r>
        <w:rPr>
          <w:rFonts w:ascii="Courier New" w:cs="Courier New" w:eastAsia="Courier New" w:hAnsi="Courier New"/>
          <w:shd w:fill="E9EEF2"/>
        </w:rPr>
        <w:t xml:space="preserve">yes_no</w:t>
      </w:r>
      <w:r>
        <w:t xml:space="preserve"> ;</w:t>
      </w:r>
    </w:p>
    <w:p>
      <w:pPr>
        <w:pStyle w:val="ListParagraph"/>
        <w:numPr>
          <w:ilvl w:val="0"/>
          <w:numId w:val="1"/>
        </w:numPr>
        <w:spacing w:after="130"/>
      </w:pPr>
      <w:r>
        <w:rPr>
          <w:rFonts w:ascii="Courier New" w:cs="Courier New" w:eastAsia="Courier New" w:hAnsi="Courier New"/>
          <w:shd w:fill="E9EEF2"/>
        </w:rPr>
        <w:t xml:space="preserve">choice</w:t>
      </w:r>
      <w:r>
        <w:t xml:space="preserve"> ;</w:t>
      </w:r>
    </w:p>
    <w:p>
      <w:pPr>
        <w:pStyle w:val="ListParagraph"/>
        <w:numPr>
          <w:ilvl w:val="0"/>
          <w:numId w:val="1"/>
        </w:numPr>
        <w:spacing w:after="130"/>
      </w:pPr>
      <w:r>
        <w:rPr>
          <w:rFonts w:ascii="Courier New" w:cs="Courier New" w:eastAsia="Courier New" w:hAnsi="Courier New"/>
          <w:shd w:fill="E9EEF2"/>
        </w:rPr>
        <w:t xml:space="preserve">choice_list</w:t>
      </w:r>
      <w:r>
        <w:t xml:space="preserve">.</w:t>
      </w:r>
    </w:p>
    <w:p>
      <w:pPr>
        <w:pStyle w:val="Heading2"/>
        <w:spacing w:after="140" w:before="260"/>
      </w:pPr>
      <w:r>
        <w:t xml:space="preserve">4.6. Ajouter un mode diagnostic</w:t>
      </w:r>
    </w:p>
    <w:p>
      <w:pPr>
        <w:spacing w:after="130"/>
      </w:pPr>
      <w:r>
        <w:t xml:space="preserve">Le moteur doit pouvoir identifier les champs non résolus :</w:t>
      </w:r>
    </w:p>
    <w:p>
      <w:pPr>
        <w:pStyle w:val="ListParagraph"/>
        <w:numPr>
          <w:ilvl w:val="0"/>
          <w:numId w:val="1"/>
        </w:numPr>
        <w:spacing w:after="130"/>
      </w:pPr>
      <w:r>
        <w:t xml:space="preserve">chemin introuvable ;</w:t>
      </w:r>
    </w:p>
    <w:p>
      <w:pPr>
        <w:pStyle w:val="ListParagraph"/>
        <w:numPr>
          <w:ilvl w:val="0"/>
          <w:numId w:val="1"/>
        </w:numPr>
        <w:spacing w:after="130"/>
      </w:pPr>
      <w:r>
        <w:t xml:space="preserve">valeur absente ;</w:t>
      </w:r>
    </w:p>
    <w:p>
      <w:pPr>
        <w:pStyle w:val="ListParagraph"/>
        <w:numPr>
          <w:ilvl w:val="0"/>
          <w:numId w:val="1"/>
        </w:numPr>
        <w:spacing w:after="130"/>
      </w:pPr>
      <w:r>
        <w:t xml:space="preserve">fallback utilisé ;</w:t>
      </w:r>
    </w:p>
    <w:p>
      <w:pPr>
        <w:pStyle w:val="ListParagraph"/>
        <w:numPr>
          <w:ilvl w:val="0"/>
          <w:numId w:val="1"/>
        </w:numPr>
        <w:spacing w:after="130"/>
      </w:pPr>
      <w:r>
        <w:t xml:space="preserve">format inconnu.</w:t>
      </w:r>
    </w:p>
    <w:p>
      <w:pPr>
        <w:spacing w:after="130"/>
      </w:pPr>
      <w:r>
        <w:t xml:space="preserve">Ce diagnostic facilitera la correction progressive des templates.</w:t>
      </w:r>
    </w:p>
    <w:p>
      <w:pPr>
        <w:pStyle w:val="Heading1"/>
        <w:spacing w:after="140" w:before="260"/>
      </w:pPr>
      <w:r>
        <w:t xml:space="preserve">5. Structure cible des templates</w:t>
      </w:r>
    </w:p>
    <w:p>
      <w:pPr>
        <w:spacing w:after="130"/>
      </w:pPr>
      <w:r>
        <w:t xml:space="preserve">Pour chaque questionnaire Kobo, G2M pourra disposer d'un ou plusieurs templates décisionnels.</w:t>
      </w:r>
    </w:p>
    <w:p>
      <w:pPr>
        <w:spacing w:after="130"/>
      </w:pPr>
      <w:r>
        <w:t xml:space="preserve">Exemple :</w:t>
      </w:r>
    </w:p>
    <w:p>
      <w:pPr>
        <w:shd w:fill="F1F4F5"/>
        <w:spacing w:after="160" w:before="80"/>
        <w:ind w:left="220" w:right="220"/>
      </w:pPr>
      <w:r>
        <w:rPr>
          <w:rFonts w:ascii="Courier New" w:cs="Courier New" w:eastAsia="Courier New" w:hAnsi="Courier New"/>
          <w:sz w:val="18"/>
          <w:szCs w:val="18"/>
        </w:rPr>
        <w:t xml:space="preserve">Questionnaire Kobo PADCI
  - Fiche décisionnelle
  - Fiche technique
  - Rapport PDF futur
  - Export métier futur</w:t>
      </w:r>
    </w:p>
    <w:p>
      <w:pPr>
        <w:spacing w:after="130"/>
      </w:pPr>
      <w:r>
        <w:t xml:space="preserve">Pour la V1, le premier template proposé est :</w:t>
      </w:r>
    </w:p>
    <w:p>
      <w:pPr>
        <w:shd w:fill="F1F4F5"/>
        <w:spacing w:after="160" w:before="80"/>
        <w:ind w:left="220" w:right="220"/>
      </w:pPr>
      <w:r>
        <w:rPr>
          <w:rFonts w:ascii="Courier New" w:cs="Courier New" w:eastAsia="Courier New" w:hAnsi="Courier New"/>
          <w:sz w:val="18"/>
          <w:szCs w:val="18"/>
        </w:rPr>
        <w:t xml:space="preserve">config/report-templates/padci_decision_sheet.json</w:t>
      </w:r>
    </w:p>
    <w:p>
      <w:pPr>
        <w:spacing w:after="130"/>
      </w:pPr>
      <w:r>
        <w:t xml:space="preserve">Ce fichier décrira le rendu HTML attendu : titre, sous-titre, résumé, sections, champs, formats et fallbacks.</w:t>
      </w:r>
    </w:p>
    <w:p>
      <w:pPr>
        <w:pStyle w:val="Heading1"/>
        <w:spacing w:after="140" w:before="260"/>
      </w:pPr>
      <w:r>
        <w:t xml:space="preserve">6. Plan de mise en œuvre</w:t>
      </w:r>
    </w:p>
    <w:p>
      <w:pPr>
        <w:pStyle w:val="Heading2"/>
        <w:spacing w:after="140" w:before="260"/>
      </w:pPr>
      <w:r>
        <w:t xml:space="preserve">6.1. Créer le dossier de templates</w:t>
      </w:r>
    </w:p>
    <w:p>
      <w:pPr>
        <w:spacing w:after="130"/>
      </w:pPr>
      <w:r>
        <w:t xml:space="preserve">Créer :</w:t>
      </w:r>
    </w:p>
    <w:p>
      <w:pPr>
        <w:shd w:fill="F1F4F5"/>
        <w:spacing w:after="160" w:before="80"/>
        <w:ind w:left="220" w:right="220"/>
      </w:pPr>
      <w:r>
        <w:rPr>
          <w:rFonts w:ascii="Courier New" w:cs="Courier New" w:eastAsia="Courier New" w:hAnsi="Courier New"/>
          <w:sz w:val="18"/>
          <w:szCs w:val="18"/>
        </w:rPr>
        <w:t xml:space="preserve">config/report-templates/</w:t>
      </w:r>
    </w:p>
    <w:p>
      <w:pPr>
        <w:spacing w:after="130"/>
      </w:pPr>
      <w:r>
        <w:t xml:space="preserve">Premier template :</w:t>
      </w:r>
    </w:p>
    <w:p>
      <w:pPr>
        <w:shd w:fill="F1F4F5"/>
        <w:spacing w:after="160" w:before="80"/>
        <w:ind w:left="220" w:right="220"/>
      </w:pPr>
      <w:r>
        <w:rPr>
          <w:rFonts w:ascii="Courier New" w:cs="Courier New" w:eastAsia="Courier New" w:hAnsi="Courier New"/>
          <w:sz w:val="18"/>
          <w:szCs w:val="18"/>
        </w:rPr>
        <w:t xml:space="preserve">padci_decision_sheet.json</w:t>
      </w:r>
    </w:p>
    <w:p>
      <w:pPr>
        <w:pStyle w:val="Heading2"/>
        <w:spacing w:after="140" w:before="260"/>
      </w:pPr>
      <w:r>
        <w:t xml:space="preserve">6.2. Créer le service moteur</w:t>
      </w:r>
    </w:p>
    <w:p>
      <w:pPr>
        <w:spacing w:after="130"/>
      </w:pPr>
      <w:r>
        <w:t xml:space="preserve">Créer :</w:t>
      </w:r>
    </w:p>
    <w:p>
      <w:pPr>
        <w:shd w:fill="F1F4F5"/>
        <w:spacing w:after="160" w:before="80"/>
        <w:ind w:left="220" w:right="220"/>
      </w:pPr>
      <w:r>
        <w:rPr>
          <w:rFonts w:ascii="Courier New" w:cs="Courier New" w:eastAsia="Courier New" w:hAnsi="Courier New"/>
          <w:sz w:val="18"/>
          <w:szCs w:val="18"/>
        </w:rPr>
        <w:t xml:space="preserve">services/submissionReportRenderer.js</w:t>
      </w:r>
    </w:p>
    <w:p>
      <w:pPr>
        <w:spacing w:after="130"/>
      </w:pPr>
      <w:r>
        <w:t xml:space="preserve">Responsabilités :</w:t>
      </w:r>
    </w:p>
    <w:p>
      <w:pPr>
        <w:pStyle w:val="ListParagraph"/>
        <w:numPr>
          <w:ilvl w:val="0"/>
          <w:numId w:val="1"/>
        </w:numPr>
        <w:spacing w:after="130"/>
      </w:pPr>
      <w:r>
        <w:t xml:space="preserve">charger le template ;</w:t>
      </w:r>
    </w:p>
    <w:p>
      <w:pPr>
        <w:pStyle w:val="ListParagraph"/>
        <w:numPr>
          <w:ilvl w:val="0"/>
          <w:numId w:val="1"/>
        </w:numPr>
        <w:spacing w:after="130"/>
      </w:pPr>
      <w:r>
        <w:t xml:space="preserve">lire </w:t>
      </w:r>
      <w:r>
        <w:rPr>
          <w:rFonts w:ascii="Courier New" w:cs="Courier New" w:eastAsia="Courier New" w:hAnsi="Courier New"/>
          <w:shd w:fill="E9EEF2"/>
        </w:rPr>
        <w:t xml:space="preserve">raw_data_json</w:t>
      </w:r>
      <w:r>
        <w:t xml:space="preserve"> ;</w:t>
      </w:r>
    </w:p>
    <w:p>
      <w:pPr>
        <w:pStyle w:val="ListParagraph"/>
        <w:numPr>
          <w:ilvl w:val="0"/>
          <w:numId w:val="1"/>
        </w:numPr>
        <w:spacing w:after="130"/>
      </w:pPr>
      <w:r>
        <w:t xml:space="preserve">résoudre les chemins ;</w:t>
      </w:r>
    </w:p>
    <w:p>
      <w:pPr>
        <w:pStyle w:val="ListParagraph"/>
        <w:numPr>
          <w:ilvl w:val="0"/>
          <w:numId w:val="1"/>
        </w:numPr>
        <w:spacing w:after="130"/>
      </w:pPr>
      <w:r>
        <w:t xml:space="preserve">appliquer les formats ;</w:t>
      </w:r>
    </w:p>
    <w:p>
      <w:pPr>
        <w:pStyle w:val="ListParagraph"/>
        <w:numPr>
          <w:ilvl w:val="0"/>
          <w:numId w:val="1"/>
        </w:numPr>
        <w:spacing w:after="130"/>
      </w:pPr>
      <w:r>
        <w:t xml:space="preserve">appliquer les fallbacks ;</w:t>
      </w:r>
    </w:p>
    <w:p>
      <w:pPr>
        <w:pStyle w:val="ListParagraph"/>
        <w:numPr>
          <w:ilvl w:val="0"/>
          <w:numId w:val="1"/>
        </w:numPr>
        <w:spacing w:after="130"/>
      </w:pPr>
      <w:r>
        <w:t xml:space="preserve">produire un objet standardisé prêt pour la vue.</w:t>
      </w:r>
    </w:p>
    <w:p>
      <w:pPr>
        <w:pStyle w:val="Heading2"/>
        <w:spacing w:after="140" w:before="260"/>
      </w:pPr>
      <w:r>
        <w:t xml:space="preserve">6.3. Adapter la fiche décisionnelle existante</w:t>
      </w:r>
    </w:p>
    <w:p>
      <w:pPr>
        <w:spacing w:after="130"/>
      </w:pPr>
      <w:r>
        <w:t xml:space="preserve">La route actuelle :</w:t>
      </w:r>
    </w:p>
    <w:p>
      <w:pPr>
        <w:shd w:fill="F1F4F5"/>
        <w:spacing w:after="160" w:before="80"/>
        <w:ind w:left="220" w:right="220"/>
      </w:pPr>
      <w:r>
        <w:rPr>
          <w:rFonts w:ascii="Courier New" w:cs="Courier New" w:eastAsia="Courier New" w:hAnsi="Courier New"/>
          <w:sz w:val="18"/>
          <w:szCs w:val="18"/>
        </w:rPr>
        <w:t xml:space="preserve">GET /soumissions/:id/detail</w:t>
      </w:r>
    </w:p>
    <w:p>
      <w:pPr>
        <w:spacing w:after="130"/>
      </w:pPr>
      <w:r>
        <w:t xml:space="preserve">doit continuer à fonctionner, mais s'appuyer progressivement sur le nouveau moteur.</w:t>
      </w:r>
    </w:p>
    <w:p>
      <w:pPr>
        <w:spacing w:after="130"/>
      </w:pPr>
      <w:r>
        <w:t xml:space="preserve">L'objectif est de limiter le risque en remplaçant d'abord la logique de préparation des données, sans changer brutalement toute l'interface.</w:t>
      </w:r>
    </w:p>
    <w:p>
      <w:pPr>
        <w:pStyle w:val="Heading2"/>
        <w:spacing w:after="140" w:before="260"/>
      </w:pPr>
      <w:r>
        <w:t xml:space="preserve">6.4. Adapter le template EJS</w:t>
      </w:r>
    </w:p>
    <w:p>
      <w:pPr>
        <w:spacing w:after="130"/>
      </w:pPr>
      <w:r>
        <w:t xml:space="preserve">Le template HTML doit consommer un objet standard :</w:t>
      </w:r>
    </w:p>
    <w:p>
      <w:pPr>
        <w:shd w:fill="F1F4F5"/>
        <w:spacing w:after="160" w:before="80"/>
        <w:ind w:left="220" w:right="220"/>
      </w:pPr>
      <w:r>
        <w:rPr>
          <w:rFonts w:ascii="Courier New" w:cs="Courier New" w:eastAsia="Courier New" w:hAnsi="Courier New"/>
          <w:sz w:val="18"/>
          <w:szCs w:val="18"/>
        </w:rPr>
        <w:t xml:space="preserve">report.header
report.summary
report.sections
report.map</w:t>
      </w:r>
    </w:p>
    <w:p>
      <w:pPr>
        <w:spacing w:after="130"/>
      </w:pPr>
      <w:r>
        <w:t xml:space="preserve">Le template EJS doit rester simple et ne pas porter de logique métier.</w:t>
      </w:r>
    </w:p>
    <w:p>
      <w:pPr>
        <w:pStyle w:val="Heading2"/>
        <w:spacing w:after="140" w:before="260"/>
      </w:pPr>
      <w:r>
        <w:t xml:space="preserve">6.5. Ajouter les fallbacks vers les colonnes SQL</w:t>
      </w:r>
    </w:p>
    <w:p>
      <w:pPr>
        <w:spacing w:after="130"/>
      </w:pPr>
      <w:r>
        <w:t xml:space="preserve">Le moteur doit pouvoir lire aussi les données enrichies déjà présentes dans l'enregistrement SQL :</w:t>
      </w:r>
    </w:p>
    <w:p>
      <w:pPr>
        <w:pStyle w:val="ListParagraph"/>
        <w:numPr>
          <w:ilvl w:val="0"/>
          <w:numId w:val="1"/>
        </w:numPr>
        <w:spacing w:after="130"/>
      </w:pPr>
      <w:r>
        <w:t xml:space="preserve">mission ;</w:t>
      </w:r>
    </w:p>
    <w:p>
      <w:pPr>
        <w:pStyle w:val="ListParagraph"/>
        <w:numPr>
          <w:ilvl w:val="0"/>
          <w:numId w:val="1"/>
        </w:numPr>
        <w:spacing w:after="130"/>
      </w:pPr>
      <w:r>
        <w:t xml:space="preserve">équipe ;</w:t>
      </w:r>
    </w:p>
    <w:p>
      <w:pPr>
        <w:pStyle w:val="ListParagraph"/>
        <w:numPr>
          <w:ilvl w:val="0"/>
          <w:numId w:val="1"/>
        </w:numPr>
        <w:spacing w:after="130"/>
      </w:pPr>
      <w:r>
        <w:t xml:space="preserve">agent ;</w:t>
      </w:r>
    </w:p>
    <w:p>
      <w:pPr>
        <w:pStyle w:val="ListParagraph"/>
        <w:numPr>
          <w:ilvl w:val="0"/>
          <w:numId w:val="1"/>
        </w:numPr>
        <w:spacing w:after="130"/>
      </w:pPr>
      <w:r>
        <w:t xml:space="preserve">région ;</w:t>
      </w:r>
    </w:p>
    <w:p>
      <w:pPr>
        <w:pStyle w:val="ListParagraph"/>
        <w:numPr>
          <w:ilvl w:val="0"/>
          <w:numId w:val="1"/>
        </w:numPr>
        <w:spacing w:after="130"/>
      </w:pPr>
      <w:r>
        <w:t xml:space="preserve">département ;</w:t>
      </w:r>
    </w:p>
    <w:p>
      <w:pPr>
        <w:pStyle w:val="ListParagraph"/>
        <w:numPr>
          <w:ilvl w:val="0"/>
          <w:numId w:val="1"/>
        </w:numPr>
        <w:spacing w:after="130"/>
      </w:pPr>
      <w:r>
        <w:t xml:space="preserve">sous-préfecture ;</w:t>
      </w:r>
    </w:p>
    <w:p>
      <w:pPr>
        <w:pStyle w:val="ListParagraph"/>
        <w:numPr>
          <w:ilvl w:val="0"/>
          <w:numId w:val="1"/>
        </w:numPr>
        <w:spacing w:after="130"/>
      </w:pPr>
      <w:r>
        <w:t xml:space="preserve">latitude ;</w:t>
      </w:r>
    </w:p>
    <w:p>
      <w:pPr>
        <w:pStyle w:val="ListParagraph"/>
        <w:numPr>
          <w:ilvl w:val="0"/>
          <w:numId w:val="1"/>
        </w:numPr>
        <w:spacing w:after="130"/>
      </w:pPr>
      <w:r>
        <w:t xml:space="preserve">longitude.</w:t>
      </w:r>
    </w:p>
    <w:p>
      <w:pPr>
        <w:spacing w:after="130"/>
      </w:pPr>
      <w:r>
        <w:t xml:space="preserve">Cela permet d'afficher une fiche utile même lorsque certains champs Kobo sont absents ou mal structurés.</w:t>
      </w:r>
    </w:p>
    <w:p>
      <w:pPr>
        <w:pStyle w:val="Heading2"/>
        <w:spacing w:after="140" w:before="260"/>
      </w:pPr>
      <w:r>
        <w:t xml:space="preserve">6.6. Ajouter des tests ciblés</w:t>
      </w:r>
    </w:p>
    <w:p>
      <w:pPr>
        <w:spacing w:after="130"/>
      </w:pPr>
      <w:r>
        <w:t xml:space="preserve">Tests minimaux :</w:t>
      </w:r>
    </w:p>
    <w:p>
      <w:pPr>
        <w:pStyle w:val="ListParagraph"/>
        <w:numPr>
          <w:ilvl w:val="0"/>
          <w:numId w:val="1"/>
        </w:numPr>
        <w:spacing w:after="130"/>
      </w:pPr>
      <w:r>
        <w:t xml:space="preserve">titre rendu depuis </w:t>
      </w:r>
      <w:r>
        <w:rPr>
          <w:rFonts w:ascii="Courier New" w:cs="Courier New" w:eastAsia="Courier New" w:hAnsi="Courier New"/>
          <w:shd w:fill="E9EEF2"/>
        </w:rPr>
        <w:t xml:space="preserve">raw_data_json</w:t>
      </w:r>
      <w:r>
        <w:t xml:space="preserve"> ;</w:t>
      </w:r>
    </w:p>
    <w:p>
      <w:pPr>
        <w:pStyle w:val="ListParagraph"/>
        <w:numPr>
          <w:ilvl w:val="0"/>
          <w:numId w:val="1"/>
        </w:numPr>
        <w:spacing w:after="130"/>
      </w:pPr>
      <w:r>
        <w:t xml:space="preserve">fallback vers </w:t>
      </w:r>
      <w:r>
        <w:rPr>
          <w:rFonts w:ascii="Courier New" w:cs="Courier New" w:eastAsia="Courier New" w:hAnsi="Courier New"/>
          <w:shd w:fill="E9EEF2"/>
        </w:rPr>
        <w:t xml:space="preserve">record.nom_region</w:t>
      </w:r>
      <w:r>
        <w:t xml:space="preserve"> ;</w:t>
      </w:r>
    </w:p>
    <w:p>
      <w:pPr>
        <w:pStyle w:val="ListParagraph"/>
        <w:numPr>
          <w:ilvl w:val="0"/>
          <w:numId w:val="1"/>
        </w:numPr>
        <w:spacing w:after="130"/>
      </w:pPr>
      <w:r>
        <w:t xml:space="preserve">format </w:t>
      </w:r>
      <w:r>
        <w:rPr>
          <w:rFonts w:ascii="Courier New" w:cs="Courier New" w:eastAsia="Courier New" w:hAnsi="Courier New"/>
          <w:shd w:fill="E9EEF2"/>
        </w:rPr>
        <w:t xml:space="preserve">choice_list</w:t>
      </w:r>
      <w:r>
        <w:t xml:space="preserve"> ;</w:t>
      </w:r>
    </w:p>
    <w:p>
      <w:pPr>
        <w:pStyle w:val="ListParagraph"/>
        <w:numPr>
          <w:ilvl w:val="0"/>
          <w:numId w:val="1"/>
        </w:numPr>
        <w:spacing w:after="130"/>
      </w:pPr>
      <w:r>
        <w:t xml:space="preserve">champ manquant affiché </w:t>
      </w:r>
      <w:r>
        <w:rPr>
          <w:rFonts w:ascii="Courier New" w:cs="Courier New" w:eastAsia="Courier New" w:hAnsi="Courier New"/>
          <w:shd w:fill="E9EEF2"/>
        </w:rPr>
        <w:t xml:space="preserve">-</w:t>
      </w:r>
      <w:r>
        <w:t xml:space="preserve"> ;</w:t>
      </w:r>
    </w:p>
    <w:p>
      <w:pPr>
        <w:pStyle w:val="ListParagraph"/>
        <w:numPr>
          <w:ilvl w:val="0"/>
          <w:numId w:val="1"/>
        </w:numPr>
        <w:spacing w:after="130"/>
      </w:pPr>
      <w:r>
        <w:t xml:space="preserve">endpoint </w:t>
      </w:r>
      <w:r>
        <w:rPr>
          <w:rFonts w:ascii="Courier New" w:cs="Courier New" w:eastAsia="Courier New" w:hAnsi="Courier New"/>
          <w:shd w:fill="E9EEF2"/>
        </w:rPr>
        <w:t xml:space="preserve">/soumissions/:id/detail</w:t>
      </w:r>
      <w:r>
        <w:t xml:space="preserve"> toujours fonctionnel.</w:t>
      </w:r>
    </w:p>
    <w:p>
      <w:pPr>
        <w:pStyle w:val="Heading1"/>
        <w:spacing w:after="140" w:before="260"/>
      </w:pPr>
      <w:r>
        <w:t xml:space="preserve">7. Périmètre exclu de la V1</w:t>
      </w:r>
    </w:p>
    <w:p>
      <w:pPr>
        <w:spacing w:after="130"/>
      </w:pPr>
      <w:r>
        <w:t xml:space="preserve">Les éléments suivants doivent être reportés :</w:t>
      </w:r>
    </w:p>
    <w:p>
      <w:pPr>
        <w:pStyle w:val="ListParagraph"/>
        <w:numPr>
          <w:ilvl w:val="0"/>
          <w:numId w:val="1"/>
        </w:numPr>
        <w:spacing w:after="130"/>
      </w:pPr>
      <w:r>
        <w:t xml:space="preserve">génération PDF ;</w:t>
      </w:r>
    </w:p>
    <w:p>
      <w:pPr>
        <w:pStyle w:val="ListParagraph"/>
        <w:numPr>
          <w:ilvl w:val="0"/>
          <w:numId w:val="1"/>
        </w:numPr>
        <w:spacing w:after="130"/>
      </w:pPr>
      <w:r>
        <w:t xml:space="preserve">moteur de médias ;</w:t>
      </w:r>
    </w:p>
    <w:p>
      <w:pPr>
        <w:pStyle w:val="ListParagraph"/>
        <w:numPr>
          <w:ilvl w:val="0"/>
          <w:numId w:val="1"/>
        </w:numPr>
        <w:spacing w:after="130"/>
      </w:pPr>
      <w:r>
        <w:t xml:space="preserve">URL signées Wasabi ;</w:t>
      </w:r>
    </w:p>
    <w:p>
      <w:pPr>
        <w:pStyle w:val="ListParagraph"/>
        <w:numPr>
          <w:ilvl w:val="0"/>
          <w:numId w:val="1"/>
        </w:numPr>
        <w:spacing w:after="130"/>
      </w:pPr>
      <w:r>
        <w:t xml:space="preserve">rendu de polygones avancés ;</w:t>
      </w:r>
    </w:p>
    <w:p>
      <w:pPr>
        <w:pStyle w:val="ListParagraph"/>
        <w:numPr>
          <w:ilvl w:val="0"/>
          <w:numId w:val="1"/>
        </w:numPr>
        <w:spacing w:after="130"/>
      </w:pPr>
      <w:r>
        <w:t xml:space="preserve">édition visuelle des templates ;</w:t>
      </w:r>
    </w:p>
    <w:p>
      <w:pPr>
        <w:pStyle w:val="ListParagraph"/>
        <w:numPr>
          <w:ilvl w:val="0"/>
          <w:numId w:val="1"/>
        </w:numPr>
        <w:spacing w:after="130"/>
      </w:pPr>
      <w:r>
        <w:t xml:space="preserve">moteur complet type Form.io ;</w:t>
      </w:r>
    </w:p>
    <w:p>
      <w:pPr>
        <w:pStyle w:val="ListParagraph"/>
        <w:numPr>
          <w:ilvl w:val="0"/>
          <w:numId w:val="1"/>
        </w:numPr>
        <w:spacing w:after="130"/>
      </w:pPr>
      <w:r>
        <w:t xml:space="preserve">renderers JS séparés pour chaque bloc.</w:t>
      </w:r>
    </w:p>
    <w:p>
      <w:pPr>
        <w:pStyle w:val="Heading1"/>
        <w:spacing w:after="140" w:before="260"/>
      </w:pPr>
      <w:r>
        <w:t xml:space="preserve">8. Conclusion</w:t>
      </w:r>
    </w:p>
    <w:p>
      <w:pPr>
        <w:spacing w:after="130"/>
      </w:pPr>
      <w:r>
        <w:t xml:space="preserve">La V1 doit prioriser la lisibilité des fiches HTML et la correction des champs vides ou mal affichés.</w:t>
      </w:r>
    </w:p>
    <w:p>
      <w:pPr>
        <w:spacing w:after="130"/>
      </w:pPr>
      <w:r>
        <w:t xml:space="preserve">Le moteur cible doit être :</w:t>
      </w:r>
    </w:p>
    <w:p>
      <w:pPr>
        <w:pStyle w:val="ListParagraph"/>
        <w:numPr>
          <w:ilvl w:val="0"/>
          <w:numId w:val="1"/>
        </w:numPr>
        <w:spacing w:after="130"/>
      </w:pPr>
      <w:r>
        <w:t xml:space="preserve">générique ;</w:t>
      </w:r>
    </w:p>
    <w:p>
      <w:pPr>
        <w:pStyle w:val="ListParagraph"/>
        <w:numPr>
          <w:ilvl w:val="0"/>
          <w:numId w:val="1"/>
        </w:numPr>
        <w:spacing w:after="130"/>
      </w:pPr>
      <w:r>
        <w:t xml:space="preserve">piloté par JSON ;</w:t>
      </w:r>
    </w:p>
    <w:p>
      <w:pPr>
        <w:pStyle w:val="ListParagraph"/>
        <w:numPr>
          <w:ilvl w:val="0"/>
          <w:numId w:val="1"/>
        </w:numPr>
        <w:spacing w:after="130"/>
      </w:pPr>
      <w:r>
        <w:t xml:space="preserve">compatible avec les soumissions Kobo actuelles ;</w:t>
      </w:r>
    </w:p>
    <w:p>
      <w:pPr>
        <w:pStyle w:val="ListParagraph"/>
        <w:numPr>
          <w:ilvl w:val="0"/>
          <w:numId w:val="1"/>
        </w:numPr>
        <w:spacing w:after="130"/>
      </w:pPr>
      <w:r>
        <w:t xml:space="preserve">simple à tester ;</w:t>
      </w:r>
    </w:p>
    <w:p>
      <w:pPr>
        <w:pStyle w:val="ListParagraph"/>
        <w:numPr>
          <w:ilvl w:val="0"/>
          <w:numId w:val="1"/>
        </w:numPr>
        <w:spacing w:after="130"/>
      </w:pPr>
      <w:r>
        <w:t xml:space="preserve">extensible sans réécriture majeure.</w:t>
      </w:r>
    </w:p>
    <w:p>
      <w:pPr>
        <w:spacing w:after="130"/>
      </w:pPr>
      <w:r>
        <w:t xml:space="preserve">Cette approche permet d'obtenir rapidement une fiche décisionnelle fiable, tout en préparant les évolutions futures vers les médias, les rapports PDF et des rendus plus spécialisés.</w:t>
      </w:r>
    </w:p>
    <w:sectPr>
      <w:pgSz w:w="11906" w:h="16838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decimal"/>
      <w:lvlText w:val="%1."/>
      <w:lvlJc w:val="start"/>
      <w:pPr>
        <w:ind w:left="360" w:hanging="24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color w:val="182B37"/>
        <w:sz w:val="21"/>
        <w:szCs w:val="21"/>
      </w:rPr>
    </w:rPrDefault>
    <w:pPrDefault>
      <w:pPr>
        <w:spacing w:line="280"/>
      </w:pPr>
    </w:pPrDefault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Rapport technique - Socle GEMS Mission Monitor</dc:title>
  <dc:creator>GEMS Mission Monitor</dc:creator>
  <cp:lastModifiedBy>Un-named</cp:lastModifiedBy>
  <cp:revision>1</cp:revision>
  <dcterms:created xsi:type="dcterms:W3CDTF">2026-06-10T11:07:40.575Z</dcterms:created>
  <dcterms:modified xsi:type="dcterms:W3CDTF">2026-06-10T11:07:40.576Z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