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Anexo para el instructor: control de oxígeno disuelto</w:t>
      </w:r>
    </w:p>
    <w:p>
      <w:pPr>
        <w:spacing w:after="60"/>
        <w:jc w:val="both"/>
      </w:pPr>
      <w:r>
        <w:rPr>
          <w:color w:val="4A3A68"/>
          <w:sz w:val="24"/>
          <w:szCs w:val="24"/>
        </w:rPr>
        <w:t xml:space="preserve">Octavio T. Ramírez · Emiliano Balderas · Instituto de Biotecnología, UNAM</w:t>
      </w:r>
    </w:p>
    <w:p>
      <w:pPr>
        <w:spacing w:after="360"/>
        <w:jc w:val="both"/>
      </w:pPr>
      <w:r>
        <w:rPr>
          <w:color w:val="7A6B95"/>
          <w:sz w:val="20"/>
          <w:szCs w:val="20"/>
        </w:rPr>
        <w:t xml:space="preserve">CATCC 2026. Curso Latinoamericano de Tecnología de Cultivos Celulares</w:t>
      </w:r>
    </w:p>
    <w:bookmarkStart w:id="9" w:name="X13627a6802324a2c24e491adcd9ed98a7038d71"/>
    <w:p>
      <w:pPr>
        <w:pStyle w:val="Heading2"/>
        <w:jc w:val="both"/>
      </w:pPr>
      <w:r>
        <w:t xml:space="preserve">A. Preparación del reactor y organización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Configuración común:</w:t>
      </w:r>
      <w:r>
        <w:t xml:space="preserve"> </w:t>
      </w:r>
      <w:r>
        <w:t xml:space="preserve">5 L de líquido, 30 °C y aire fijo a</w:t>
      </w:r>
      <w:r>
        <w:t xml:space="preserve"> </w:t>
      </w:r>
      <w:r>
        <w:rPr>
          <w:b/>
          <w:bCs/>
        </w:rPr>
        <w:t xml:space="preserve">0.5 vvm (2.5 L/min)</w:t>
      </w:r>
      <w:r>
        <w:t xml:space="preserve"> </w:t>
      </w:r>
      <w:r>
        <w:t xml:space="preserve">durante toda la actividad. Cascada de oxígeno con</w:t>
      </w:r>
      <w:r>
        <w:t xml:space="preserve"> </w:t>
      </w:r>
      <w:r>
        <w:rPr>
          <w:b/>
          <w:bCs/>
        </w:rPr>
        <w:t xml:space="preserve">solo agitación</w:t>
      </w:r>
      <w:r>
        <w:t xml:space="preserve">, mínimo 200 y máximo 1200 rpm (Span = 1000 rpm). Verificar estos límites en pantalla antes de calcular.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Preparación propuesta para el taller:</w:t>
      </w:r>
      <w:r>
        <w:t xml:space="preserve"> </w:t>
      </w:r>
      <w:r>
        <w:t xml:space="preserve">10 g/L de azúcar (50 g en 5 L) y 3 g/L de levadura seca (15 g). Rehidratar la levadura unos 15 min en aproximadamente 100 mL de agua tibia e inocular unos 20 min antes del primer equipo. Calibrar previamente la sonda al 100 % con aire a 30 °C.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Antes de cada escalón:</w:t>
      </w:r>
      <w:r>
        <w:t xml:space="preserve"> </w:t>
      </w:r>
      <w:r>
        <w:t xml:space="preserve">MAN a 200 rpm, oxígeno estable y registro activo. Mantener fijos aire, temperatura y composición durante la medición. Revisar que la agitación efectivamente pase a 500 rpm.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Entre equipos:</w:t>
      </w:r>
      <w:r>
        <w:t xml:space="preserve"> </w:t>
      </w:r>
      <w:r>
        <w:t xml:space="preserve">volver a MAN 200 rpm en el minuto 40. La recuperación observada tardó al menos 10 min; la explicación del siguiente equipo puede aprovechar parte de ese tiempo, pero no sustituye verificar estabilidad. Prever una pausa si hace falta.</w:t>
      </w:r>
    </w:p>
    <w:bookmarkEnd w:id="9"/>
    <w:bookmarkStart w:id="16" w:name="b.-ensayos-del-14-de-octubre-de-2026"/>
    <w:p>
      <w:pPr>
        <w:pStyle w:val="Heading2"/>
        <w:jc w:val="both"/>
      </w:pPr>
      <w:r>
        <w:t xml:space="preserve">B. Ensayos del 14 de octubre de 2026</w:t>
      </w:r>
    </w:p>
    <w:p>
      <w:pPr>
        <w:pStyle w:val="FirstParagraph"/>
        <w:jc w:val="both"/>
      </w:pPr>
      <w:r>
        <w:t xml:space="preserve">Se registraron dos escalones de</w:t>
      </w:r>
      <w:r>
        <w:t xml:space="preserve"> </w:t>
      </w:r>
      <w:r>
        <w:rPr>
          <w:b/>
          <w:bCs/>
        </w:rPr>
        <w:t xml:space="preserve">200 a 500 rpm</w:t>
      </w:r>
      <w:r>
        <w:t xml:space="preserve"> </w:t>
      </w:r>
      <w:r>
        <w:t xml:space="preserve">en el mismo lote, separados aproximadamente 30 min, en la hoja</w:t>
      </w:r>
      <w:r>
        <w:t xml:space="preserve"> </w:t>
      </w:r>
      <w:r>
        <w:rPr>
          <w:rStyle w:val="VerbatimChar"/>
        </w:rPr>
        <w:t xml:space="preserve">B1.20261014.2</w:t>
      </w:r>
      <w:r>
        <w:t xml:space="preserve"> </w:t>
      </w:r>
      <w:r>
        <w:t xml:space="preserve">del Excel. Las notas del piloto indican</w:t>
      </w:r>
      <w:r>
        <w:t xml:space="preserve"> </w:t>
      </w:r>
      <w:r>
        <w:rPr>
          <w:b/>
          <w:bCs/>
        </w:rPr>
        <w:t xml:space="preserve">5 g/L de azúcar</w:t>
      </w:r>
      <w:r>
        <w:t xml:space="preserve">; la preparación propuesta arriba usa 10 g/L. Por tanto, no presentar el piloto como una repetición con condiciones idénticas al taller. Verificar la concentración del día y anotarla.</w:t>
      </w:r>
    </w:p>
    <w:p>
      <w:pPr>
        <w:pStyle w:val="BodyText"/>
        <w:jc w:val="both"/>
      </w:pPr>
      <w:r>
        <w:t xml:space="preserve">El cultivo evolucionó entre escalones: el oxígeno inicial bajó de 68.8 a 65.7 %. Cada equipo debe obtener su propio valor inicial y final. Las cifras siguientes son referencias para revisar cálculos o trabajar con el piloto cuando no alcance el tiempo para obtener una curva completa.</w:t>
      </w:r>
    </w:p>
    <w:p>
      <w:pPr>
        <w:pStyle w:val="CaptionedFigure"/>
        <w:keepNext/>
        <w:jc w:val="center"/>
      </w:pPr>
      <w:r>
        <w:drawing>
          <wp:inline>
            <wp:extent cx="5040000" cy="2721600"/>
            <wp:effectExtent b="0" l="0" r="0" t="0"/>
            <wp:docPr descr="Registro del 14 de octubre: oxígeno disuelto y agitación durante los dos escalones y las pruebas posteriores" title="" id="11" name="Picture"/>
            <a:graphic>
              <a:graphicData uri="http://schemas.openxmlformats.org/drawingml/2006/picture">
                <pic:pic>
                  <pic:nvPicPr>
                    <pic:cNvPr descr="../figuras/05_piloto_14oct_registro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2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jc w:val="center"/>
      </w:pPr>
      <w:r>
        <w:t xml:space="preserve">Registro del 14 de octubre: oxígeno disuelto y agitación durante los dos escalones y las pruebas posteriores</w:t>
      </w:r>
    </w:p>
    <w:p>
      <w:pPr>
        <w:pStyle w:val="BodyText"/>
        <w:jc w:val="both"/>
      </w:pPr>
      <w:r>
        <w:t xml:space="preserve">En esta gráfica se muestran las mediciones originales de oxígeno y agitación. El registro disponible no contiene el modo MAN/AUTO, el setpoint ni los parámetros Xp/TI: las variaciones posteriores a cada escalón deben interpretarse junto con las notas de operación, sin asignarles automáticamente un método.</w:t>
      </w:r>
    </w:p>
    <w:p>
      <w:pPr>
        <w:pStyle w:val="CaptionedFigure"/>
        <w:keepNext/>
        <w:jc w:val="center"/>
      </w:pPr>
      <w:r>
        <w:drawing>
          <wp:inline>
            <wp:extent cx="5040000" cy="3135999"/>
            <wp:effectExtent b="0" l="0" r="0" t="0"/>
            <wp:docPr descr="Los dos escalones del 14 de octubre alineados: respuesta de oxígeno arriba y agitación medida abajo" title="" id="14" name="Picture"/>
            <a:graphic>
              <a:graphicData uri="http://schemas.openxmlformats.org/drawingml/2006/picture">
                <pic:pic>
                  <pic:nvPicPr>
                    <pic:cNvPr descr="../figuras/06_piloto_14oct_escalone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1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jc w:val="center"/>
      </w:pPr>
      <w:r>
        <w:t xml:space="preserve">Los dos escalones del 14 de octubre alineados: respuesta de oxígeno arriba y agitación medida abajo</w:t>
      </w:r>
    </w:p>
    <w:p>
      <w:pPr>
        <w:pStyle w:val="BodyText"/>
        <w:jc w:val="both"/>
      </w:pPr>
      <w:r>
        <w:t xml:space="preserve">Ambas curvas comienzan en el instante en que cambia la agitación. Aunque el oxígeno inicial cambia, el incremento total es parecido: 23.2 y 25.3 puntos porcentuales. El escalón de 300 rpm representa 30 % de salida con el Span de 1000 rpm usado en el recálculo.</w:t>
      </w:r>
    </w:p>
    <w:bookmarkEnd w:id="16"/>
    <w:bookmarkStart w:id="21" w:name="c.-ajustes-recalculados-para-cada-método"/>
    <w:p>
      <w:pPr>
        <w:pStyle w:val="Heading2"/>
        <w:jc w:val="both"/>
      </w:pPr>
      <w:r>
        <w:t xml:space="preserve">C. Ajustes recalculados para cada método</w:t>
      </w:r>
    </w:p>
    <w:p>
      <w:pPr>
        <w:pStyle w:val="FirstParagraph"/>
        <w:jc w:val="both"/>
      </w:pPr>
      <w:r>
        <w:t xml:space="preserve">Estos resultados se obtuvieron</w:t>
      </w:r>
      <w:r>
        <w:t xml:space="preserve"> </w:t>
      </w:r>
      <w:r>
        <w:rPr>
          <w:b/>
          <w:bCs/>
        </w:rPr>
        <w:t xml:space="preserve">después del piloto</w:t>
      </w:r>
      <w:r>
        <w:t xml:space="preserve">, leyendo las curvas con los criterios de la sección 7 y convirtiendo la ganancia con</w:t>
      </w:r>
      <w:r>
        <w:t xml:space="preserve"> </w:t>
      </w:r>
      <w:r>
        <w:rPr>
          <w:b/>
          <w:bCs/>
        </w:rPr>
        <w:t xml:space="preserve">Span = 1000 rpm</w:t>
      </w:r>
      <w:r>
        <w:t xml:space="preserve">. Proceden del bloque</w:t>
      </w:r>
      <w:r>
        <w:t xml:space="preserve"> </w:t>
      </w:r>
      <w:r>
        <w:rPr>
          <w:rStyle w:val="VerbatimChar"/>
        </w:rPr>
        <w:t xml:space="preserve">por_metodo</w:t>
      </w:r>
      <w:r>
        <w:t xml:space="preserve"> </w:t>
      </w:r>
      <w:r>
        <w:t xml:space="preserve">de los archivos de</w:t>
      </w:r>
      <w:r>
        <w:t xml:space="preserve"> </w:t>
      </w:r>
      <w:r>
        <w:rPr>
          <w:rStyle w:val="VerbatimChar"/>
        </w:rPr>
        <w:t xml:space="preserve">resultados/</w:t>
      </w:r>
      <w:r>
        <w:t xml:space="preserve">; los bloques</w:t>
      </w:r>
      <w:r>
        <w:t xml:space="preserve"> </w:t>
      </w:r>
      <w:r>
        <w:rPr>
          <w:rStyle w:val="VerbatimChar"/>
        </w:rPr>
        <w:t xml:space="preserve">modelos</w:t>
      </w:r>
      <w:r>
        <w:t xml:space="preserve"> </w:t>
      </w:r>
      <w:r>
        <w:t xml:space="preserve">comparan otras estimaciones y no son los valores asignados a cada equipo.</w:t>
      </w:r>
    </w:p>
    <w:tbl>
      <w:tblPr>
        <w:tblStyle w:val="Table"/>
        <w:tblW w:type="pct" w:w="5000"/>
        <w:jc w:val="center"/>
        <w:tblBorders>
          <w:top w:val="single" w:sz="4" w:space="0" w:color="B7AFC6"/>
          <w:left w:val="single" w:sz="4" w:space="0" w:color="B7AFC6"/>
          <w:bottom w:val="single" w:sz="4" w:space="0" w:color="B7AFC6"/>
          <w:right w:val="single" w:sz="4" w:space="0" w:color="B7AFC6"/>
          <w:insideH w:val="single" w:sz="4" w:space="0" w:color="B7AFC6"/>
          <w:insideV w:val="single" w:sz="4" w:space="0" w:color="B7AFC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shd w:val="clear" w:color="auto" w:fill="4E2891"/>
          </w:tcPr>
          <w:p>
            <w:pPr>
              <w:pStyle w:val="Compact"/>
              <w:jc w:val="both"/>
            </w:pPr>
            <w:r>
              <w:rPr>
                <w:b/>
                <w:color w:val="FFFFFF"/>
              </w:rPr>
              <w:t xml:space="preserve">Lectura o ajuste</w:t>
            </w:r>
          </w:p>
        </w:tc>
        <w:tc>
          <w:tcPr>
            <w:shd w:val="clear" w:color="auto" w:fill="4E2891"/>
          </w:tcPr>
          <w:p>
            <w:pPr>
              <w:pStyle w:val="Compact"/>
              <w:jc w:val="both"/>
            </w:pPr>
            <w:r>
              <w:rPr>
                <w:b/>
                <w:color w:val="FFFFFF"/>
              </w:rPr>
              <w:t xml:space="preserve">Escalón 1</w:t>
            </w:r>
          </w:p>
        </w:tc>
        <w:tc>
          <w:tcPr>
            <w:shd w:val="clear" w:color="auto" w:fill="4E2891"/>
          </w:tcPr>
          <w:p>
            <w:pPr>
              <w:pStyle w:val="Compact"/>
              <w:jc w:val="both"/>
            </w:pPr>
            <w:r>
              <w:rPr>
                <w:b/>
                <w:color w:val="FFFFFF"/>
              </w:rPr>
              <w:t xml:space="preserve">Escalón 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both"/>
            </w:pPr>
            <w:r>
              <w:t xml:space="preserve">Oxígeno inicial / final [%]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68.8 / 92.0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65.7 / 90.9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both"/>
            </w:pPr>
            <w:r>
              <w:t xml:space="preserve">Cambio de oxígeno [puntos] /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norm</m:t>
                  </m:r>
                </m:sub>
              </m:sSub>
            </m:oMath>
          </w:p>
        </w:tc>
        <w:tc>
          <w:tcPr/>
          <w:p>
            <w:pPr>
              <w:pStyle w:val="Compact"/>
              <w:jc w:val="both"/>
            </w:pPr>
            <w:r>
              <w:t xml:space="preserve">23.2 / 0.77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25.3 / 0.84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both"/>
            </w:pPr>
            <w:r>
              <w:t xml:space="preserve">Z-N: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[s]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18 / 96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18 / 85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both"/>
            </w:pPr>
            <w:r>
              <w:rPr>
                <w:b/>
                <w:bCs/>
              </w:rPr>
              <w:t xml:space="preserve">Z-N: Xp [%] / TI [s]</w:t>
            </w:r>
          </w:p>
        </w:tc>
        <w:tc>
          <w:tcPr/>
          <w:p>
            <w:pPr>
              <w:pStyle w:val="Compact"/>
              <w:jc w:val="both"/>
            </w:pPr>
            <w:r>
              <w:rPr>
                <w:b/>
                <w:bCs/>
              </w:rPr>
              <w:t xml:space="preserve">16.5 / 61</w:t>
            </w:r>
          </w:p>
        </w:tc>
        <w:tc>
          <w:tcPr/>
          <w:p>
            <w:pPr>
              <w:pStyle w:val="Compact"/>
              <w:jc w:val="both"/>
            </w:pPr>
            <w:r>
              <w:rPr>
                <w:b/>
                <w:bCs/>
              </w:rPr>
              <w:t xml:space="preserve">19.7 / 60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both"/>
            </w:pPr>
            <w:r>
              <w:t xml:space="preserve">SIMC: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[s]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16 / 77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16 / 68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both"/>
            </w:pPr>
            <w:r>
              <w:rPr>
                <w:b/>
                <w:bCs/>
              </w:rPr>
              <w:t xml:space="preserve">SIMC: Xp [%] / TI [s]</w:t>
            </w:r>
          </w:p>
        </w:tc>
        <w:tc>
          <w:tcPr/>
          <w:p>
            <w:pPr>
              <w:pStyle w:val="Compact"/>
              <w:jc w:val="both"/>
            </w:pPr>
            <w:r>
              <w:rPr>
                <w:b/>
                <w:bCs/>
              </w:rPr>
              <w:t xml:space="preserve">31.9 / 77</w:t>
            </w:r>
          </w:p>
        </w:tc>
        <w:tc>
          <w:tcPr/>
          <w:p>
            <w:pPr>
              <w:pStyle w:val="Compact"/>
              <w:jc w:val="both"/>
            </w:pPr>
            <w:r>
              <w:rPr>
                <w:b/>
                <w:bCs/>
              </w:rPr>
              <w:t xml:space="preserve">38.6 / 68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both"/>
            </w:pPr>
            <w:r>
              <w:t xml:space="preserve">ITAE: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[s]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22 / 71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22 / 61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both"/>
            </w:pPr>
            <w:r>
              <w:rPr>
                <w:b/>
                <w:bCs/>
              </w:rPr>
              <w:t xml:space="preserve">ITAE: Xp [%] / TI [s]</w:t>
            </w:r>
          </w:p>
        </w:tc>
        <w:tc>
          <w:tcPr/>
          <w:p>
            <w:pPr>
              <w:pStyle w:val="Compact"/>
              <w:jc w:val="both"/>
            </w:pPr>
            <w:r>
              <w:rPr>
                <w:b/>
                <w:bCs/>
              </w:rPr>
              <w:t xml:space="preserve">28.0 / 47</w:t>
            </w:r>
          </w:p>
        </w:tc>
        <w:tc>
          <w:tcPr/>
          <w:p>
            <w:pPr>
              <w:pStyle w:val="Compact"/>
              <w:jc w:val="both"/>
            </w:pPr>
            <w:r>
              <w:rPr>
                <w:b/>
                <w:bCs/>
              </w:rPr>
              <w:t xml:space="preserve">35.7 / 45</w:t>
            </w:r>
          </w:p>
        </w:tc>
      </w:tr>
    </w:tbl>
    <w:p>
      <w:pPr>
        <w:pStyle w:val="BodyText"/>
        <w:spacing w:before="160"/>
        <w:jc w:val="both"/>
      </w:pPr>
      <w:r>
        <w:t xml:space="preserve">En todos los casos:</w:t>
      </w:r>
      <w:r>
        <w:t xml:space="preserve"> </w:t>
      </w:r>
      <w:r>
        <w:rPr>
          <w:b/>
          <w:bCs/>
        </w:rPr>
        <w:t xml:space="preserve">TD = 0 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Deadband = 1.5 %</w:t>
      </w:r>
      <w:r>
        <w:t xml:space="preserve">. No reutilizar sin comprobar los valores de Xp si cambió la configuración de la cascada.</w:t>
      </w:r>
    </w:p>
    <w:p>
      <w:pPr>
        <w:pStyle w:val="CaptionedFigure"/>
        <w:keepNext/>
        <w:jc w:val="center"/>
      </w:pPr>
      <w:r>
        <w:drawing>
          <wp:inline>
            <wp:extent cx="4500000" cy="6120000"/>
            <wp:effectExtent b="0" l="0" r="0" t="0"/>
            <wp:docPr descr="Lectura del segundo escalón del piloto para los tres métodos" title="" id="18" name="Picture"/>
            <a:graphic>
              <a:graphicData uri="http://schemas.openxmlformats.org/drawingml/2006/picture">
                <pic:pic>
                  <pic:nvPicPr>
                    <pic:cNvPr descr="../figuras/12_B1.20261014.2_escalon2_criterios_vertical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61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jc w:val="center"/>
      </w:pPr>
      <w:r>
        <w:t xml:space="preserve">Lectura del segundo escalón del piloto para los tres métodos</w:t>
      </w:r>
    </w:p>
    <w:bookmarkStart w:id="20" w:name="comprobación-de-los-cálculos"/>
    <w:p>
      <w:pPr>
        <w:pStyle w:val="Heading3"/>
        <w:jc w:val="both"/>
      </w:pPr>
      <w:r>
        <w:t xml:space="preserve">Comprobación de los cálculos</w:t>
      </w:r>
    </w:p>
    <w:tbl>
      <w:tblPr>
        <w:tblStyle w:val="Table"/>
        <w:tblW w:type="pct" w:w="5000"/>
        <w:jc w:val="center"/>
        <w:tblBorders>
          <w:top w:val="single" w:sz="4" w:space="0" w:color="B7AFC6"/>
          <w:left w:val="single" w:sz="4" w:space="0" w:color="B7AFC6"/>
          <w:bottom w:val="single" w:sz="4" w:space="0" w:color="B7AFC6"/>
          <w:right w:val="single" w:sz="4" w:space="0" w:color="B7AFC6"/>
          <w:insideH w:val="single" w:sz="4" w:space="0" w:color="B7AFC6"/>
          <w:insideV w:val="single" w:sz="4" w:space="0" w:color="B7AFC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shd w:val="clear" w:color="auto" w:fill="4E2891"/>
          </w:tcPr>
          <w:p>
            <w:pPr>
              <w:pStyle w:val="Compact"/>
              <w:jc w:val="both"/>
            </w:pPr>
            <w:r>
              <w:rPr>
                <w:b/>
                <w:color w:val="FFFFFF"/>
              </w:rPr>
              <w:t xml:space="preserve">Método</w:t>
            </w:r>
          </w:p>
        </w:tc>
        <w:tc>
          <w:tcPr>
            <w:shd w:val="clear" w:color="auto" w:fill="4E2891"/>
          </w:tcPr>
          <w:p>
            <w:pPr>
              <w:pStyle w:val="Compact"/>
              <w:jc w:val="both"/>
            </w:pPr>
            <w:r>
              <w:rPr>
                <w:b/>
                <w:color w:val="FFFFFF"/>
              </w:rPr>
              <w:t xml:space="preserve">Comprobación de la lectura</w:t>
            </w:r>
          </w:p>
        </w:tc>
        <w:tc>
          <w:tcPr>
            <w:shd w:val="clear" w:color="auto" w:fill="4E2891"/>
          </w:tcPr>
          <w:p>
            <w:pPr>
              <w:pStyle w:val="Compact"/>
              <w:jc w:val="both"/>
            </w:pPr>
            <w:r>
              <w:rPr>
                <w:b/>
                <w:color w:val="FFFFFF"/>
              </w:rPr>
              <w:t xml:space="preserve">Cómo interpretar su ajuste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both"/>
            </w:pPr>
            <w:r>
              <w:rPr>
                <w:b/>
                <w:bCs/>
              </w:rPr>
              <w:t xml:space="preserve">Ziegler–Nichols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Trazar la tangente sobre el tramo de subida más pronunciado, evitando elegir un salto aislado de ruido. Medir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desde el escalón al cruce inferior;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es la separación entre los dos cruces.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Dio el Xp más pequeño: una corrección proporcional más intensa. Vigilar oscilación y límites de rpm.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both"/>
            </w:pPr>
            <w:r>
              <w:rPr>
                <w:b/>
                <w:bCs/>
              </w:rPr>
              <w:t xml:space="preserve">SIMC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Usar el inicio visible (umbral de 0.5 puntos sobre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y el tiempo al 63.2 % del cambio. Restar el tiempo muerto para obtener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. El umbral es una aproximación didáctica y es sensible al ruido.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Aquí se eligió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θ</m:t>
              </m:r>
            </m:oMath>
            <w:r>
              <w:t xml:space="preserve">. Un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mayor en la regla general reduce la ganancia y permite un arranque más suave; recalcular también TI si se cambia esa elección.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both"/>
            </w:pPr>
            <w:r>
              <w:rPr>
                <w:b/>
                <w:bCs/>
              </w:rPr>
              <w:t xml:space="preserve">ITAE para perturbaciones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Leer 28.3 % y 63.2 %</w:t>
            </w:r>
            <w:r>
              <w:t xml:space="preserve"> </w:t>
            </w:r>
            <w:r>
              <w:rPr>
                <w:b/>
                <w:bCs/>
              </w:rPr>
              <w:t xml:space="preserve">del cambio total</w:t>
            </w:r>
            <w:r>
              <w:t xml:space="preserve">, no 28.3 y 63.2 % de saturación. Ambos tiempos parten del escalón. Revisar potencias y que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resulte positivo.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Dio un TI más corto que SIMC: la corrección integral es más rápida. Su objetivo original son perturbaciones; los cambios de setpoint del taller no verifican ese objetivo.</w:t>
            </w:r>
          </w:p>
        </w:tc>
      </w:tr>
    </w:tbl>
    <w:p>
      <w:pPr>
        <w:pStyle w:val="BodyText"/>
        <w:spacing w:before="160"/>
        <w:jc w:val="both"/>
      </w:pPr>
      <w:r>
        <w:rPr>
          <w:b/>
          <w:bCs/>
        </w:rPr>
        <w:t xml:space="preserve">Ejemplo de revisión, segundo escalón: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25.26</m:t>
        </m:r>
      </m:oMath>
      <w:r>
        <w:t xml:space="preserve"> </w:t>
      </w:r>
      <w:r>
        <w:t xml:space="preserve">puntos y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norm</m:t>
            </m:r>
          </m:sub>
        </m:sSub>
        <m:r>
          <m:rPr>
            <m:sty m:val="p"/>
          </m:rPr>
          <m:t>=</m:t>
        </m:r>
        <m:r>
          <m:t>25.26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=</m:t>
        </m:r>
        <m:r>
          <m:t>0.842</m:t>
        </m:r>
      </m:oMath>
      <w:r>
        <w:t xml:space="preserve">. Para ITAE, los niveles son aproximadamente 72.80 y 81.62 % de saturación, alcanzados a 42.21 y 83.04 s. Así,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(</m:t>
        </m:r>
        <m:r>
          <m:t>83.04</m:t>
        </m:r>
        <m:r>
          <m:rPr>
            <m:sty m:val="p"/>
          </m:rPr>
          <m:t>−</m:t>
        </m:r>
        <m:r>
          <m:t>42.21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61.25</m:t>
        </m:r>
      </m:oMath>
      <w:r>
        <w:t xml:space="preserve"> </w:t>
      </w:r>
      <w:r>
        <w:t xml:space="preserve">s y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83.04</m:t>
        </m:r>
        <m:r>
          <m:rPr>
            <m:sty m:val="p"/>
          </m:rPr>
          <m:t>−</m:t>
        </m:r>
        <m:r>
          <m:t>61.25</m:t>
        </m:r>
        <m:r>
          <m:rPr>
            <m:sty m:val="p"/>
          </m:rPr>
          <m:t>=</m:t>
        </m:r>
        <m:r>
          <m:t>21.79</m:t>
        </m:r>
      </m:oMath>
      <w:r>
        <w:t xml:space="preserve"> </w:t>
      </w:r>
      <w:r>
        <w:t xml:space="preserve">s. La regla da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norm</m:t>
            </m:r>
          </m:sub>
        </m:sSub>
        <m:r>
          <m:rPr>
            <m:sty m:val="p"/>
          </m:rPr>
          <m:t>=</m:t>
        </m:r>
        <m:r>
          <m:t>2.80</m:t>
        </m:r>
      </m:oMath>
      <w:r>
        <w:t xml:space="preserve">, por lo que Xp = 35.7 % y TI = 45.0 s.</w:t>
      </w:r>
    </w:p>
    <w:bookmarkEnd w:id="20"/>
    <w:bookmarkEnd w:id="21"/>
    <w:bookmarkStart w:id="22" w:name="d.-ajustes-ensayados-en-automático"/>
    <w:p>
      <w:pPr>
        <w:pStyle w:val="Heading2"/>
        <w:jc w:val="both"/>
      </w:pPr>
      <w:r>
        <w:t xml:space="preserve">D. Ajustes ensayados en automático</w:t>
      </w:r>
    </w:p>
    <w:p>
      <w:pPr>
        <w:pStyle w:val="FirstParagraph"/>
        <w:jc w:val="both"/>
      </w:pPr>
      <w:r>
        <w:t xml:space="preserve">Las notas de operación del 14 de octubre reportan estos ajustes con</w:t>
      </w:r>
      <w:r>
        <w:t xml:space="preserve"> </w:t>
      </w:r>
      <w:r>
        <w:rPr>
          <w:b/>
          <w:bCs/>
        </w:rPr>
        <w:t xml:space="preserve">SP = 80 %</w:t>
      </w:r>
      <w:r>
        <w:t xml:space="preserve">:</w:t>
      </w:r>
    </w:p>
    <w:tbl>
      <w:tblPr>
        <w:tblStyle w:val="Table"/>
        <w:tblW w:type="pct" w:w="5000"/>
        <w:jc w:val="center"/>
        <w:tblBorders>
          <w:top w:val="single" w:sz="4" w:space="0" w:color="B7AFC6"/>
          <w:left w:val="single" w:sz="4" w:space="0" w:color="B7AFC6"/>
          <w:bottom w:val="single" w:sz="4" w:space="0" w:color="B7AFC6"/>
          <w:right w:val="single" w:sz="4" w:space="0" w:color="B7AFC6"/>
          <w:insideH w:val="single" w:sz="4" w:space="0" w:color="B7AFC6"/>
          <w:insideV w:val="single" w:sz="4" w:space="0" w:color="B7AFC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shd w:val="clear" w:color="auto" w:fill="4E2891"/>
          </w:tcPr>
          <w:p>
            <w:pPr>
              <w:pStyle w:val="Compact"/>
              <w:jc w:val="both"/>
            </w:pPr>
            <w:r>
              <w:rPr>
                <w:b/>
                <w:color w:val="FFFFFF"/>
              </w:rPr>
              <w:t xml:space="preserve">Ajuste introducido</w:t>
            </w:r>
          </w:p>
        </w:tc>
        <w:tc>
          <w:tcPr>
            <w:shd w:val="clear" w:color="auto" w:fill="4E2891"/>
          </w:tcPr>
          <w:p>
            <w:pPr>
              <w:pStyle w:val="Compact"/>
              <w:jc w:val="both"/>
            </w:pPr>
            <w:r>
              <w:rPr>
                <w:b/>
                <w:color w:val="FFFFFF"/>
              </w:rPr>
              <w:t xml:space="preserve">Observación anotada</w:t>
            </w:r>
          </w:p>
        </w:tc>
        <w:tc>
          <w:tcPr>
            <w:shd w:val="clear" w:color="auto" w:fill="4E2891"/>
          </w:tcPr>
          <w:p>
            <w:pPr>
              <w:pStyle w:val="Compact"/>
              <w:jc w:val="both"/>
            </w:pPr>
            <w:r>
              <w:rPr>
                <w:b/>
                <w:color w:val="FFFFFF"/>
              </w:rPr>
              <w:t xml:space="preserve">Qué permite concluir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both"/>
            </w:pPr>
            <w:r>
              <w:t xml:space="preserve">Xp = 10 %, TI = 80 s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Oscilación sostenida de oxígeno (aprox. 79–81.6 %) y agitación entre 200 y unas 500 rpm.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Ese ajuste produjo oscilación en aquellas condiciones.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both"/>
            </w:pPr>
            <w:r>
              <w:t xml:space="preserve">Xp = 18 %, TI = 120 s, Deadband = 1.5 %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Oxígeno cerca de 79 % y agitación aproximadamente constante en 307 rpm.</w:t>
            </w:r>
          </w:p>
        </w:tc>
        <w:tc>
          <w:tcPr/>
          <w:p>
            <w:pPr>
              <w:pStyle w:val="Compact"/>
              <w:jc w:val="both"/>
            </w:pPr>
            <w:r>
              <w:t xml:space="preserve">Ese ajuste resultó más estable en esa prueba. Estar cerca de 79 % es compatible con la banda de observación alrededor de 80 %.</w:t>
            </w:r>
          </w:p>
        </w:tc>
      </w:tr>
    </w:tbl>
    <w:p>
      <w:pPr>
        <w:pStyle w:val="BodyText"/>
        <w:spacing w:before="160"/>
        <w:jc w:val="both"/>
      </w:pPr>
      <w:r>
        <w:rPr>
          <w:b/>
          <w:bCs/>
        </w:rPr>
        <w:t xml:space="preserve">Estos dos ajustes no equivalen a probar los tres métodos de la tabla anterior.</w:t>
      </w:r>
      <w:r>
        <w:t xml:space="preserve"> </w:t>
      </w:r>
      <w:r>
        <w:t xml:space="preserve">Durante la sesión se usaron estimaciones preliminares de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 partir del tiempo de estabilización (</w:t>
      </w:r>
      <m:oMath>
        <m:r>
          <m:t>τ</m:t>
        </m:r>
        <m:r>
          <m:rPr>
            <m:sty m:val="p"/>
          </m:rPr>
          <m:t>≈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4</m:t>
        </m:r>
      </m:oMath>
      <w:r>
        <w:t xml:space="preserve">) y un Span supuesto de 600 rpm. El recálculo posterior usa las lecturas de las curvas y Span = 1000 rpm. Por eso</w:t>
      </w:r>
      <w:r>
        <w:t xml:space="preserve"> </w:t>
      </w:r>
      <w:r>
        <w:rPr>
          <w:b/>
          <w:bCs/>
        </w:rPr>
        <w:t xml:space="preserve">Xp = 18 %, TI = 120 s no debe presentarse como el resultado de SIMC</w:t>
      </w:r>
      <w:r>
        <w:t xml:space="preserve">, ni como una validación experimental de los ajustes recalculados.</w:t>
      </w:r>
    </w:p>
    <w:p>
      <w:pPr>
        <w:pStyle w:val="BodyText"/>
        <w:jc w:val="both"/>
      </w:pPr>
      <w:r>
        <w:t xml:space="preserve">Con el mismo TI y configuración, bajar Xp aumenta la acción proporcional; con el mismo Xp, bajar TI acelera la acción integral. Entre los dos ajustes ensayados cambiaron ambos parámetros, de modo que no puede atribuirse toda la diferencia a uno solo.</w:t>
      </w:r>
    </w:p>
    <w:bookmarkEnd w:id="22"/>
    <w:bookmarkStart w:id="23" w:name="e.-revisión-y-corrección-del-ajuste"/>
    <w:p>
      <w:pPr>
        <w:pStyle w:val="Heading2"/>
        <w:jc w:val="both"/>
      </w:pPr>
      <w:r>
        <w:t xml:space="preserve">E. Revisión y corrección del ajuste</w:t>
      </w:r>
    </w:p>
    <w:p>
      <w:pPr>
        <w:pStyle w:val="Compact"/>
        <w:numPr>
          <w:ilvl w:val="0"/>
          <w:numId w:val="1002"/>
        </w:numPr>
        <w:jc w:val="both"/>
      </w:pPr>
      <w:r>
        <w:rPr>
          <w:b/>
          <w:bCs/>
        </w:rPr>
        <w:t xml:space="preserve">Revisar antes de AUTO:</w:t>
      </w:r>
      <w:r>
        <w:t xml:space="preserve"> </w:t>
      </w:r>
      <w:r>
        <w:t xml:space="preserve">escala de oxígeno, Span real, conversión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norm</m:t>
            </m:r>
          </m:sub>
        </m:sSub>
      </m:oMath>
      <w:r>
        <w:t xml:space="preserve">, TI en segundos, TD = 0 y setpoint alcanzable. Si la salida aumenta, la agitación debe aumentar; en esta zona de operación se espera que eso eleve el oxígeno.</w:t>
      </w:r>
    </w:p>
    <w:p>
      <w:pPr>
        <w:pStyle w:val="Compact"/>
        <w:numPr>
          <w:ilvl w:val="0"/>
          <w:numId w:val="1002"/>
        </w:numPr>
        <w:jc w:val="both"/>
      </w:pPr>
      <w:r>
        <w:rPr>
          <w:b/>
          <w:bCs/>
        </w:rPr>
        <w:t xml:space="preserve">Empezar por el ajuste calculado y registrar qué se introdujo.</w:t>
      </w:r>
      <w:r>
        <w:t xml:space="preserve"> </w:t>
      </w:r>
      <w:r>
        <w:t xml:space="preserve">Observar oxígeno y rpm juntos. Registrar tiempo de entrada en la banda, si permanece ahí y si la agitación oscila o se mantiene en un límite. No prometer que una regla garantiza estabilidad.</w:t>
      </w:r>
    </w:p>
    <w:p>
      <w:pPr>
        <w:pStyle w:val="Compact"/>
        <w:numPr>
          <w:ilvl w:val="0"/>
          <w:numId w:val="1002"/>
        </w:numPr>
        <w:jc w:val="both"/>
      </w:pPr>
      <w:r>
        <w:rPr>
          <w:b/>
          <w:bCs/>
        </w:rPr>
        <w:t xml:space="preserve">Si hay oscilación sostenida:</w:t>
      </w:r>
      <w:r>
        <w:t xml:space="preserve"> </w:t>
      </w:r>
      <w:r>
        <w:t xml:space="preserve">volver a MAN si no conviene continuar. Revisar primero curva, ruido, unidades y saturación. Para una nueva prueba más suave se puede aumentar Xp o aumentar TI; cambiar un parámetro a la vez, anotar el nuevo valor y dejar tiempo para observar. Es una corrección posterior, distinta del resultado original del método.</w:t>
      </w:r>
    </w:p>
    <w:p>
      <w:pPr>
        <w:pStyle w:val="Compact"/>
        <w:numPr>
          <w:ilvl w:val="0"/>
          <w:numId w:val="1002"/>
        </w:numPr>
        <w:jc w:val="both"/>
      </w:pPr>
      <w:r>
        <w:rPr>
          <w:b/>
          <w:bCs/>
        </w:rPr>
        <w:t xml:space="preserve">Si responde demasiado lento:</w:t>
      </w:r>
      <w:r>
        <w:t xml:space="preserve"> </w:t>
      </w:r>
      <w:r>
        <w:t xml:space="preserve">descartar primero setpoint inalcanzable, límite de agitación o cultivo todavía cambiante. Si el problema es el ajuste, reducir Xp o TI con el instructor, de uno en uno. Mantener el aire fijo.</w:t>
      </w:r>
    </w:p>
    <w:p>
      <w:pPr>
        <w:pStyle w:val="Compact"/>
        <w:numPr>
          <w:ilvl w:val="0"/>
          <w:numId w:val="1002"/>
        </w:numPr>
        <w:jc w:val="both"/>
      </w:pPr>
      <w:r>
        <w:rPr>
          <w:b/>
          <w:bCs/>
        </w:rPr>
        <w:t xml:space="preserve">Si queda pegado en 200 o 1200 rpm:</w:t>
      </w:r>
      <w:r>
        <w:t xml:space="preserve"> </w:t>
      </w:r>
      <w:r>
        <w:t xml:space="preserve">comprobar si la agitación disponible basta para llegar al setpoint. Una salida limitada no se resuelve simplemente aumentando la ganancia. Si faltan minutos, documentar la limitación y cerrar la prueba.</w:t>
      </w:r>
    </w:p>
    <w:p>
      <w:pPr>
        <w:pStyle w:val="FirstParagraph"/>
        <w:jc w:val="both"/>
      </w:pPr>
      <w:r>
        <w:rPr>
          <w:b/>
          <w:bCs/>
        </w:rPr>
        <w:t xml:space="preserve">Aspectos del piloto que afectan la lectura:</w:t>
      </w:r>
      <w:r>
        <w:t xml:space="preserve"> </w:t>
      </w:r>
      <w:r>
        <w:t xml:space="preserve">el pH bajó aproximadamente de 5.8 a 4.5 y el oxígeno a 200 rpm siguió descendiendo con el tiempo. El intervalo automático fue de unos 5 s: con registro manual cada 10 s, la incertidumbre al leer un tiempo muerto de 15–22 s es apreciable. No exigir que la lectura manual reproduzca los decimales del análisis computacional.</w:t>
      </w:r>
    </w:p>
    <w:p>
      <w:pPr>
        <w:pStyle w:val="BodyText"/>
        <w:jc w:val="both"/>
      </w:pPr>
      <w:r>
        <w:t xml:space="preserve">Si el oxígeno inicial sube inesperadamente, revisar agitación, aire, sonda y estado del cultivo. El agotamiento del azúcar es una posibilidad, no una conclusión basada solo en la señal de oxígeno. Cualquier adición cambia las condiciones: anotarla y esperar un nuevo estado estable antes de repetir el escalón.</w:t>
      </w:r>
    </w:p>
    <w:bookmarkEnd w:id="23"/>
    <w:bookmarkStart w:id="24" w:name="f.-saturación-y-acumulación-integral"/>
    <w:p>
      <w:pPr>
        <w:pStyle w:val="Heading2"/>
        <w:jc w:val="both"/>
      </w:pPr>
      <w:r>
        <w:t xml:space="preserve">F. Saturación y acumulación integral</w:t>
      </w:r>
    </w:p>
    <w:p>
      <w:pPr>
        <w:pStyle w:val="FirstParagraph"/>
        <w:jc w:val="both"/>
      </w:pPr>
      <w:r>
        <w:t xml:space="preserve">Comprobar la protección contra acumulación integral disponible y su configuración. Si la salida permanece en un límite, revisar capacidad de transferencia y setpoint antes de aumentar la acción integral. Registrar modo, SP, parámetros aplicados, oxígeno y rpm. Conservar el ajuste calculado y cualquier modificación posterior, con su motivo. Limitar las conclusiones a las condiciones y al tiempo observados.</w:t>
      </w:r>
    </w:p>
    <w:bookmarkEnd w:id="24"/>
    <w:sectPr>
      <w:headerReference w:type="default" r:id="rId9"/>
      <w:footerReference w:type="default" r:id="rId11"/>
      <w:footnotePr>
        <w:numRestart w:val="eachSect"/>
      </w:footnotePr>
      <w:pgSz w:w="12240" w:h="15840"/>
      <w:pgMar w:left="1418" w:right="1418" w:top="1418" w:bottom="1418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color="C2B4E0" w:sz="6" w:space="6"/>
      </w:pBdr>
      <w:tabs>
        <w:tab w:val="right" w:pos="9404"/>
      </w:tabs>
    </w:pPr>
    <w:r>
      <w:rPr>
        <w:color w:val="7A6B95"/>
        <w:sz w:val="16"/>
        <w:szCs w:val="16"/>
      </w:rPr>
      <w:t xml:space="preserve">XI SLATCC 2026 · 2–5 de noviembre de 2026 · Cuernavaca</w:t>
    </w:r>
    <w:r>
      <w:rPr>
        <w:color w:val="7A6B95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color="C2B4E0" w:sz="6" w:space="6"/>
      </w:pBdr>
      <w:tabs>
        <w:tab w:val="right" w:pos="9404"/>
      </w:tabs>
    </w:pPr>
    <w:r>
      <w:drawing>
        <wp:inline distT="0" distB="0" distL="0" distR="0">
          <wp:extent cx="1266825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1276350" cy="304800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color w:val="1F1A2B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  <w:rPr>
      <w:rFonts w:ascii="Arial" w:hAnsi="Arial" w:cs="Arial" w:eastAsia="Arial"/>
      <w:color w:val="1F1A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76" w:lineRule="auto"/>
    </w:pPr>
    <w:rPr>
      <w:rFonts w:ascii="Arial" w:hAnsi="Arial" w:cs="Arial" w:eastAsia="Arial"/>
      <w:color w:val="1F1A2B"/>
      <w:sz w:val="22"/>
    </w:rPr>
  </w:style>
  <w:style w:customStyle="1" w:styleId="Compact" w:type="paragraph">
    <w:name w:val="Compact"/>
    <w:basedOn w:val="BodyText"/>
    <w:qFormat/>
    <w:pPr>
      <w:spacing w:after="20" w:before="20" w:line="240" w:lineRule="auto"/>
    </w:pPr>
    <w:rPr>
      <w:rFonts w:ascii="Arial" w:hAnsi="Arial" w:cs="Arial" w:eastAsia="Arial"/>
      <w:color w:val="1F1A2B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 w:before="0"/>
      <w:contextualSpacing/>
      <w:jc w:val="left"/>
    </w:pPr>
    <w:rPr>
      <w:rFonts w:cstheme="majorBidi" w:ascii="Arial" w:hAnsi="Arial" w:cs="Arial" w:eastAsia="Arial"/>
      <w:b/>
      <w:i w:val="0"/>
      <w:color w:val="4E2891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cstheme="majorBidi" w:ascii="Arial" w:hAnsi="Arial" w:cs="Arial" w:eastAsia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ascii="Arial" w:hAnsi="Arial" w:cs="Arial" w:eastAsia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ascii="Arial" w:hAnsi="Arial" w:cs="Arial" w:eastAsia="Arial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hAnsi="Arial" w:cs="Arial" w:eastAsia="Arial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hAnsi="Arial" w:cs="Arial" w:eastAsia="Arial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rial" w:hAnsi="Arial" w:cs="Arial" w:eastAsia="Arial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20"/>
      <w:jc w:val="left"/>
      <w:outlineLvl w:val="0"/>
    </w:pPr>
    <w:rPr>
      <w:rFonts w:cstheme="majorBidi" w:ascii="Arial" w:hAnsi="Arial" w:cs="Arial" w:eastAsia="Arial"/>
      <w:b/>
      <w:i w:val="0"/>
      <w:color w:val="4E2891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40"/>
      <w:jc w:val="left"/>
      <w:outlineLvl w:val="1"/>
    </w:pPr>
    <w:rPr>
      <w:rFonts w:cstheme="majorBidi" w:ascii="Arial" w:hAnsi="Arial" w:cs="Arial" w:eastAsia="Arial"/>
      <w:b/>
      <w:i w:val="0"/>
      <w:color w:val="BD2874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jc w:val="left"/>
      <w:outlineLvl w:val="2"/>
    </w:pPr>
    <w:rPr>
      <w:rFonts w:cstheme="majorBidi" w:ascii="Arial" w:hAnsi="Arial" w:cs="Arial" w:eastAsia="Arial"/>
      <w:b/>
      <w:i w:val="0"/>
      <w:color w:val="4E289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ascii="Arial" w:hAnsi="Arial" w:cs="Arial" w:eastAsia="Arial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ascii="Arial" w:hAnsi="Arial" w:cs="Arial" w:eastAsia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ascii="Arial" w:hAnsi="Arial" w:cs="Arial" w:eastAsia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ascii="Arial" w:hAnsi="Arial" w:cs="Arial" w:eastAsia="Arial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ascii="Arial" w:hAnsi="Arial" w:cs="Arial" w:eastAsia="Arial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ascii="Arial" w:hAnsi="Arial" w:cs="Arial" w:eastAsia="Arial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cstheme="majorBidi" w:ascii="Arial" w:hAnsi="Arial" w:cs="Arial" w:eastAsia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cstheme="majorBidi" w:ascii="Arial" w:hAnsi="Arial" w:cs="Arial" w:eastAsia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ascii="Arial" w:hAnsi="Arial" w:cs="Arial" w:eastAsia="Arial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ascii="Arial" w:hAnsi="Arial" w:cs="Arial" w:eastAsia="Arial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ascii="Arial" w:hAnsi="Arial" w:cs="Arial" w:eastAsia="Arial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ascii="Arial" w:hAnsi="Arial" w:cs="Arial" w:eastAsia="Arial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ascii="Arial" w:hAnsi="Arial" w:cs="Arial" w:eastAsia="Arial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ascii="Arial" w:hAnsi="Arial" w:cs="Arial" w:eastAsia="Arial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ascii="Arial" w:hAnsi="Arial" w:cs="Arial" w:eastAsia="Arial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val="single" w:sz="18" w:space="8" w:color="BD2874"/>
      </w:pBdr>
      <w:spacing w:after="80" w:before="80"/>
      <w:ind w:firstLine="0" w:left="283" w:right="480"/>
    </w:pPr>
    <w:rPr>
      <w:rFonts w:ascii="Arial" w:hAnsi="Arial" w:cs="Arial" w:eastAsia="Arial"/>
      <w:i w:val="0"/>
      <w:color w:val="4A3A68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  <w:i/>
      <w:color w:val="7A6B95"/>
      <w:sz w:val="18"/>
    </w:rPr>
  </w:style>
  <w:style w:customStyle="1" w:styleId="ImageCaption" w:type="paragraph">
    <w:name w:val="Image Caption"/>
    <w:basedOn w:val="Caption"/>
    <w:rPr>
      <w:rFonts w:ascii="Arial" w:hAnsi="Arial" w:cs="Arial" w:eastAsia="Arial"/>
      <w:i/>
      <w:color w:val="7A6B95"/>
      <w:sz w:val="18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rFonts w:ascii="Arial" w:hAnsi="Arial" w:cs="Arial" w:eastAsia="Arial"/>
      <w:vertAlign w:val="superscript"/>
    </w:rPr>
  </w:style>
  <w:style w:styleId="Hyperlink" w:type="character">
    <w:name w:val="Hyperlink"/>
    <w:basedOn w:val="BodyTextChar"/>
    <w:rPr>
      <w:rFonts w:ascii="Arial" w:hAnsi="Arial" w:cs="Arial" w:eastAsia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Arial" w:hAnsi="Arial" w:cs="Arial" w:eastAsia="Arial"/>
      <w:b/>
      <w:color w:val="007020"/>
    </w:rPr>
  </w:style>
  <w:style w:type="character" w:customStyle="1" w:styleId="DataTypeTok">
    <w:name w:val="DataTypeTok"/>
    <w:basedOn w:val="VerbatimChar"/>
    <w:rPr>
      <w:rFonts w:ascii="Arial" w:hAnsi="Arial" w:cs="Arial" w:eastAsia="Arial"/>
      <w:color w:val="902000"/>
    </w:rPr>
  </w:style>
  <w:style w:type="character" w:customStyle="1" w:styleId="DecValTok">
    <w:name w:val="DecValTok"/>
    <w:basedOn w:val="VerbatimChar"/>
    <w:rPr>
      <w:rFonts w:ascii="Arial" w:hAnsi="Arial" w:cs="Arial" w:eastAsia="Arial"/>
      <w:color w:val="40a070"/>
    </w:rPr>
  </w:style>
  <w:style w:type="character" w:customStyle="1" w:styleId="BaseNTok">
    <w:name w:val="BaseNTok"/>
    <w:basedOn w:val="VerbatimChar"/>
    <w:rPr>
      <w:rFonts w:ascii="Arial" w:hAnsi="Arial" w:cs="Arial" w:eastAsia="Arial"/>
      <w:color w:val="40a070"/>
    </w:rPr>
  </w:style>
  <w:style w:type="character" w:customStyle="1" w:styleId="FloatTok">
    <w:name w:val="FloatTok"/>
    <w:basedOn w:val="VerbatimChar"/>
    <w:rPr>
      <w:rFonts w:ascii="Arial" w:hAnsi="Arial" w:cs="Arial" w:eastAsia="Arial"/>
      <w:color w:val="40a070"/>
    </w:rPr>
  </w:style>
  <w:style w:type="character" w:customStyle="1" w:styleId="ConstantTok">
    <w:name w:val="ConstantTok"/>
    <w:basedOn w:val="VerbatimChar"/>
    <w:rPr>
      <w:rFonts w:ascii="Arial" w:hAnsi="Arial" w:cs="Arial" w:eastAsia="Arial"/>
      <w:color w:val="880000"/>
    </w:rPr>
  </w:style>
  <w:style w:type="character" w:customStyle="1" w:styleId="CharTok">
    <w:name w:val="CharTok"/>
    <w:basedOn w:val="VerbatimChar"/>
    <w:rPr>
      <w:rFonts w:ascii="Arial" w:hAnsi="Arial" w:cs="Arial" w:eastAsia="Arial"/>
      <w:color w:val="4070a0"/>
    </w:rPr>
  </w:style>
  <w:style w:type="character" w:customStyle="1" w:styleId="SpecialCharTok">
    <w:name w:val="SpecialCharTok"/>
    <w:basedOn w:val="VerbatimChar"/>
    <w:rPr>
      <w:rFonts w:ascii="Arial" w:hAnsi="Arial" w:cs="Arial" w:eastAsia="Arial"/>
      <w:color w:val="4070a0"/>
    </w:rPr>
  </w:style>
  <w:style w:type="character" w:customStyle="1" w:styleId="StringTok">
    <w:name w:val="StringTok"/>
    <w:basedOn w:val="VerbatimChar"/>
    <w:rPr>
      <w:rFonts w:ascii="Arial" w:hAnsi="Arial" w:cs="Arial" w:eastAsia="Arial"/>
      <w:color w:val="4070a0"/>
    </w:rPr>
  </w:style>
  <w:style w:type="character" w:customStyle="1" w:styleId="VerbatimStringTok">
    <w:name w:val="VerbatimStringTok"/>
    <w:basedOn w:val="VerbatimChar"/>
    <w:rPr>
      <w:rFonts w:ascii="Arial" w:hAnsi="Arial" w:cs="Arial" w:eastAsia="Arial"/>
      <w:color w:val="4070a0"/>
    </w:rPr>
  </w:style>
  <w:style w:type="character" w:customStyle="1" w:styleId="SpecialStringTok">
    <w:name w:val="SpecialStringTok"/>
    <w:basedOn w:val="VerbatimChar"/>
    <w:rPr>
      <w:rFonts w:ascii="Arial" w:hAnsi="Arial" w:cs="Arial" w:eastAsia="Arial"/>
      <w:color w:val="bb6688"/>
    </w:rPr>
  </w:style>
  <w:style w:type="character" w:customStyle="1" w:styleId="ImportTok">
    <w:name w:val="ImportTok"/>
    <w:basedOn w:val="VerbatimChar"/>
    <w:rPr>
      <w:rFonts w:ascii="Arial" w:hAnsi="Arial" w:cs="Arial" w:eastAsia="Arial"/>
      <w:b/>
      <w:color w:val="008000"/>
    </w:rPr>
  </w:style>
  <w:style w:type="character" w:customStyle="1" w:styleId="CommentTok">
    <w:name w:val="CommentTok"/>
    <w:basedOn w:val="VerbatimChar"/>
    <w:rPr>
      <w:rFonts w:ascii="Arial" w:hAnsi="Arial" w:cs="Arial" w:eastAsia="Arial"/>
      <w:i/>
      <w:color w:val="60a0b0"/>
    </w:rPr>
  </w:style>
  <w:style w:type="character" w:customStyle="1" w:styleId="DocumentationTok">
    <w:name w:val="DocumentationTok"/>
    <w:basedOn w:val="VerbatimChar"/>
    <w:rPr>
      <w:rFonts w:ascii="Arial" w:hAnsi="Arial" w:cs="Arial" w:eastAsia="Arial"/>
      <w:i/>
      <w:color w:val="ba2121"/>
    </w:rPr>
  </w:style>
  <w:style w:type="character" w:customStyle="1" w:styleId="AnnotationTok">
    <w:name w:val="AnnotationTok"/>
    <w:basedOn w:val="VerbatimChar"/>
    <w:rPr>
      <w:rFonts w:ascii="Arial" w:hAnsi="Arial" w:cs="Arial" w:eastAsia="Arial"/>
      <w:b/>
      <w:i/>
      <w:color w:val="60a0b0"/>
    </w:rPr>
  </w:style>
  <w:style w:type="character" w:customStyle="1" w:styleId="CommentVarTok">
    <w:name w:val="CommentVarTok"/>
    <w:basedOn w:val="VerbatimChar"/>
    <w:rPr>
      <w:rFonts w:ascii="Arial" w:hAnsi="Arial" w:cs="Arial" w:eastAsia="Arial"/>
      <w:b/>
      <w:i/>
      <w:color w:val="60a0b0"/>
    </w:rPr>
  </w:style>
  <w:style w:type="character" w:customStyle="1" w:styleId="OtherTok">
    <w:name w:val="OtherTok"/>
    <w:basedOn w:val="VerbatimChar"/>
    <w:rPr>
      <w:rFonts w:ascii="Arial" w:hAnsi="Arial" w:cs="Arial" w:eastAsia="Arial"/>
      <w:color w:val="007020"/>
    </w:rPr>
  </w:style>
  <w:style w:type="character" w:customStyle="1" w:styleId="FunctionTok">
    <w:name w:val="FunctionTok"/>
    <w:basedOn w:val="VerbatimChar"/>
    <w:rPr>
      <w:rFonts w:ascii="Arial" w:hAnsi="Arial" w:cs="Arial" w:eastAsia="Arial"/>
      <w:color w:val="06287e"/>
    </w:rPr>
  </w:style>
  <w:style w:type="character" w:customStyle="1" w:styleId="VariableTok">
    <w:name w:val="VariableTok"/>
    <w:basedOn w:val="VerbatimChar"/>
    <w:rPr>
      <w:rFonts w:ascii="Arial" w:hAnsi="Arial" w:cs="Arial" w:eastAsia="Arial"/>
      <w:color w:val="19177c"/>
    </w:rPr>
  </w:style>
  <w:style w:type="character" w:customStyle="1" w:styleId="ControlFlowTok">
    <w:name w:val="ControlFlowTok"/>
    <w:basedOn w:val="VerbatimChar"/>
    <w:rPr>
      <w:rFonts w:ascii="Arial" w:hAnsi="Arial" w:cs="Arial" w:eastAsia="Arial"/>
      <w:b/>
      <w:color w:val="007020"/>
    </w:rPr>
  </w:style>
  <w:style w:type="character" w:customStyle="1" w:styleId="OperatorTok">
    <w:name w:val="OperatorTok"/>
    <w:basedOn w:val="VerbatimChar"/>
    <w:rPr>
      <w:rFonts w:ascii="Arial" w:hAnsi="Arial" w:cs="Arial" w:eastAsia="Arial"/>
      <w:color w:val="666666"/>
    </w:rPr>
  </w:style>
  <w:style w:type="character" w:customStyle="1" w:styleId="BuiltInTok">
    <w:name w:val="BuiltInTok"/>
    <w:basedOn w:val="VerbatimChar"/>
    <w:rPr>
      <w:rFonts w:ascii="Arial" w:hAnsi="Arial" w:cs="Arial" w:eastAsia="Arial"/>
      <w:color w:val="008000"/>
    </w:rPr>
  </w:style>
  <w:style w:type="character" w:customStyle="1" w:styleId="ExtensionTok">
    <w:name w:val="ExtensionTok"/>
    <w:basedOn w:val="VerbatimChar"/>
    <w:rPr>
      <w:rFonts w:ascii="Arial" w:hAnsi="Arial" w:cs="Arial" w:eastAsia="Arial"/>
    </w:rPr>
  </w:style>
  <w:style w:type="character" w:customStyle="1" w:styleId="PreprocessorTok">
    <w:name w:val="PreprocessorTok"/>
    <w:basedOn w:val="VerbatimChar"/>
    <w:rPr>
      <w:rFonts w:ascii="Arial" w:hAnsi="Arial" w:cs="Arial" w:eastAsia="Arial"/>
      <w:color w:val="bc7a00"/>
    </w:rPr>
  </w:style>
  <w:style w:type="character" w:customStyle="1" w:styleId="AttributeTok">
    <w:name w:val="AttributeTok"/>
    <w:basedOn w:val="VerbatimChar"/>
    <w:rPr>
      <w:rFonts w:ascii="Arial" w:hAnsi="Arial" w:cs="Arial" w:eastAsia="Arial"/>
      <w:color w:val="7d9029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</w:rPr>
  </w:style>
  <w:style w:type="character" w:customStyle="1" w:styleId="InformationTok">
    <w:name w:val="InformationTok"/>
    <w:basedOn w:val="VerbatimChar"/>
    <w:rPr>
      <w:rFonts w:ascii="Arial" w:hAnsi="Arial" w:cs="Arial" w:eastAsia="Arial"/>
      <w:b/>
      <w:i/>
      <w:color w:val="60a0b0"/>
    </w:rPr>
  </w:style>
  <w:style w:type="character" w:customStyle="1" w:styleId="WarningTok">
    <w:name w:val="WarningTok"/>
    <w:basedOn w:val="VerbatimChar"/>
    <w:rPr>
      <w:rFonts w:ascii="Arial" w:hAnsi="Arial" w:cs="Arial" w:eastAsia="Arial"/>
      <w:b/>
      <w:i/>
      <w:color w:val="60a0b0"/>
    </w:rPr>
  </w:style>
  <w:style w:type="character" w:customStyle="1" w:styleId="AlertTok">
    <w:name w:val="AlertTok"/>
    <w:basedOn w:val="VerbatimChar"/>
    <w:rPr>
      <w:rFonts w:ascii="Arial" w:hAnsi="Arial" w:cs="Arial" w:eastAsia="Arial"/>
      <w:b/>
      <w:color w:val="ff0000"/>
    </w:rPr>
  </w:style>
  <w:style w:type="character" w:customStyle="1" w:styleId="ErrorTok">
    <w:name w:val="ErrorTok"/>
    <w:basedOn w:val="VerbatimChar"/>
    <w:rPr>
      <w:rFonts w:ascii="Arial" w:hAnsi="Arial" w:cs="Arial" w:eastAsia="Arial"/>
      <w:b/>
      <w:color w:val="ff0000"/>
    </w:rPr>
  </w:style>
  <w:style w:type="character" w:customStyle="1" w:styleId="NormalTok">
    <w:name w:val="NormalTok"/>
    <w:basedOn w:val="VerbatimChar"/>
    <w:rPr>
      <w:rFonts w:ascii="Arial" w:hAnsi="Arial" w:cs="Arial" w:eastAsia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3" Type="http://schemas.openxmlformats.org/officeDocument/2006/relationships/image" Target="media/rId13.png"/><Relationship Id="rId17" Type="http://schemas.openxmlformats.org/officeDocument/2006/relationships/image" Target="media/rId17.png"/><Relationship Id="rId9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2d2685079f2d65bab66a058cff9ce624d12f2845.png"/><Relationship Id="rId2" Type="http://schemas.openxmlformats.org/officeDocument/2006/relationships/image" Target="media/a4f4a5ba47589821d1a1505255da96e172e363a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para el instructor: control de oxígeno disuelto</dc:title>
  <dc:creator/>
  <cp:keywords/>
  <dcterms:created xsi:type="dcterms:W3CDTF">2026-10-24T05:59:24Z</dcterms:created>
  <dcterms:modified xsi:type="dcterms:W3CDTF">2026-10-24T05:59:24Z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Octavio T. Ramírez · Emiliano Balderas · Instituto de Biotecnología, UNAM</vt:lpwstr>
  </property>
</Properties>
</file>