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Afinación del control de oxígeno disuelto en un biorreactor</w:t>
      </w:r>
    </w:p>
    <w:p>
      <w:pPr>
        <w:spacing w:after="60"/>
        <w:jc w:val="both"/>
      </w:pPr>
      <w:r>
        <w:rPr>
          <w:color w:val="4A3A68"/>
          <w:sz w:val="24"/>
          <w:szCs w:val="24"/>
        </w:rPr>
        <w:t xml:space="preserve">Octavio T. Ramírez · Emiliano Balderas · Instituto de Biotecnología, UNAM</w:t>
      </w:r>
    </w:p>
    <w:p>
      <w:pPr>
        <w:spacing w:after="360"/>
        <w:jc w:val="both"/>
      </w:pPr>
      <w:r>
        <w:rPr>
          <w:color w:val="7A6B95"/>
          <w:sz w:val="20"/>
          <w:szCs w:val="20"/>
        </w:rPr>
        <w:t xml:space="preserve">CATCC 2026. Curso Latinoamericano de Tecnología de Cultivos Celulares</w:t>
      </w:r>
    </w:p>
    <w:p>
      <w:pPr>
        <w:pStyle w:val="FirstParagraph"/>
        <w:jc w:val="both"/>
      </w:pPr>
      <w:r>
        <w:rPr>
          <w:b/>
          <w:bCs/>
        </w:rPr>
        <w:t xml:space="preserve">Taller:</w:t>
      </w:r>
      <w:r>
        <w:t xml:space="preserve"> </w:t>
      </w:r>
      <w:r>
        <w:t xml:space="preserve">Afinación del control de oxígeno disuelto en un biorreactor</w:t>
      </w:r>
    </w:p>
    <w:p>
      <w:pPr>
        <w:pStyle w:val="BodyText"/>
        <w:jc w:val="both"/>
      </w:pPr>
      <w:r>
        <w:rPr>
          <w:b/>
          <w:bCs/>
        </w:rPr>
        <w:t xml:space="preserve">Duración:</w:t>
      </w:r>
      <w:r>
        <w:t xml:space="preserve"> </w:t>
      </w:r>
      <w:r>
        <w:t xml:space="preserve">máximo 45 min por equipo (3 equipos de 6 personas, uno tras otro en el mismo biorreactor)</w:t>
      </w:r>
    </w:p>
    <w:p>
      <w:pPr>
        <w:pStyle w:val="BodyText"/>
        <w:jc w:val="both"/>
      </w:pPr>
      <w:r>
        <w:rPr>
          <w:b/>
          <w:bCs/>
        </w:rPr>
        <w:t xml:space="preserve">Equipo:</w:t>
      </w:r>
      <w:r>
        <w:t xml:space="preserve"> </w:t>
      </w:r>
      <w:r>
        <w:t xml:space="preserve">Sartorius Biostat B, vasija de 8 L</w:t>
      </w:r>
    </w:p>
    <w:bookmarkStart w:id="9" w:name="control-de-oxígeno-disuelto"/>
    <w:p>
      <w:pPr>
        <w:pStyle w:val="Heading1"/>
        <w:jc w:val="both"/>
      </w:pPr>
      <w:r>
        <w:t xml:space="preserve">1. Control de oxígeno disuelto</w:t>
      </w:r>
    </w:p>
    <w:p>
      <w:pPr>
        <w:pStyle w:val="FirstParagraph"/>
        <w:jc w:val="both"/>
      </w:pPr>
      <w:r>
        <w:t xml:space="preserve">Las células necesitan condiciones adecuadas para crecer y producir: temperatura, pH y oxígeno disuelto, entre otras. Esas condiciones cambian durante el cultivo; por ejemplo, al aumentar la cantidad de células puede aumentar el consumo de oxígeno.</w:t>
      </w:r>
    </w:p>
    <w:p>
      <w:pPr>
        <w:pStyle w:val="BodyText"/>
        <w:jc w:val="both"/>
      </w:pPr>
      <w:r>
        <w:rPr>
          <w:b/>
          <w:bCs/>
        </w:rPr>
        <w:t xml:space="preserve">Controlar un bioproceso significa</w:t>
      </w:r>
      <w:r>
        <w:t xml:space="preserve"> </w:t>
      </w:r>
      <w:r>
        <w:t xml:space="preserve">medir una variable, compararla con el valor deseado y hacer ajustes para mantenerla cerca de ese valor. Esto ayuda a cuidar el cultivo, obtener resultados reproducibles y reducir la variación entre lotes.</w:t>
      </w:r>
    </w:p>
    <w:p>
      <w:pPr>
        <w:pStyle w:val="BodyText"/>
        <w:jc w:val="both"/>
      </w:pPr>
      <w:r>
        <w:t xml:space="preserve">Pensemos en el oxígeno disuelto: una sonda lo mide y el controlador decide si debe aumentar o disminuir la agitación. Así ajusta la entrada de oxígeno al líquido según lo que necesita el proceso. No controla directamente a las células, sino las condiciones de su entorno.</w:t>
      </w:r>
    </w:p>
    <w:tbl>
      <w:tblPr>
        <w:tblStyle w:val="Table"/>
        <w:tblW w:type="pct" w:w="5000"/>
        <w:jc w:val="center"/>
        <w:tblBorders>
          <w:top w:val="single" w:sz="4" w:space="0" w:color="B7AFC6"/>
          <w:left w:val="single" w:sz="4" w:space="0" w:color="B7AFC6"/>
          <w:bottom w:val="single" w:sz="4" w:space="0" w:color="B7AFC6"/>
          <w:right w:val="single" w:sz="4" w:space="0" w:color="B7AFC6"/>
          <w:insideH w:val="single" w:sz="4" w:space="0" w:color="B7AFC6"/>
          <w:insideV w:val="single" w:sz="4" w:space="0" w:color="B7AFC6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/>
        </w:trPr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Elemento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Qué significa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En esta práctica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Variable controlada (</w:t>
            </w:r>
            <m:oMath>
              <m:r>
                <m:t>y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Lo que queremos mantener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Oxígeno disuelto, indicado como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(% de saturación)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Setpoint (</w:t>
            </w:r>
            <m:oMath>
              <m:r>
                <m:t>S</m:t>
              </m:r>
              <m:r>
                <m:t>P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El valor que queremos alcanzar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80 % de saturación, si es alcanzable en la prueba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Error (</w:t>
            </w:r>
            <m:oMath>
              <m:r>
                <m:t>e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Cuánto falta para llegar: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jc w:val="both"/>
            </w:pPr>
            <w:r>
              <w:t xml:space="preserve">Si queremos 80 % y medimos 75 %, el error es +5 puntos porcentuales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Variable manipulada (</w:t>
            </w:r>
            <m:oMath>
              <m:r>
                <m:t>u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Lo que podemos ajustar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Agitación (rpm: revoluciones por minuto)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Perturbación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Un cambio que afecta la variable controlada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Mayor consumo de oxígeno por las células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Controlador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El que calcula el ajuste a partir de la medición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El controlador de la torre Biostat B</w:t>
            </w:r>
          </w:p>
        </w:tc>
      </w:tr>
    </w:tbl>
    <w:p>
      <w:pPr>
        <w:pStyle w:val="BodyText"/>
        <w:spacing w:before="160"/>
        <w:jc w:val="both"/>
      </w:pPr>
      <w:r>
        <w:t xml:space="preserve">En</w:t>
      </w:r>
      <w:r>
        <w:t xml:space="preserve"> </w:t>
      </w:r>
      <w:r>
        <w:rPr>
          <w:b/>
          <w:bCs/>
        </w:rPr>
        <w:t xml:space="preserve">modo manual (</w:t>
      </w:r>
      <w:r>
        <w:rPr>
          <w:rStyle w:val="VerbatimChar"/>
          <w:b/>
          <w:bCs/>
        </w:rPr>
        <w:t xml:space="preserve">MAN</w:t>
      </w:r>
      <w:r>
        <w:rPr>
          <w:b/>
          <w:bCs/>
        </w:rPr>
        <w:t xml:space="preserve">, lazo abierto)</w:t>
      </w:r>
      <w:r>
        <w:t xml:space="preserve">, una persona fija la agitación.</w:t>
      </w:r>
    </w:p>
    <w:p>
      <w:pPr>
        <w:pStyle w:val="BodyText"/>
        <w:jc w:val="both"/>
      </w:pPr>
      <w:r>
        <w:t xml:space="preserve">En</w:t>
      </w:r>
      <w:r>
        <w:t xml:space="preserve"> </w:t>
      </w:r>
      <w:r>
        <w:rPr>
          <w:b/>
          <w:bCs/>
        </w:rPr>
        <w:t xml:space="preserve">modo automático (</w:t>
      </w:r>
      <w:r>
        <w:rPr>
          <w:rStyle w:val="VerbatimChar"/>
          <w:b/>
          <w:bCs/>
        </w:rPr>
        <w:t xml:space="preserve">AUTO</w:t>
      </w:r>
      <w:r>
        <w:rPr>
          <w:b/>
          <w:bCs/>
        </w:rPr>
        <w:t xml:space="preserve">, lazo cerrado)</w:t>
      </w:r>
      <w:r>
        <w:t xml:space="preserve">, el controlador compara continuamente la medición con el setpoint y ajusta la agitación. El aire permanecerá fijo durante toda la práctica.</w:t>
      </w:r>
    </w:p>
    <w:bookmarkEnd w:id="9"/>
    <w:bookmarkStart w:id="12" w:name="controlador-pid-y-operación-pi"/>
    <w:p>
      <w:pPr>
        <w:pStyle w:val="Heading1"/>
        <w:jc w:val="both"/>
      </w:pPr>
      <w:r>
        <w:t xml:space="preserve">2. Controlador PID y operación PI</w:t>
      </w:r>
    </w:p>
    <w:p>
      <w:pPr>
        <w:pStyle w:val="FirstParagraph"/>
        <w:jc w:val="both"/>
      </w:pPr>
      <w:r>
        <w:t xml:space="preserve">Un controlador muy utilizado es el</w:t>
      </w:r>
      <w:r>
        <w:t xml:space="preserve"> </w:t>
      </w:r>
      <w:r>
        <w:rPr>
          <w:b/>
          <w:bCs/>
        </w:rPr>
        <w:t xml:space="preserve">PID</w:t>
      </w:r>
      <w:r>
        <w:t xml:space="preserve">, llamado así por sus acciones proporcional, integral y derivativa. Podemos entenderlas como tres preguntas:</w:t>
      </w:r>
    </w:p>
    <w:tbl>
      <w:tblPr>
        <w:tblStyle w:val="Table"/>
        <w:tblW w:type="pct" w:w="5000"/>
        <w:jc w:val="center"/>
        <w:tblBorders>
          <w:top w:val="single" w:sz="4" w:space="0" w:color="B7AFC6"/>
          <w:left w:val="single" w:sz="4" w:space="0" w:color="B7AFC6"/>
          <w:bottom w:val="single" w:sz="4" w:space="0" w:color="B7AFC6"/>
          <w:right w:val="single" w:sz="4" w:space="0" w:color="B7AFC6"/>
          <w:insideH w:val="single" w:sz="4" w:space="0" w:color="B7AFC6"/>
          <w:insideV w:val="single" w:sz="4" w:space="0" w:color="B7AFC6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/>
        </w:trPr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Acción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Pregunta que responde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Qué aporta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rPr>
                <w:b/>
                <w:bCs/>
              </w:rPr>
              <w:t xml:space="preserve">P: proporcional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¿Qué tan lejos estoy del valor deseado ahora?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Corrige más cuando el error es mayor. Por sí sola puede dejar una diferencia persistente con el SP.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rPr>
                <w:b/>
                <w:bCs/>
              </w:rPr>
              <w:t xml:space="preserve">I: integral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¿Cuánto error se ha acumulado?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Sigue ajustando cuando la diferencia persiste y ayuda a eliminarla. Una acción demasiado fuerte puede causar oscilaciones.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rPr>
                <w:b/>
                <w:bCs/>
              </w:rPr>
              <w:t xml:space="preserve">D: derivativa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¿Qué tan rápido está cambiando el error?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Puede ayudar a frenar una respuesta excesiva, pero también amplifica el ruido de la medición.</w:t>
            </w:r>
          </w:p>
        </w:tc>
      </w:tr>
    </w:tbl>
    <w:p>
      <w:pPr>
        <w:pStyle w:val="BodyText"/>
        <w:spacing w:before="160"/>
        <w:jc w:val="both"/>
      </w:pPr>
      <w:r>
        <w:rPr>
          <w:b/>
          <w:bCs/>
        </w:rPr>
        <w:t xml:space="preserve">Se pueden usar las combinaciones que el proceso requiera:</w:t>
      </w:r>
      <w:r>
        <w:t xml:space="preserve"> </w:t>
      </w:r>
      <w:r>
        <w:t xml:space="preserve">P, PI, PD o PID. Aquí usaremos</w:t>
      </w:r>
      <w:r>
        <w:t xml:space="preserve"> </w:t>
      </w:r>
      <w:r>
        <w:rPr>
          <w:b/>
          <w:bCs/>
        </w:rPr>
        <w:t xml:space="preserve">PI</w:t>
      </w:r>
      <w:r>
        <w:t xml:space="preserve">: la acción integral ayuda a corregir diferencias persistentes y omitimos la derivativa porque las burbujas pueden producir ruido en la señal de oxígeno.</w:t>
      </w:r>
    </w:p>
    <w:bookmarkStart w:id="10" w:name="ecuación-del-controlador-pid"/>
    <w:p>
      <w:pPr>
        <w:pStyle w:val="Heading2"/>
        <w:jc w:val="both"/>
      </w:pPr>
      <w:r>
        <w:t xml:space="preserve">Ecuación del controlador PID</w:t>
      </w:r>
    </w:p>
    <w:p>
      <w:pPr>
        <w:pStyle w:val="FirstParagraph"/>
        <w:jc w:val="both"/>
      </w:pPr>
      <w:r>
        <w:t xml:space="preserve">La idea es una suma:</w:t>
      </w:r>
      <w:r>
        <w:t xml:space="preserve"> </w:t>
      </w:r>
      <w:r>
        <w:rPr>
          <w:b/>
          <w:bCs/>
        </w:rPr>
        <w:t xml:space="preserve">salida = valor base + corrección P + corrección I + corrección D</w:t>
      </w:r>
      <w:r>
        <w:t xml:space="preserve">. Una forma habitual de escribirla es:</w:t>
      </w:r>
    </w:p>
    <w:p>
      <w:pPr>
        <w:pStyle w:val="BodyText"/>
        <w:keepNext w:val="0"/>
        <w:jc w:val="center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t> </m:t>
          </m:r>
          <m:r>
            <m:t>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e</m:t>
              </m:r>
            </m:e>
          </m:nary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ξ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t>T</m:t>
              </m:r>
            </m:e>
            <m:sub>
              <m:r>
                <m:t>D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  <w:jc w:val="both"/>
      </w:pPr>
      <w:r>
        <w:t xml:space="preserve">No hace falta resolver integrales ni derivadas para realizar la práctica. Basta con leer cada parte:</w:t>
      </w:r>
    </w:p>
    <w:p>
      <w:pPr>
        <w:pStyle w:val="Compact"/>
        <w:numPr>
          <w:ilvl w:val="0"/>
          <w:numId w:val="1001"/>
        </w:numPr>
        <w:jc w:val="both"/>
      </w:pP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es la salida que calcula el controlador en ese momento.</w:t>
      </w:r>
    </w:p>
    <w:p>
      <w:pPr>
        <w:pStyle w:val="Compact"/>
        <w:numPr>
          <w:ilvl w:val="0"/>
          <w:numId w:val="1001"/>
        </w:numPr>
        <w:jc w:val="both"/>
      </w:pPr>
      <m:oMath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es el error actual. El término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t> </m:t>
        </m:r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es la corrección</w:t>
      </w:r>
      <w:r>
        <w:t xml:space="preserve"> </w:t>
      </w:r>
      <w:r>
        <w:rPr>
          <w:b/>
          <w:bCs/>
        </w:rPr>
        <w:t xml:space="preserve">P</w:t>
      </w:r>
      <w:r>
        <w:t xml:space="preserve">: multiplicar el error por una ganancia.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El símbolo</w:t>
      </w:r>
      <w:r>
        <w:t xml:space="preserve"> </w:t>
      </w:r>
      <m:oMath>
        <m:r>
          <m:rPr>
            <m:sty m:val="p"/>
          </m:rPr>
          <m:t>∫</m:t>
        </m:r>
      </m:oMath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acumular el error con el tiempo</w:t>
      </w:r>
      <w:r>
        <w:t xml:space="preserve">. El término que lo contiene es la corrección</w:t>
      </w:r>
      <w:r>
        <w:t xml:space="preserve"> </w:t>
      </w:r>
      <w:r>
        <w:rPr>
          <w:b/>
          <w:bCs/>
        </w:rPr>
        <w:t xml:space="preserve">I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both"/>
      </w:pPr>
      <m:oMath>
        <m:r>
          <m:t>d</m:t>
        </m:r>
        <m:r>
          <m:t>e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qué tan rápido cambia el error</w:t>
      </w:r>
      <w:r>
        <w:t xml:space="preserve">. El último término es la corrección</w:t>
      </w:r>
      <w:r>
        <w:t xml:space="preserve"> </w:t>
      </w:r>
      <w:r>
        <w:rPr>
          <w:b/>
          <w:bCs/>
        </w:rPr>
        <w:t xml:space="preserve">D</w:t>
      </w:r>
      <w:r>
        <w:t xml:space="preserve">; al usar PI lo omitimos (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  <w:jc w:val="both"/>
      </w:pPr>
      <w:r>
        <w:t xml:space="preserve">Las constantes son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(ganancia),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(tiempo integral) y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(tiempo derivativo). Con el mismo error, un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mayor produce una corrección mayor. Con el mismo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t xml:space="preserve">, un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menor hace que la acción integral corrija más rápido. En algunos textos los tiempos aparecen como</w:t>
      </w:r>
      <w:r>
        <w:t xml:space="preserve"> </w:t>
      </w:r>
      <m:oMath>
        <m:sSub>
          <m:e>
            <m:r>
              <m:t>τ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τ</m:t>
            </m:r>
          </m:e>
          <m:sub>
            <m:r>
              <m:t>D</m:t>
            </m:r>
          </m:sub>
        </m:sSub>
      </m:oMath>
      <w:r>
        <w:t xml:space="preserve">: significan lo mismo.</w:t>
      </w:r>
    </w:p>
    <w:p>
      <w:pPr>
        <w:pStyle w:val="BodyText"/>
        <w:jc w:val="both"/>
      </w:pPr>
      <w:r>
        <w:t xml:space="preserve">Algunos controladores utilizan los coeficientes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de la forma paralela. Estos coeficientes no son los tiempos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. En esta práctica mantendremos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para la ganancia del proceso y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para la del controlador; después convertiremos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 la banda proporcional Xp que solicita Biostat.</w:t>
      </w:r>
    </w:p>
    <w:p>
      <w:pPr>
        <w:pStyle w:val="BodyText"/>
        <w:jc w:val="both"/>
      </w:pPr>
      <w:r>
        <w:t xml:space="preserve">Si la salida alcanza su límite y el error persiste, la acción integral puede seguir acumulándose. Esta acumulación, conocida como</w:t>
      </w:r>
      <w:r>
        <w:t xml:space="preserve"> </w:t>
      </w:r>
      <w:r>
        <w:rPr>
          <w:i/>
          <w:iCs/>
        </w:rPr>
        <w:t xml:space="preserve">windup</w:t>
      </w:r>
      <w:r>
        <w:t xml:space="preserve">, puede retrasar la recuperación cuando el proceso vuelve a una zona alcanzable. El instructor comprobará qué protección contra acumulación integral ofrece la configuración instalada.</w:t>
      </w:r>
    </w:p>
    <w:bookmarkEnd w:id="10"/>
    <w:bookmarkStart w:id="11" w:name="ajuste-de-los-parámetros-de-control"/>
    <w:p>
      <w:pPr>
        <w:pStyle w:val="Heading2"/>
        <w:jc w:val="both"/>
      </w:pPr>
      <w:r>
        <w:t xml:space="preserve">Ajuste de los parámetros de control</w:t>
      </w:r>
    </w:p>
    <w:p>
      <w:pPr>
        <w:pStyle w:val="FirstParagraph"/>
        <w:jc w:val="both"/>
      </w:pPr>
      <w:r>
        <w:rPr>
          <w:b/>
          <w:bCs/>
        </w:rPr>
        <w:t xml:space="preserve">Afinar</w:t>
      </w:r>
      <w:r>
        <w:t xml:space="preserve"> </w:t>
      </w:r>
      <w:r>
        <w:t xml:space="preserve">significa encontrar valores adecuados para esas constantes. Un ajuste demasiado intenso puede hacer que la agitación y el oxígeno oscilen; uno demasiado suave puede tardar demasiado en corregir. Buscamos una respuesta útil para el cultivo y el equipo.</w:t>
      </w:r>
    </w:p>
    <w:p>
      <w:pPr>
        <w:pStyle w:val="BodyText"/>
        <w:jc w:val="both"/>
      </w:pPr>
      <w:r>
        <w:t xml:space="preserve">Una forma de empezar es usar</w:t>
      </w:r>
      <w:r>
        <w:t xml:space="preserve"> </w:t>
      </w:r>
      <w:r>
        <w:rPr>
          <w:b/>
          <w:bCs/>
        </w:rPr>
        <w:t xml:space="preserve">métodos semiempíricos</w:t>
      </w:r>
      <w:r>
        <w:t xml:space="preserve">: reglas que otros ingenieros han desarrollado a lo largo de los años combinando modelos sencillos con observaciones de procesos reales. Medimos cómo responde nuestro reactor a un cambio conocido y usamos esa información en las reglas. El resultado es un ajuste inicial que después debemos comprobar en automático, no una garantía de comportamiento perfecto.</w:t>
      </w:r>
    </w:p>
    <w:p>
      <w:pPr>
        <w:pStyle w:val="BodyText"/>
        <w:jc w:val="both"/>
      </w:pPr>
      <w:r>
        <w:t xml:space="preserve">En esta práctica cambiaremos la agitación, observaremos el oxígeno, calcularemos un ajuste PI y comprobaremos cómo responde. Cada equipo usará una regla distinta para comparar los resultados.</w:t>
      </w:r>
    </w:p>
    <w:bookmarkEnd w:id="11"/>
    <w:bookmarkEnd w:id="12"/>
    <w:bookmarkStart w:id="13" w:name="objetivo-de-la-práctica"/>
    <w:p>
      <w:pPr>
        <w:pStyle w:val="Heading1"/>
        <w:jc w:val="both"/>
      </w:pPr>
      <w:r>
        <w:t xml:space="preserve">3. Objetivo de la práctica</w:t>
      </w:r>
    </w:p>
    <w:p>
      <w:pPr>
        <w:pStyle w:val="FirstParagraph"/>
        <w:jc w:val="both"/>
      </w:pPr>
      <w:r>
        <w:t xml:space="preserve">Obtener la curva de reacción del oxígeno disuelto (</w:t>
      </w:r>
      <m:oMath>
        <m:r>
          <m:t>p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) ante un escalón en la agitación, sacar de ella un modelo sencillo y usarlo para calcular los parámetros de un controlador PI con un método semiempírico. Después se comprueba en el equipo cómo responde el lazo cerrado. Participan 3 equipos de 6 personas, con 45 minutos como máximo por equipo. El aire se mantiene en 0.5 vvm (2.5 L/min para 5 L de líquido) en todas las etapas; vvm significa litros de gas por litro de líquido por minuto.</w:t>
      </w:r>
    </w:p>
    <w:p>
      <w:pPr>
        <w:pStyle w:val="BodyText"/>
        <w:jc w:val="both"/>
      </w:pPr>
      <w:r>
        <w:t xml:space="preserve">Cada equipo usa un método distinto y al final se comparan los tres:</w:t>
      </w:r>
    </w:p>
    <w:tbl>
      <w:tblPr>
        <w:tblStyle w:val="Table"/>
        <w:tblW w:type="pct" w:w="5000"/>
        <w:jc w:val="center"/>
        <w:tblBorders>
          <w:top w:val="single" w:sz="4" w:space="0" w:color="B7AFC6"/>
          <w:left w:val="single" w:sz="4" w:space="0" w:color="B7AFC6"/>
          <w:bottom w:val="single" w:sz="4" w:space="0" w:color="B7AFC6"/>
          <w:right w:val="single" w:sz="4" w:space="0" w:color="B7AFC6"/>
          <w:insideH w:val="single" w:sz="4" w:space="0" w:color="B7AFC6"/>
          <w:insideV w:val="single" w:sz="4" w:space="0" w:color="B7AFC6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/>
        </w:trPr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Equipo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Método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Idea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Ziegler-Nichols (curva de reacción)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Respuesta rápida; acepta oscilación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SIMC (Skogestad)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Busca un compromiso entre rapidez y suavidad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ITAE para perturbaciones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Busca reducir el error persistente ante perturbaciones</w:t>
            </w:r>
          </w:p>
        </w:tc>
      </w:tr>
    </w:tbl>
    <w:bookmarkEnd w:id="13"/>
    <w:bookmarkStart w:id="15" w:name="el-sistema"/>
    <w:p>
      <w:pPr>
        <w:pStyle w:val="Heading1"/>
        <w:jc w:val="both"/>
      </w:pPr>
      <w:r>
        <w:t xml:space="preserve">4. El sistema</w:t>
      </w:r>
    </w:p>
    <w:tbl>
      <w:tblPr>
        <w:tblStyle w:val="Table"/>
        <w:tblW w:type="pct" w:w="5000"/>
        <w:jc w:val="center"/>
        <w:tblBorders>
          <w:top w:val="single" w:sz="4" w:space="0" w:color="B7AFC6"/>
          <w:left w:val="single" w:sz="4" w:space="0" w:color="B7AFC6"/>
          <w:bottom w:val="single" w:sz="4" w:space="0" w:color="B7AFC6"/>
          <w:right w:val="single" w:sz="4" w:space="0" w:color="B7AFC6"/>
          <w:insideH w:val="single" w:sz="4" w:space="0" w:color="B7AFC6"/>
          <w:insideV w:val="single" w:sz="4" w:space="0" w:color="B7AFC6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/>
        </w:trPr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Parámetro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Valor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Volumen de trabajo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5 L de agua con 10 g/L de azúcar (50 g)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Biomasa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Levadura seca (</w:t>
            </w:r>
            <w:r>
              <w:rPr>
                <w:i/>
                <w:iCs/>
              </w:rPr>
              <w:t xml:space="preserve">S. cerevisiae</w:t>
            </w:r>
            <w:r>
              <w:t xml:space="preserve">), 3 g/L (15 g), inoculada ~20 min antes del primer equipo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Temperatura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30 °C (lazo de temperatura activo)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Aireación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0.5 vvm fijos (2.5 L/min; es el mínimo del equipo)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Agitación de reposo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200 rpm en modo manual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Escalón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200 → 500 rpm (</w:t>
            </w:r>
            <m:oMath>
              <m:r>
                <m:rPr>
                  <m:sty m:val="p"/>
                </m:rPr>
                <m:t>Δ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300</m:t>
              </m:r>
            </m:oMath>
            <w:r>
              <w:t xml:space="preserve"> </w:t>
            </w:r>
            <w:r>
              <w:t xml:space="preserve">rpm)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Cascada de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(solo agitador)</w:t>
            </w:r>
          </w:p>
        </w:tc>
        <w:tc>
          <w:tcPr/>
          <w:p>
            <w:pPr>
              <w:pStyle w:val="Compact"/>
              <w:jc w:val="both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rpm,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1200</m:t>
              </m:r>
            </m:oMath>
            <w:r>
              <w:t xml:space="preserve"> </w:t>
            </w:r>
            <w:r>
              <w:t xml:space="preserve">rpm →</w:t>
            </w:r>
            <w:r>
              <w:t xml:space="preserve"> </w:t>
            </w:r>
            <w:r>
              <w:rPr>
                <w:b/>
                <w:bCs/>
              </w:rPr>
              <w:t xml:space="preserve">Span = 1000 rpm</w:t>
            </w:r>
          </w:p>
        </w:tc>
      </w:tr>
    </w:tbl>
    <w:bookmarkStart w:id="14" w:name="transferencia-y-consumo-de-oxígeno"/>
    <w:p>
      <w:pPr>
        <w:pStyle w:val="Heading2"/>
        <w:jc w:val="both"/>
      </w:pPr>
      <w:r>
        <w:t xml:space="preserve">Transferencia y consumo de oxígeno</w:t>
      </w:r>
    </w:p>
    <w:p>
      <w:pPr>
        <w:pStyle w:val="FirstParagraph"/>
        <w:jc w:val="both"/>
      </w:pPr>
      <w:r>
        <w:t xml:space="preserve">El oxígeno que pasa del gas al líquido compite con el que consumen las levaduras. La velocidad volumétrica de transferencia de oxígeno puede expresarse como:</w:t>
      </w:r>
    </w:p>
    <w:p>
      <w:pPr>
        <w:pStyle w:val="BodyText"/>
        <w:keepNext w:val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O</m:t>
          </m:r>
          <m:r>
            <m:rPr>
              <m:sty m:val="p"/>
            </m:rPr>
            <m:t>T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L</m:t>
              </m:r>
            </m:sub>
          </m:sSub>
          <m:r>
            <m:t>a</m:t>
          </m:r>
          <m:r>
            <m:t> </m:t>
          </m:r>
          <m:r>
            <m:rPr>
              <m:sty m:val="p"/>
            </m:rPr>
            <m:t>(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  <w:jc w:val="both"/>
      </w:pPr>
      <w:r>
        <w:t xml:space="preserve">Aquí</w:t>
      </w:r>
      <w:r>
        <w:t xml:space="preserve"> </w:t>
      </w:r>
      <m:oMath>
        <m:sSub>
          <m:e>
            <m:r>
              <m:t>k</m:t>
            </m:r>
          </m:e>
          <m:sub>
            <m:r>
              <m:t>L</m:t>
            </m:r>
          </m:sub>
        </m:sSub>
        <m:r>
          <m:t>a</m:t>
        </m:r>
      </m:oMath>
      <w:r>
        <w:t xml:space="preserve"> </w:t>
      </w:r>
      <w:r>
        <w:t xml:space="preserve">es el coeficiente volumétrico de transferencia,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la concentración de oxígeno en equilibrio con el gas 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la concentración en el líquido. OTR es la sigla de la velocidad de transferencia de oxígeno. Si el volumen permanece constante y se considera un líquido bien mezclado, el balance simplificado es:</w:t>
      </w:r>
    </w:p>
    <w:p>
      <w:pPr>
        <w:pStyle w:val="BodyText"/>
        <w:keepNext w:val="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</m:t>
          </m:r>
          <m:r>
            <m:rPr>
              <m:sty m:val="p"/>
            </m:rPr>
            <m:t>T</m:t>
          </m:r>
          <m:r>
            <m:rPr>
              <m:sty m:val="p"/>
            </m:rPr>
            <m:t>R</m:t>
          </m:r>
          <m:r>
            <m:rPr>
              <m:sty m:val="p"/>
            </m:rPr>
            <m:t>−</m:t>
          </m:r>
          <m:r>
            <m:rPr>
              <m:sty m:val="p"/>
            </m:rPr>
            <m:t>O</m:t>
          </m:r>
          <m:r>
            <m:rPr>
              <m:sty m:val="p"/>
            </m:rPr>
            <m:t>U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  <w:jc w:val="both"/>
      </w:pPr>
      <w:r>
        <w:t xml:space="preserve">OUR es la velocidad volumétrica de consumo de oxígeno por las células. Cuando transferencia y consumo se igualan, la concentración se mantiene estable. Al aumentar la agitación se favorece la transferencia y el oxígeno disuelto puede subir hasta un nuevo equilibrio. Durante los pocos minutos de la medición suponemos que el consumo cambia poco. No necesitamos calcular</w:t>
      </w:r>
      <w:r>
        <w:t xml:space="preserve"> </w:t>
      </w:r>
      <m:oMath>
        <m:sSub>
          <m:e>
            <m:r>
              <m:t>k</m:t>
            </m:r>
          </m:e>
          <m:sub>
            <m:r>
              <m:t>L</m:t>
            </m:r>
          </m:sub>
        </m:sSub>
        <m:r>
          <m:t>a</m:t>
        </m:r>
      </m:oMath>
      <w:r>
        <w:t xml:space="preserve"> </w:t>
      </w:r>
      <w:r>
        <w:t xml:space="preserve">ni OUR para realizar la práctica.</w:t>
      </w:r>
    </w:p>
    <w:p>
      <w:pPr>
        <w:pStyle w:val="BodyText"/>
        <w:jc w:val="both"/>
      </w:pPr>
      <w:r>
        <w:t xml:space="preserve">En otros montajes también se puede actuar sobre el caudal de gas o su fracción de oxígeno. El caudal puede modificar la transferencia y la formación de espuma; el enriquecimiento cambia la concentración de equilibrio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 En este taller se modifica únicamente la agitación y se mantiene el aire fijo.</w:t>
      </w:r>
    </w:p>
    <w:bookmarkEnd w:id="14"/>
    <w:bookmarkEnd w:id="15"/>
    <w:bookmarkStart w:id="19" w:name="la-curva-de-reacción-del-proceso"/>
    <w:p>
      <w:pPr>
        <w:pStyle w:val="Heading1"/>
        <w:jc w:val="both"/>
      </w:pPr>
      <w:r>
        <w:t xml:space="preserve">5. La curva de reacción del proceso</w:t>
      </w:r>
    </w:p>
    <w:p>
      <w:pPr>
        <w:pStyle w:val="FirstParagraph"/>
        <w:jc w:val="both"/>
      </w:pPr>
      <w:r>
        <w:t xml:space="preserve">La curva de reacción es la respuesta de la variable controlada a un escalón en la variable manipulada con el controlador desconectado (lazo abierto, modo</w:t>
      </w:r>
      <w:r>
        <w:t xml:space="preserve"> </w:t>
      </w:r>
      <w:r>
        <w:rPr>
          <w:rStyle w:val="VerbatimChar"/>
        </w:rPr>
        <w:t xml:space="preserve">MAN</w:t>
      </w:r>
      <w:r>
        <w:t xml:space="preserve">). Muestra cuánto cambia la salida, cuánto tarda en empezar a cambiar y qué tan rápido llega a su nuevo valor. Ziegler y Nichols (1942) propusieron sintonizar controladores a partir de esta sola prueba, sin necesidad de un modelo teórico; por eso estos métodos se llaman</w:t>
      </w:r>
      <w:r>
        <w:t xml:space="preserve"> </w:t>
      </w:r>
      <w:r>
        <w:rPr>
          <w:i/>
          <w:iCs/>
        </w:rPr>
        <w:t xml:space="preserve">semiempíricos</w:t>
      </w:r>
      <w:r>
        <w:t xml:space="preserve">.</w:t>
      </w:r>
    </w:p>
    <w:p>
      <w:pPr>
        <w:pStyle w:val="BodyText"/>
        <w:jc w:val="both"/>
      </w:pPr>
      <w:r>
        <w:t xml:space="preserve">En esta práctica: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Variable manipulada (</w:t>
      </w:r>
      <m:oMath>
        <m:r>
          <m:t>u</m:t>
        </m:r>
      </m:oMath>
      <w:r>
        <w:t xml:space="preserve">): agitación, de 200 a 500 rpm.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Variable controlada (</w:t>
      </w:r>
      <m:oMath>
        <m:r>
          <m:t>y</m:t>
        </m:r>
      </m:oMath>
      <w:r>
        <w:t xml:space="preserve">):</w:t>
      </w:r>
      <w: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en % de saturación.</w:t>
      </w:r>
    </w:p>
    <w:p>
      <w:pPr>
        <w:pStyle w:val="CaptionedFigure"/>
        <w:keepNext/>
        <w:jc w:val="center"/>
      </w:pPr>
      <w:r>
        <w:drawing>
          <wp:inline>
            <wp:extent cx="5040000" cy="1791999"/>
            <wp:effectExtent b="0" l="0" r="0" t="0"/>
            <wp:docPr descr="Escalón de agitación: de 200 a 500 rpm en el instante cero" title="" id="17" name="Picture"/>
            <a:graphic>
              <a:graphicData uri="http://schemas.openxmlformats.org/drawingml/2006/picture">
                <pic:pic>
                  <pic:nvPicPr>
                    <pic:cNvPr descr="../figuras/04_escalon_agitacio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79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 w:val="0"/>
        <w:jc w:val="center"/>
      </w:pPr>
      <w:r>
        <w:t xml:space="preserve">Escalón de agitación: de 200 a 500 rpm en el instante cero</w:t>
      </w:r>
    </w:p>
    <w:p>
      <w:pPr>
        <w:pStyle w:val="BodyText"/>
        <w:jc w:val="both"/>
      </w:pPr>
      <w:r>
        <w:t xml:space="preserve">La línea vertical marca el cambio de agitación. Antes del instante cero mantenemos 200 rpm; después mantenemos 500 rpm mientras medimos el oxígeno. Este dibujo muestra el cambio que ordenamos en MAN; la respuesta del oxígeno se observa después.</w:t>
      </w:r>
    </w:p>
    <w:p>
      <w:pPr>
        <w:pStyle w:val="BodyText"/>
        <w:jc w:val="both"/>
      </w:pPr>
      <w:r>
        <w:t xml:space="preserve">Para que la curva sea útil: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El proceso debe estar estable antes del escalón (</w:t>
      </w:r>
      <m:oMath>
        <m:r>
          <m:t>p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estable).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Se hace un solo cambio, de golpe, y no se toca nada más.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Se espera hasta que la salida llegue a un nuevo valor estable.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El escalón debe ser lo bastante grande para verse claramente sobre el ruido, pero no tanto que el sistema salga de la zona de interés (aquí, entre ~65 y ~91 %).</w:t>
      </w:r>
    </w:p>
    <w:p>
      <w:pPr>
        <w:pStyle w:val="FirstParagraph"/>
        <w:jc w:val="both"/>
      </w:pPr>
      <w:r>
        <w:t xml:space="preserve">La curva se resume con un modelo de primer orden con tiempo muerto (FOPDT):</w:t>
      </w:r>
    </w:p>
    <w:p>
      <w:pPr>
        <w:pStyle w:val="BodyText"/>
        <w:jc w:val="both"/>
      </w:pPr>
      <w:r>
        <w:t xml:space="preserve">No hace falta usar una función de transferencia: para esta actividad basta describir la curva con tres números.</w:t>
      </w:r>
    </w:p>
    <w:p>
      <w:pPr>
        <w:pStyle w:val="Compact"/>
        <w:numPr>
          <w:ilvl w:val="0"/>
          <w:numId w:val="1004"/>
        </w:numPr>
        <w:jc w:val="both"/>
      </w:pP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(ganancia): cuánto cambia el</w:t>
      </w:r>
      <w: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por cada unidad de cambio en la agitación.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m:oMath>
        <m:r>
          <m:t>θ</m:t>
        </m:r>
      </m:oMath>
      <w:r>
        <w:t xml:space="preserve"> </w:t>
      </w:r>
      <w:r>
        <w:t xml:space="preserve">(tiempo muerto): lo que tarda la señal en empezar a moverse. Incluye el mezclado y la respuesta de la sonda.</w:t>
      </w:r>
    </w:p>
    <w:p>
      <w:pPr>
        <w:pStyle w:val="Compact"/>
        <w:numPr>
          <w:ilvl w:val="0"/>
          <w:numId w:val="1004"/>
        </w:numPr>
        <w:jc w:val="both"/>
      </w:pPr>
      <m:oMath>
        <m:r>
          <m:t>τ</m:t>
        </m:r>
      </m:oMath>
      <w:r>
        <w:t xml:space="preserve"> </w:t>
      </w:r>
      <w:r>
        <w:t xml:space="preserve">(constante de tiempo): una medida de la rapidez de la respuesta. En este modelo, tras el tiempo muerto, en un tiempo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 recorre aproximadamente el 63 % del cambio total; no significa que ya haya terminado.</w:t>
      </w:r>
    </w:p>
    <w:p>
      <w:pPr>
        <w:pStyle w:val="FirstParagraph"/>
        <w:jc w:val="both"/>
      </w:pPr>
      <w:r>
        <w:t xml:space="preserve">Para un escalón aplicado en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la respuesta del modelo después del tiempo muerto es:</w:t>
      </w:r>
    </w:p>
    <w:p>
      <w:pPr>
        <w:pStyle w:val="BodyText"/>
        <w:keepNext w:val="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y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τ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≥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θ</m:t>
          </m:r>
        </m:oMath>
      </m:oMathPara>
    </w:p>
    <w:p>
      <w:pPr>
        <w:pStyle w:val="FirstParagraph"/>
        <w:jc w:val="both"/>
      </w:pPr>
      <w:r>
        <w:t xml:space="preserve">Antes de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θ</m:t>
        </m:r>
      </m:oMath>
      <w:r>
        <w:t xml:space="preserve">, el modelo conserva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. Al transcurrir una constante de tiempo después del tiempo muerto,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θ</m:t>
        </m:r>
        <m:r>
          <m:rPr>
            <m:sty m:val="p"/>
          </m:rPr>
          <m:t>=</m:t>
        </m:r>
        <m:r>
          <m:t>τ</m:t>
        </m:r>
      </m:oMath>
      <w:r>
        <w:t xml:space="preserve">, la fracción recorrida es:</w:t>
      </w:r>
    </w:p>
    <w:p>
      <w:pPr>
        <w:pStyle w:val="BodyText"/>
        <w:keepNext w:val="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≈</m:t>
          </m:r>
          <m:r>
            <m:t>0.632</m:t>
          </m:r>
          <m:r>
            <m:rPr>
              <m:sty m:val="p"/>
            </m:rPr>
            <m:t>=</m:t>
          </m:r>
          <m:r>
            <m:t>63.2</m:t>
          </m:r>
          <m:r>
            <m:t> 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jc w:val="both"/>
      </w:pPr>
      <w:r>
        <w:t xml:space="preserve">Por eso el tiempo al 63.2 %, contado desde el escalón, es</w:t>
      </w:r>
      <w:r>
        <w:t xml:space="preserve"> </w:t>
      </w:r>
      <m:oMath>
        <m:sSub>
          <m:e>
            <m:r>
              <m:t>t</m:t>
            </m:r>
          </m:e>
          <m:sub>
            <m:r>
              <m:t>63</m:t>
            </m:r>
          </m:sub>
        </m:sSub>
        <m:r>
          <m:rPr>
            <m:sty m:val="p"/>
          </m:rPr>
          <m:t>=</m:t>
        </m:r>
        <m:r>
          <m:t>θ</m:t>
        </m:r>
        <m:r>
          <m:rPr>
            <m:sty m:val="p"/>
          </m:rPr>
          <m:t>+</m:t>
        </m:r>
        <m:r>
          <m:t>τ</m:t>
        </m:r>
      </m:oMath>
      <w:r>
        <w:t xml:space="preserve">. Se trata de un modelo de primer orden porque describe la dinámica mediante una primera derivada. En este caso, τ caracteriza la respuesta del proceso medido, incluyendo transferencia, mezcla y medición; no es la constante de tiempo de la sonda aislada.</w:t>
      </w:r>
    </w:p>
    <w:p>
      <w:pPr>
        <w:pStyle w:val="BodyText"/>
        <w:jc w:val="both"/>
      </w:pPr>
      <w:r>
        <w:t xml:space="preserve">Todos los equipos leen igual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. Lo que cambia entre métodos es cómo se leen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(sección 7).</w:t>
      </w:r>
    </w:p>
    <w:bookmarkEnd w:id="19"/>
    <w:bookmarkStart w:id="20" w:name="unidades-y-normalización-de-la-salida"/>
    <w:p>
      <w:pPr>
        <w:pStyle w:val="Heading1"/>
        <w:jc w:val="both"/>
      </w:pPr>
      <w:r>
        <w:t xml:space="preserve">6. Unidades y normalización de la salida</w:t>
      </w:r>
    </w:p>
    <w:p>
      <w:pPr>
        <w:pStyle w:val="FirstParagraph"/>
        <w:jc w:val="both"/>
      </w:pPr>
      <m:oMath>
        <m:r>
          <m:rPr>
            <m:sty m:val="p"/>
          </m:rPr>
          <m:t>Δ</m:t>
        </m:r>
      </m:oMath>
      <w:r>
        <w:t xml:space="preserve"> </w:t>
      </w:r>
      <w:r>
        <w:t xml:space="preserve">se lee «cambio»: valor final menos valor inicial. Por ejemplo, de 200 a 500 rpm,</w:t>
      </w:r>
      <w:r>
        <w:t xml:space="preserve"> </w:t>
      </w:r>
      <m:oMath>
        <m:r>
          <m:rPr>
            <m:sty m:val="p"/>
          </m:rPr>
          <m:t>Δ</m:t>
        </m:r>
        <m:r>
          <m:t>u</m:t>
        </m:r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rpm.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es la lectura inicial y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la lectura final estable; el subíndice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no implica esperar infinitamente.</w:t>
      </w:r>
    </w:p>
    <w:p>
      <w:pPr>
        <w:pStyle w:val="BodyText"/>
        <w:jc w:val="both"/>
      </w:pPr>
      <w:r>
        <w:t xml:space="preserve">La salida de Biostat va de 0 a 100 % y se traduce en 200 a 1200 rpm en la configuración de esta práctica. Por tanto, el intervalo o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es</w:t>
      </w:r>
      <w:r>
        <w:t xml:space="preserve"> </w:t>
      </w:r>
      <m:oMath>
        <m:r>
          <m:t>1200</m:t>
        </m:r>
        <m:r>
          <m:rPr>
            <m:sty m:val="p"/>
          </m:rPr>
          <m:t>−</m:t>
        </m:r>
        <m:r>
          <m:t>200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rpm. El escalón de 300 rpm equivale a 30 % de esa salida:</w:t>
      </w:r>
    </w:p>
    <w:p>
      <w:pPr>
        <w:pStyle w:val="BodyText"/>
        <w:keepNext w:val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u</m:t>
              </m:r>
            </m:e>
            <m:sub>
              <m:r>
                <m:rPr>
                  <m:sty m:val="p"/>
                </m:rPr>
                <m:t>%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u</m:t>
              </m:r>
            </m:num>
            <m:den>
              <m:r>
                <m:rPr>
                  <m:nor/>
                  <m:sty m:val="p"/>
                </m:rPr>
                <m:t>Span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t> </m:t>
          </m:r>
          <m:f>
            <m:fPr>
              <m:type m:val="bar"/>
            </m:fPr>
            <m:num>
              <m:r>
                <m:t>300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=</m:t>
          </m:r>
          <m:r>
            <m:t>30</m:t>
          </m:r>
          <m:r>
            <m:t> 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jc w:val="both"/>
      </w:pPr>
      <w:r>
        <w:t xml:space="preserve">Para usar las reglas de la siguiente sección calculamos:</w:t>
      </w:r>
    </w:p>
    <w:p>
      <w:pPr>
        <w:pStyle w:val="BodyText"/>
        <w:keepNext w:val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u</m:t>
                  </m:r>
                </m:e>
                <m:sub>
                  <m:r>
                    <m:rPr>
                      <m:sty m:val="p"/>
                    </m:rPr>
                    <m:t>%</m:t>
                  </m:r>
                </m:sub>
              </m:sSub>
            </m:den>
          </m:f>
        </m:oMath>
      </m:oMathPara>
    </w:p>
    <w:p>
      <w:pPr>
        <w:pStyle w:val="FirstParagraph"/>
        <w:jc w:val="both"/>
      </w:pPr>
      <w:r>
        <w:t xml:space="preserve">Esta ganancia describe</w:t>
      </w:r>
      <w:r>
        <w:t xml:space="preserve"> </w:t>
      </w:r>
      <w:r>
        <w:rPr>
          <w:b/>
          <w:bCs/>
        </w:rPr>
        <w:t xml:space="preserve">el proceso</w:t>
      </w:r>
      <w:r>
        <w:t xml:space="preserve">: cuánto cambia el oxígeno por cada punto porcentual de salida. No es la ganancia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b/>
          <w:bCs/>
        </w:rPr>
        <w:t xml:space="preserve">del controlador</w:t>
      </w:r>
      <w:r>
        <w:t xml:space="preserve">. Por ejemplo, si el oxígeno pasa de 65 a 90 %, el cambio es 25 puntos y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norm</m:t>
            </m:r>
          </m:sub>
        </m:sSub>
        <m:r>
          <m:rPr>
            <m:sty m:val="p"/>
          </m:rPr>
          <m:t>=</m:t>
        </m:r>
        <m:r>
          <m:t>25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=</m:t>
        </m:r>
        <m:r>
          <m:t>0.83</m:t>
        </m:r>
      </m:oMath>
      <w:r>
        <w:t xml:space="preserve">.</w:t>
      </w:r>
    </w:p>
    <w:p>
      <w:pPr>
        <w:pStyle w:val="BodyText"/>
        <w:jc w:val="both"/>
      </w:pPr>
      <w:r>
        <w:t xml:space="preserve">Usa segundos en todos los tiempos. Las reglas darán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norm</m:t>
            </m:r>
          </m:sub>
        </m:sSub>
      </m:oMath>
      <w:r>
        <w:t xml:space="preserve"> </w:t>
      </w:r>
      <w:r>
        <w:t xml:space="preserve">y el tiempo integral</w:t>
      </w:r>
      <w:r>
        <w:t xml:space="preserve"> </w:t>
      </w:r>
      <w:r>
        <w:rPr>
          <w:b/>
          <w:bCs/>
        </w:rPr>
        <w:t xml:space="preserve">TI</w:t>
      </w:r>
      <w:r>
        <w:t xml:space="preserve">; después convertiremos la ganancia al campo</w:t>
      </w:r>
      <w:r>
        <w:t xml:space="preserve"> </w:t>
      </w:r>
      <w:r>
        <w:rPr>
          <w:b/>
          <w:bCs/>
        </w:rPr>
        <w:t xml:space="preserve">Xp</w:t>
      </w:r>
      <w:r>
        <w:t xml:space="preserve"> </w:t>
      </w:r>
      <w:r>
        <w:t xml:space="preserve">de la pantalla, como explica la nota final.</w:t>
      </w:r>
    </w:p>
    <w:bookmarkEnd w:id="20"/>
    <w:bookmarkStart w:id="27" w:name="X731ff06b0b0e4c1c37d3694b1e10646f5a31ad7"/>
    <w:p>
      <w:pPr>
        <w:pStyle w:val="Heading1"/>
        <w:jc w:val="both"/>
      </w:pPr>
      <w:r>
        <w:t xml:space="preserve">7. Estimación del modelo y reglas de ajuste PI</w:t>
      </w:r>
    </w:p>
    <w:p>
      <w:pPr>
        <w:pStyle w:val="FirstParagraph"/>
        <w:jc w:val="both"/>
      </w:pPr>
      <w:r>
        <w:t xml:space="preserve">Para esta actividad asignamos a cada equipo una forma de estimar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τ</m:t>
        </m:r>
      </m:oMath>
      <w:r>
        <w:t xml:space="preserve">. SIMC e ITAE también pueden aplicarse a modelos obtenidos con otros procedimientos: esta elección es didáctica. Por tanto, la comparación incluye tanto la regla de ajuste como la lectura de la curva:</w:t>
      </w:r>
    </w:p>
    <w:p>
      <w:pPr>
        <w:pStyle w:val="CaptionedFigure"/>
        <w:keepNext/>
        <w:jc w:val="center"/>
      </w:pPr>
      <w:r>
        <w:drawing>
          <wp:inline>
            <wp:extent cx="4500000" cy="6120000"/>
            <wp:effectExtent b="0" l="0" r="0" t="0"/>
            <wp:docPr descr="Cómo lee la curva cada método" title="" id="22" name="Picture"/>
            <a:graphic>
              <a:graphicData uri="http://schemas.openxmlformats.org/drawingml/2006/picture">
                <pic:pic>
                  <pic:nvPicPr>
                    <pic:cNvPr descr="../figuras/12_B1.20261014.2_escalon2_criterios_vertical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0000" cy="612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 w:val="0"/>
        <w:jc w:val="center"/>
      </w:pPr>
      <w:r>
        <w:t xml:space="preserve">Cómo lee la curva cada método</w:t>
      </w:r>
    </w:p>
    <w:bookmarkStart w:id="24" w:name="equipo-1-ziegler-nichols-recta-tangente"/>
    <w:p>
      <w:pPr>
        <w:pStyle w:val="Heading2"/>
        <w:jc w:val="both"/>
      </w:pPr>
      <w:r>
        <w:t xml:space="preserve">Equipo 1: Ziegler-Nichols, recta tangente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Busca el tramo de</w:t>
      </w:r>
      <w:r>
        <w:t xml:space="preserve"> </w:t>
      </w:r>
      <w:r>
        <w:rPr>
          <w:b/>
          <w:bCs/>
        </w:rPr>
        <w:t xml:space="preserve">máxima pendiente</w:t>
      </w:r>
      <w:r>
        <w:t xml:space="preserve">: entre qué dos lecturas consecutivas subió más el</w:t>
      </w:r>
      <w: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Traza una recta por ese tramo y prolóngala hacia abajo hasta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 hacia arriba hasta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  <w:jc w:val="both"/>
      </w:pPr>
      <m:oMath>
        <m:r>
          <m:t>θ</m:t>
        </m:r>
      </m:oMath>
      <w:r>
        <w:t xml:space="preserve"> </w:t>
      </w:r>
      <w:r>
        <w:t xml:space="preserve">= tiempo desde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hasta donde la recta cruza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  <w:jc w:val="both"/>
      </w:pPr>
      <m:oMath>
        <m:r>
          <m:t>τ</m:t>
        </m:r>
      </m:oMath>
      <w:r>
        <w:t xml:space="preserve"> </w:t>
      </w:r>
      <w:r>
        <w:t xml:space="preserve">= tiempo entre el cruce con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 el cruce con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FirstParagraph"/>
        <w:keepNext w:val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norm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τ</m:t>
              </m:r>
            </m:num>
            <m:den>
              <m:r>
                <m:t>θ</m:t>
              </m:r>
            </m:den>
          </m:f>
          <m:r>
            <m:t>  </m:t>
          </m:r>
          <m:r>
            <m:t>  </m:t>
          </m:r>
          <m:r>
            <m:t>T</m:t>
          </m:r>
          <m:r>
            <m:t>I</m:t>
          </m:r>
          <m:r>
            <m:rPr>
              <m:sty m:val="p"/>
            </m:rPr>
            <m:t>=</m:t>
          </m:r>
          <m:r>
            <m:t>3.33</m:t>
          </m:r>
          <m:r>
            <m:t> </m:t>
          </m:r>
          <m:r>
            <m:t>θ</m:t>
          </m:r>
        </m:oMath>
      </m:oMathPara>
    </w:p>
    <w:bookmarkEnd w:id="24"/>
    <w:bookmarkStart w:id="25" w:name="X91add04d606666c6063d2363883c84b48842c8f"/>
    <w:p>
      <w:pPr>
        <w:pStyle w:val="Heading2"/>
        <w:jc w:val="both"/>
      </w:pPr>
      <w:r>
        <w:t xml:space="preserve">Equipo 2: SIMC, inicio de la respuesta y 63.2 %</w:t>
      </w:r>
    </w:p>
    <w:p>
      <w:pPr>
        <w:pStyle w:val="Compact"/>
        <w:numPr>
          <w:ilvl w:val="0"/>
          <w:numId w:val="1006"/>
        </w:numPr>
        <w:jc w:val="both"/>
      </w:pPr>
      <m:oMath>
        <m:r>
          <m:t>θ</m:t>
        </m:r>
      </m:oMath>
      <w:r>
        <w:t xml:space="preserve"> </w:t>
      </w:r>
      <w:r>
        <w:t xml:space="preserve">= tiempo desde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hasta la</w:t>
      </w:r>
      <w:r>
        <w:t xml:space="preserve"> </w:t>
      </w:r>
      <w:r>
        <w:rPr>
          <w:b/>
          <w:bCs/>
        </w:rPr>
        <w:t xml:space="preserve">primera lectura que sube 0.5 % o más sobre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(cuando la respuesta empieza a notarse).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Calcula</w:t>
      </w:r>
      <w:r>
        <w:t xml:space="preserve"> </w:t>
      </w:r>
      <m:oMath>
        <m:sSub>
          <m:e>
            <m:r>
              <m:t>y</m:t>
            </m:r>
          </m:e>
          <m:sub>
            <m:r>
              <m:t>63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0.632</m:t>
        </m:r>
        <m:r>
          <m:t> </m:t>
        </m:r>
        <m:r>
          <m:rPr>
            <m:sty m:val="p"/>
          </m:rPr>
          <m:t>Δ</m:t>
        </m:r>
        <m:r>
          <m:t>y</m:t>
        </m:r>
      </m:oMath>
      <w:r>
        <w:t xml:space="preserve"> </w:t>
      </w:r>
      <w:r>
        <w:t xml:space="preserve">y busca en qué tiempo</w:t>
      </w:r>
      <w:r>
        <w:t xml:space="preserve"> </w:t>
      </w:r>
      <m:oMath>
        <m:sSub>
          <m:e>
            <m:r>
              <m:t>t</m:t>
            </m:r>
          </m:e>
          <m:sub>
            <m:r>
              <m:t>63</m:t>
            </m:r>
          </m:sub>
        </m:sSub>
      </m:oMath>
      <w:r>
        <w:t xml:space="preserve"> </w:t>
      </w:r>
      <w:r>
        <w:t xml:space="preserve">se alcanza.</w:t>
      </w:r>
    </w:p>
    <w:p>
      <w:pPr>
        <w:pStyle w:val="Compact"/>
        <w:numPr>
          <w:ilvl w:val="0"/>
          <w:numId w:val="1006"/>
        </w:numPr>
        <w:jc w:val="both"/>
      </w:pPr>
      <m:oMath>
        <m:r>
          <m:t>τ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63</m:t>
            </m:r>
          </m:sub>
        </m:sSub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(con</w:t>
      </w:r>
      <w:r>
        <w:t xml:space="preserve"> </w:t>
      </w:r>
      <m:oMath>
        <m:sSub>
          <m:e>
            <m:r>
              <m:t>t</m:t>
            </m:r>
          </m:e>
          <m:sub>
            <m:r>
              <m:t>63</m:t>
            </m:r>
          </m:sub>
        </m:sSub>
      </m:oMath>
      <w:r>
        <w:t xml:space="preserve"> </w:t>
      </w:r>
      <w:r>
        <w:t xml:space="preserve">medido desde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).</w:t>
      </w:r>
    </w:p>
    <w:p>
      <w:pPr>
        <w:pStyle w:val="FirstParagraph"/>
        <w:keepNext w:val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norm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τ</m:t>
              </m:r>
            </m:num>
            <m:den>
              <m:r>
                <m:t>2</m:t>
              </m:r>
              <m:r>
                <m:t>θ</m:t>
              </m:r>
            </m:den>
          </m:f>
          <m:r>
            <m:t>  </m:t>
          </m:r>
          <m:r>
            <m:t>  </m:t>
          </m:r>
          <m:r>
            <m:t>T</m:t>
          </m:r>
          <m: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,</m:t>
          </m:r>
          <m:r>
            <m:t> </m:t>
          </m:r>
          <m:r>
            <m:t>8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jc w:val="both"/>
      </w:pPr>
      <w:r>
        <w:t xml:space="preserve">Aquí</w:t>
      </w:r>
      <w:r>
        <w:t xml:space="preserve"> </w:t>
      </w:r>
      <m:oMath>
        <m:r>
          <m:rPr>
            <m:sty m:val="p"/>
          </m:rPr>
          <m:t>min</m:t>
        </m:r>
      </m:oMath>
      <w:r>
        <w:t xml:space="preserve"> </w:t>
      </w:r>
      <w:r>
        <w:t xml:space="preserve">significa «elige el menor de los dos valores». Por ejemplo, si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70</m:t>
        </m:r>
      </m:oMath>
      <w:r>
        <w:t xml:space="preserve"> </w:t>
      </w:r>
      <w:r>
        <w:t xml:space="preserve">s y</w:t>
      </w:r>
      <w:r>
        <w:t xml:space="preserve"> </w:t>
      </w:r>
      <m:oMath>
        <m:r>
          <m:t>8</m:t>
        </m:r>
        <m:r>
          <m:t>θ</m:t>
        </m:r>
        <m:r>
          <m:rPr>
            <m:sty m:val="p"/>
          </m:rPr>
          <m:t>=</m:t>
        </m:r>
        <m:r>
          <m:t>160</m:t>
        </m:r>
      </m:oMath>
      <w:r>
        <w:t xml:space="preserve"> </w:t>
      </w:r>
      <w:r>
        <w:t xml:space="preserve">s, TI = 70 s.</w:t>
      </w:r>
    </w:p>
    <w:p>
      <w:pPr>
        <w:pStyle w:val="BodyText"/>
        <w:jc w:val="both"/>
      </w:pPr>
      <w:r>
        <w:t xml:space="preserve">(Es la regla SIMC con</w:t>
      </w:r>
      <w:r>
        <w:t xml:space="preserve"> </w:t>
      </w:r>
      <m:oMath>
        <m:sSub>
          <m:e>
            <m:r>
              <m:t>τ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θ</m:t>
        </m:r>
      </m:oMath>
      <w:r>
        <w:t xml:space="preserve">: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τ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b>
          <m:e>
            <m:r>
              <m:t>τ</m:t>
            </m:r>
          </m:e>
          <m:sub>
            <m:r>
              <m:t>c</m:t>
            </m:r>
          </m:sub>
        </m:sSub>
        <m:r>
          <m:rPr>
            <m:sty m:val="p"/>
          </m:rPr>
          <m:t>+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τ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(</m:t>
        </m:r>
        <m:sSub>
          <m:e>
            <m:r>
              <m:t>τ</m:t>
            </m:r>
          </m:e>
          <m:sub>
            <m:r>
              <m:t>c</m:t>
            </m:r>
          </m:sub>
        </m:sSub>
        <m:r>
          <m:rPr>
            <m:sty m:val="p"/>
          </m:rPr>
          <m:t>+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.)</w:t>
      </w:r>
    </w:p>
    <w:bookmarkEnd w:id="25"/>
    <w:bookmarkStart w:id="26" w:name="equipo-3-itae-dos-puntos-smith"/>
    <w:p>
      <w:pPr>
        <w:pStyle w:val="Heading2"/>
        <w:jc w:val="both"/>
      </w:pPr>
      <w:r>
        <w:t xml:space="preserve">Equipo 3: ITAE, dos puntos (Smith)</w:t>
      </w:r>
    </w:p>
    <w:p>
      <w:pPr>
        <w:pStyle w:val="FirstParagraph"/>
        <w:jc w:val="both"/>
      </w:pPr>
      <w:r>
        <w:t xml:space="preserve">ITAE da más peso al error que persiste con el tiempo. En las fórmulas siguientes, usa la tecla de potencia de la calculadora para los exponentes decimales; primero calcula el cociente</w:t>
      </w:r>
      <w:r>
        <w:t xml:space="preserve"> </w:t>
      </w:r>
      <m:oMath>
        <m:r>
          <m:t>θ</m:t>
        </m:r>
        <m:r>
          <m:rPr>
            <m:sty m:val="p"/>
          </m:rPr>
          <m:t>/</m:t>
        </m:r>
        <m:r>
          <m:t>τ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Calcula</w:t>
      </w:r>
      <w:r>
        <w:t xml:space="preserve"> </w:t>
      </w:r>
      <m:oMath>
        <m:sSub>
          <m:e>
            <m:r>
              <m:t>y</m:t>
            </m:r>
          </m:e>
          <m:sub>
            <m:r>
              <m:t>28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0.283</m:t>
        </m:r>
        <m:r>
          <m:t> </m:t>
        </m:r>
        <m:r>
          <m:rPr>
            <m:sty m:val="p"/>
          </m:rPr>
          <m:t>Δ</m:t>
        </m:r>
        <m:r>
          <m:t>y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y</m:t>
            </m:r>
          </m:e>
          <m:sub>
            <m:r>
              <m:t>63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0.632</m:t>
        </m:r>
        <m:r>
          <m:t> </m:t>
        </m:r>
        <m:r>
          <m:rPr>
            <m:sty m:val="p"/>
          </m:rPr>
          <m:t>Δ</m:t>
        </m:r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Busca los tiempos</w:t>
      </w:r>
      <w:r>
        <w:t xml:space="preserve"> </w:t>
      </w:r>
      <m:oMath>
        <m:sSub>
          <m:e>
            <m:r>
              <m:t>t</m:t>
            </m:r>
          </m:e>
          <m:sub>
            <m:r>
              <m:t>28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t</m:t>
            </m:r>
          </m:e>
          <m:sub>
            <m:r>
              <m:t>63</m:t>
            </m:r>
          </m:sub>
        </m:sSub>
      </m:oMath>
      <w:r>
        <w:t xml:space="preserve"> </w:t>
      </w:r>
      <w:r>
        <w:t xml:space="preserve">(medidos desde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7"/>
        </w:numPr>
        <w:jc w:val="both"/>
      </w:pPr>
      <m:oMath>
        <m:r>
          <m:t>τ</m:t>
        </m:r>
        <m:r>
          <m:rPr>
            <m:sty m:val="p"/>
          </m:rPr>
          <m:t>=</m:t>
        </m:r>
        <m:r>
          <m:t>1.5</m:t>
        </m:r>
        <m:r>
          <m:t> 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63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28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63</m:t>
            </m:r>
          </m:sub>
        </m:sSub>
        <m:r>
          <m:rPr>
            <m:sty m:val="p"/>
          </m:rPr>
          <m:t>−</m:t>
        </m:r>
        <m:r>
          <m:t>τ</m:t>
        </m:r>
      </m:oMath>
      <w:r>
        <w:t xml:space="preserve">.</w:t>
      </w:r>
    </w:p>
    <w:p>
      <w:pPr>
        <w:pStyle w:val="FirstParagraph"/>
        <w:keepNext w:val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0.859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norm</m:t>
                  </m:r>
                </m:sub>
              </m:sSub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τ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0.977</m:t>
              </m:r>
            </m:sup>
          </m:sSup>
          <m:r>
            <m:t>  </m:t>
          </m:r>
          <m:r>
            <m:t>  </m:t>
          </m:r>
          <m:r>
            <m:t>T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τ</m:t>
              </m:r>
            </m:num>
            <m:den>
              <m:r>
                <m:t>0.674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τ</m:t>
                      </m:r>
                    </m:den>
                  </m:f>
                </m:e>
              </m:d>
            </m:e>
            <m:sup>
              <m:r>
                <m:t>0.680</m:t>
              </m:r>
            </m:sup>
          </m:sSup>
        </m:oMath>
      </m:oMathPara>
    </w:p>
    <w:p>
      <w:pPr>
        <w:pStyle w:val="FirstParagraph"/>
        <w:jc w:val="both"/>
      </w:pPr>
      <w:r>
        <w:rPr>
          <w:b/>
          <w:bCs/>
        </w:rPr>
        <w:t xml:space="preserve">Antes de usar las reglas: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norm</m:t>
            </m:r>
          </m:sub>
        </m:sSub>
      </m:oMath>
      <w:r>
        <w:t xml:space="preserve">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deben ser positivos. Si el tiempo muerto parece cero o sale negativo, revisar la lectura con el instructor; no dividir entre cero.</w:t>
      </w:r>
    </w:p>
    <w:p>
      <w:pPr>
        <w:pStyle w:val="BodyText"/>
        <w:jc w:val="both"/>
      </w:pPr>
      <w:r>
        <w:rPr>
          <w:b/>
          <w:bCs/>
        </w:rPr>
        <w:t xml:space="preserve">En los tres casos:</w:t>
      </w:r>
      <w:r>
        <w:t xml:space="preserve"> </w:t>
      </w:r>
      <m:oMath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norm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TD = 0 s</w:t>
      </w:r>
      <w:r>
        <w:t xml:space="preserve">,</w:t>
      </w:r>
      <w:r>
        <w:t xml:space="preserve"> </w:t>
      </w:r>
      <w:r>
        <w:rPr>
          <w:b/>
          <w:bCs/>
        </w:rPr>
        <w:t xml:space="preserve">Deadband = 1.5 %</w:t>
      </w:r>
      <w:r>
        <w:t xml:space="preserve">. TD se deja en cero porque las burbujas meten ruido en la señal de pO₂ y la acción derivativa lo amplificaría.</w:t>
      </w:r>
    </w:p>
    <w:bookmarkEnd w:id="26"/>
    <w:bookmarkEnd w:id="27"/>
    <w:bookmarkStart w:id="29" w:name="conversión-de-parámetros-a-xp-ti-y-td"/>
    <w:p>
      <w:pPr>
        <w:pStyle w:val="Heading1"/>
        <w:jc w:val="both"/>
      </w:pPr>
      <w:r>
        <w:t xml:space="preserve">Conversión de parámetros a Xp, TI y TD</w:t>
      </w:r>
    </w:p>
    <w:p>
      <w:pPr>
        <w:pStyle w:val="FirstParagraph"/>
        <w:jc w:val="both"/>
      </w:pPr>
      <w:r>
        <w:t xml:space="preserve">En la configuración de esta práctica, la DCU pide</w:t>
      </w:r>
      <w:r>
        <w:t xml:space="preserve"> </w:t>
      </w:r>
      <w:r>
        <w:rPr>
          <w:b/>
          <w:bCs/>
        </w:rPr>
        <w:t xml:space="preserve">Xp, TI y TD</w:t>
      </w:r>
      <w:r>
        <w:t xml:space="preserve">. TI es el tiempo integral en segundos y TD el derivativo (aquí, 0 s).</w:t>
      </w:r>
      <w:r>
        <w:t xml:space="preserve"> </w:t>
      </w:r>
      <w:r>
        <w:rPr>
          <w:b/>
          <w:bCs/>
        </w:rPr>
        <w:t xml:space="preserve">Xp es la banda proporcional</w:t>
      </w:r>
      <w:r>
        <w:t xml:space="preserve">, por lo que no debemos escribir directamente la ganancia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en ese campo.</w:t>
      </w:r>
    </w:p>
    <w:p>
      <w:pPr>
        <w:pStyle w:val="BodyText"/>
        <w:jc w:val="both"/>
      </w:pPr>
      <w:r>
        <w:t xml:space="preserve">Las reglas de la sección 7 usan una salida normalizada de 0 a 100 %. Con el oxígeno expresado sobre una escala de 0 a 100 % de saturación:</w:t>
      </w:r>
    </w:p>
    <w:p>
      <w:pPr>
        <w:pStyle w:val="BodyText"/>
        <w:keepNext w:val="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norm</m:t>
                  </m:r>
                </m:sub>
              </m:sSub>
            </m:den>
          </m:f>
        </m:oMath>
      </m:oMathPara>
    </w:p>
    <w:p>
      <w:pPr>
        <w:pStyle w:val="FirstParagraph"/>
        <w:jc w:val="both"/>
      </w:pPr>
      <w:r>
        <w:t xml:space="preserve">Por ejemplo, si calculamos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norm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70</m:t>
        </m:r>
      </m:oMath>
      <w:r>
        <w:t xml:space="preserve"> </w:t>
      </w:r>
      <w:r>
        <w:t xml:space="preserve">s, introducimos</w:t>
      </w:r>
      <w:r>
        <w:t xml:space="preserve"> </w:t>
      </w:r>
      <w:r>
        <w:rPr>
          <w:b/>
          <w:bCs/>
        </w:rPr>
        <w:t xml:space="preserve">Xp = 40 %, TI = 70 s y TD = 0 s</w:t>
      </w:r>
      <w:r>
        <w:t xml:space="preserve">. Una banda Xp menor produce una corrección proporcional mayor. En ese ejemplo, un error de 4 puntos de oxígeno aporta una corrección P de 10 puntos de salida, equivalentes a 100 rpm con Span = 1000 rpm; la acción integral se suma a esa corrección.</w:t>
      </w:r>
    </w:p>
    <w:p>
      <w:pPr>
        <w:pStyle w:val="BodyText"/>
        <w:jc w:val="both"/>
      </w:pPr>
      <w:r>
        <w:t xml:space="preserve">Si el cálculo se hizo con la agitación en rpm, en vez de porcentajes, la ganancia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tendrá unidades de rpm por punto de oxígeno. En ese caso el atajo es</w:t>
      </w:r>
      <w:r>
        <w:t xml:space="preserve"> </w:t>
      </w:r>
      <m:oMath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Span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t xml:space="preserve">. No mezclar esa ganancia con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norm</m:t>
            </m:r>
          </m:sub>
        </m:sSub>
      </m:oMath>
      <w:r>
        <w:t xml:space="preserve">.</w:t>
      </w:r>
    </w:p>
    <w:p>
      <w:pPr>
        <w:pStyle w:val="BodyText"/>
        <w:jc w:val="both"/>
      </w:pPr>
      <w:r>
        <w:t xml:space="preserve">Antes de introducir valores, comprobar que la cascada usa solo agitación, sus límites reales y la escala de medición de oxígeno: si cambia el Span o la escala, cambia la conversión. La documentación de Sartorius describe</w:t>
      </w:r>
      <w:r>
        <w:t xml:space="preserve"> </w:t>
      </w:r>
      <w:hyperlink r:id="rId28">
        <w:r>
          <w:rPr>
            <w:rStyle w:val="Hyperlink"/>
          </w:rPr>
          <w:t xml:space="preserve">los campos XP, TI, TD y DEADB en sus controladores DCU</w:t>
        </w:r>
      </w:hyperlink>
      <w:r>
        <w:t xml:space="preserve">; los límites y la configuración concreta deben verificarse en el Biostat B de la actividad.</w:t>
      </w:r>
    </w:p>
    <w:bookmarkEnd w:id="29"/>
    <w:bookmarkStart w:id="30" w:name="organización-del-equipo"/>
    <w:p>
      <w:pPr>
        <w:pStyle w:val="Heading1"/>
        <w:jc w:val="both"/>
      </w:pPr>
      <w:r>
        <w:t xml:space="preserve">8. Organización del equipo</w:t>
      </w:r>
    </w:p>
    <w:p>
      <w:pPr>
        <w:pStyle w:val="Compact"/>
        <w:numPr>
          <w:ilvl w:val="0"/>
          <w:numId w:val="1008"/>
        </w:numPr>
        <w:jc w:val="both"/>
      </w:pPr>
      <w:r>
        <w:rPr>
          <w:b/>
          <w:bCs/>
        </w:rPr>
        <w:t xml:space="preserve">Operación:</w:t>
      </w:r>
      <w:r>
        <w:t xml:space="preserve"> </w:t>
      </w:r>
      <w:r>
        <w:t xml:space="preserve">cambia la agitación, introduce Xp/TI y cambia entre MAN y AUTO con el instructor.</w:t>
      </w:r>
    </w:p>
    <w:p>
      <w:pPr>
        <w:pStyle w:val="Compact"/>
        <w:numPr>
          <w:ilvl w:val="0"/>
          <w:numId w:val="1008"/>
        </w:numPr>
        <w:jc w:val="both"/>
      </w:pPr>
      <w:r>
        <w:rPr>
          <w:b/>
          <w:bCs/>
        </w:rPr>
        <w:t xml:space="preserve">Tiempo:</w:t>
      </w:r>
      <w:r>
        <w:t xml:space="preserve"> </w:t>
      </w:r>
      <w:r>
        <w:t xml:space="preserve">marca el instante del escalón (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) y anuncia cada lectura.</w:t>
      </w:r>
    </w:p>
    <w:p>
      <w:pPr>
        <w:pStyle w:val="Compact"/>
        <w:numPr>
          <w:ilvl w:val="0"/>
          <w:numId w:val="1008"/>
        </w:numPr>
        <w:jc w:val="both"/>
      </w:pPr>
      <w:r>
        <w:rPr>
          <w:b/>
          <w:bCs/>
        </w:rPr>
        <w:t xml:space="preserve">Registro:</w:t>
      </w:r>
      <w:r>
        <w:t xml:space="preserve"> </w:t>
      </w:r>
      <w:r>
        <w:t xml:space="preserve">anota oxígeno y rpm en la hoja de datos.</w:t>
      </w:r>
    </w:p>
    <w:p>
      <w:pPr>
        <w:pStyle w:val="Compact"/>
        <w:numPr>
          <w:ilvl w:val="0"/>
          <w:numId w:val="1008"/>
        </w:numPr>
        <w:jc w:val="both"/>
      </w:pPr>
      <w:r>
        <w:rPr>
          <w:b/>
          <w:bCs/>
        </w:rPr>
        <w:t xml:space="preserve">Gráfica:</w:t>
      </w:r>
      <w:r>
        <w:t xml:space="preserve"> </w:t>
      </w:r>
      <w:r>
        <w:t xml:space="preserve">representa los datos y localiza los puntos que requiere el método.</w:t>
      </w:r>
    </w:p>
    <w:p>
      <w:pPr>
        <w:pStyle w:val="Compact"/>
        <w:numPr>
          <w:ilvl w:val="0"/>
          <w:numId w:val="1008"/>
        </w:numPr>
        <w:jc w:val="both"/>
      </w:pPr>
      <w:r>
        <w:rPr>
          <w:b/>
          <w:bCs/>
        </w:rPr>
        <w:t xml:space="preserve">Cálculo:</w:t>
      </w:r>
      <w:r>
        <w:t xml:space="preserve"> </w:t>
      </w:r>
      <w:r>
        <w:t xml:space="preserve">obtiene las constantes con calculadora y las convierte a Xp y TI.</w:t>
      </w:r>
    </w:p>
    <w:p>
      <w:pPr>
        <w:pStyle w:val="Compact"/>
        <w:numPr>
          <w:ilvl w:val="0"/>
          <w:numId w:val="1008"/>
        </w:numPr>
        <w:jc w:val="both"/>
      </w:pPr>
      <w:r>
        <w:rPr>
          <w:b/>
          <w:bCs/>
        </w:rPr>
        <w:t xml:space="preserve">Verificación y comparación:</w:t>
      </w:r>
      <w:r>
        <w:t xml:space="preserve"> </w:t>
      </w:r>
      <w:r>
        <w:t xml:space="preserve">revisa unidades y cálculos, registra la respuesta en automático y comparte los resultados.</w:t>
      </w:r>
    </w:p>
    <w:bookmarkEnd w:id="30"/>
    <w:bookmarkStart w:id="31" w:name="procedimiento-máximo-45-min-por-equipo"/>
    <w:p>
      <w:pPr>
        <w:pStyle w:val="Heading1"/>
        <w:jc w:val="both"/>
      </w:pPr>
      <w:r>
        <w:t xml:space="preserve">9. Procedimiento (máximo 45 min por equipo)</w:t>
      </w:r>
    </w:p>
    <w:tbl>
      <w:tblPr>
        <w:tblStyle w:val="Table"/>
        <w:tblW w:type="pct" w:w="5000"/>
        <w:jc w:val="center"/>
        <w:tblBorders>
          <w:top w:val="single" w:sz="4" w:space="0" w:color="B7AFC6"/>
          <w:left w:val="single" w:sz="4" w:space="0" w:color="B7AFC6"/>
          <w:bottom w:val="single" w:sz="4" w:space="0" w:color="B7AFC6"/>
          <w:right w:val="single" w:sz="4" w:space="0" w:color="B7AFC6"/>
          <w:insideH w:val="single" w:sz="4" w:space="0" w:color="B7AFC6"/>
          <w:insideV w:val="single" w:sz="4" w:space="0" w:color="B7AFC6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/>
        </w:trPr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Min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Qué se hace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Agitador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0–7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Introducción y reparto de roles mientras el reactor se estabiliza.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MAN 200 rpm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Verificar pO₂ estable (cambio menor a 0.5 puntos en 1 min). Anotar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MAN 200 rpm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9–17</w:t>
            </w:r>
          </w:p>
        </w:tc>
        <w:tc>
          <w:tcPr/>
          <w:p>
            <w:pPr>
              <w:pStyle w:val="Compact"/>
              <w:jc w:val="both"/>
            </w:pPr>
            <w:r>
              <w:rPr>
                <w:b/>
                <w:bCs/>
              </w:rPr>
              <w:t xml:space="preserve">Escalón:</w:t>
            </w:r>
            <w:r>
              <w:t xml:space="preserve"> </w:t>
            </w:r>
            <w:r>
              <w:t xml:space="preserve">cambiar de 200 a 500 rpm y marcar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 Registrar pO₂ cada 10 s durante 3 min, luego cada 30 s hasta estabilizarse. Anotar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MAN 500 rpm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17–26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Graficar y calcular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norm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Xp y TI según el método del equipo.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MAN 500 rpm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26–28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Revisar cálculos y sentido de acción con el instructor. Introducir Xp y TI; TD = 0 s; Deadband = 1.5 %.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MAN 500 rpm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28–35</w:t>
            </w:r>
          </w:p>
        </w:tc>
        <w:tc>
          <w:tcPr/>
          <w:p>
            <w:pPr>
              <w:pStyle w:val="Compact"/>
              <w:jc w:val="both"/>
            </w:pPr>
            <w:r>
              <w:rPr>
                <w:b/>
                <w:bCs/>
              </w:rPr>
              <w:t xml:space="preserve">Prueba de setpoint:</w:t>
            </w:r>
            <w:r>
              <w:t xml:space="preserve"> </w:t>
            </w:r>
            <w:r>
              <w:t xml:space="preserve">pasar a AUTO con SP = 80 % si es alcanzable. Registrar pO₂ y rpm cada 15 s; observar mínimo, oscilación y tiempo de entrada en la banda 80 ± 1.5 %.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AUTO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35–40</w:t>
            </w:r>
          </w:p>
        </w:tc>
        <w:tc>
          <w:tcPr/>
          <w:p>
            <w:pPr>
              <w:pStyle w:val="Compact"/>
              <w:jc w:val="both"/>
            </w:pPr>
            <w:r>
              <w:rPr>
                <w:b/>
                <w:bCs/>
              </w:rPr>
              <w:t xml:space="preserve">Segundo cambio de setpoint:</w:t>
            </w:r>
            <w:r>
              <w:t xml:space="preserve"> </w:t>
            </w:r>
            <w:r>
              <w:t xml:space="preserve">si ya está estable, cambiar de 80 a 85 % solo si ambos valores son alcanzables. Registrar máximo y tiempo de entrada en 85 ± 1.5 %. Si no se estabilizó, continuar la primera observación.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AUTO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40–41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Regresar a MAN 200 rpm para iniciar la recuperación antes del siguiente equipo.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MAN 200 rpm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41–45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Completar la comparación y discutir resultados.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MAN 200 rpm</w:t>
            </w:r>
          </w:p>
        </w:tc>
      </w:tr>
    </w:tbl>
    <w:p>
      <w:pPr>
        <w:pStyle w:val="BodyText"/>
        <w:spacing w:before="160"/>
        <w:jc w:val="both"/>
      </w:pPr>
      <w:r>
        <w:t xml:space="preserve">Antes de activar AUTO, comprobar que un déficit de oxígeno produzca una acción que aumente la agitación. Con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S</m:t>
        </m:r>
        <m:r>
          <m:t>P</m:t>
        </m:r>
        <m:r>
          <m:rPr>
            <m:sty m:val="p"/>
          </m:rPr>
          <m:t>−</m:t>
        </m:r>
        <m:r>
          <m:t>y</m:t>
        </m:r>
      </m:oMath>
      <w:r>
        <w:t xml:space="preserve">, una lectura inferior al SP da un error positivo; el sentido de acción configurado debe corregirlo.</w:t>
      </w:r>
    </w:p>
    <w:p>
      <w:pPr>
        <w:pStyle w:val="BodyText"/>
        <w:jc w:val="both"/>
      </w:pPr>
      <w:r>
        <w:rPr>
          <w:b/>
          <w:bCs/>
        </w:rPr>
        <w:t xml:space="preserve">El aire permanece fijo a 0.5 vvm (2.5 L/min) durante toda la actividad.</w:t>
      </w:r>
      <w:r>
        <w:t xml:space="preserve"> </w:t>
      </w:r>
      <w:r>
        <w:t xml:space="preserve">El segundo cambio es una prueba de seguimiento de setpoint; no es una prueba de perturbación. El método ITAE se calcula con una regla diseñada para perturbaciones, pero aquí solo observamos su respuesta a cambios de setpoint.</w:t>
      </w:r>
    </w:p>
    <w:p>
      <w:pPr>
        <w:pStyle w:val="BodyText"/>
        <w:jc w:val="both"/>
      </w:pPr>
      <w:r>
        <w:rPr>
          <w:b/>
          <w:bCs/>
        </w:rPr>
        <w:t xml:space="preserve">¿Por qué 80 %?</w:t>
      </w:r>
      <w:r>
        <w:t xml:space="preserve"> </w:t>
      </w:r>
      <w:r>
        <w:t xml:space="preserve">En el piloto, a 200 rpm el oxígeno estaba cerca de 65 % y a 500 rpm cerca de 91 %. Por eso 80 % quedaba dentro del intervalo observado. Cada equipo debe verificar su propia curva: el cultivo cambia con el tiempo. No usar un setpoint fuera del intervalo observado para estas pruebas.</w:t>
      </w:r>
    </w:p>
    <w:p>
      <w:pPr>
        <w:pStyle w:val="BodyText"/>
        <w:jc w:val="both"/>
      </w:pPr>
      <w:r>
        <w:rPr>
          <w:b/>
          <w:bCs/>
        </w:rPr>
        <w:t xml:space="preserve">¿Qué significa 80 ± 1.5 %?</w:t>
      </w:r>
      <w:r>
        <w:t xml:space="preserve"> </w:t>
      </w:r>
      <w:r>
        <w:t xml:space="preserve">Una banda de observación de 78.5 a 81.5 % de saturación, es decir, ±1.5 puntos porcentuales. Se configura además Deadband = 1.5 %; el instructor debe comprobar cómo aplica esa zona muerta la versión de la DCU instalada.</w:t>
      </w:r>
    </w:p>
    <w:p>
      <w:pPr>
        <w:pStyle w:val="BodyText"/>
        <w:jc w:val="both"/>
      </w:pPr>
      <w:r>
        <w:rPr>
          <w:b/>
          <w:bCs/>
        </w:rPr>
        <w:t xml:space="preserve">Si falta tiempo o estabilidad:</w:t>
      </w:r>
      <w:r>
        <w:t xml:space="preserve"> </w:t>
      </w:r>
      <w:r>
        <w:t xml:space="preserve">no calcular a partir de una curva incompleta. El instructor puede proporcionar la curva del piloto para practicar los cálculos y señalar qué datos se usaron. Si una prueba no termina antes de su límite, registrar «no se estabilizó durante el tiempo observado». La recuperación a 200 rpm puede requerir más de 10 minutos: comprobarla antes del siguiente escalón, usando una pausa entre equipos si hace falta.</w:t>
      </w:r>
    </w:p>
    <w:bookmarkEnd w:id="31"/>
    <w:bookmarkStart w:id="32" w:name="hoja-de-datos"/>
    <w:p>
      <w:pPr>
        <w:pStyle w:val="Heading1"/>
        <w:pageBreakBefore/>
        <w:jc w:val="both"/>
      </w:pPr>
      <w:r>
        <w:t xml:space="preserve">10. Hoja de datos</w:t>
      </w:r>
    </w:p>
    <w:p>
      <w:pPr>
        <w:pStyle w:val="FirstParagraph"/>
        <w:jc w:val="both"/>
      </w:pPr>
      <w:r>
        <w:rPr>
          <w:b/>
          <w:bCs/>
        </w:rPr>
        <w:t xml:space="preserve">Equipo:</w:t>
      </w:r>
      <w:r>
        <w:t xml:space="preserve"> </w:t>
      </w:r>
      <w:r>
        <w:t xml:space="preserve">______</w:t>
      </w:r>
      <w:r>
        <w:t xml:space="preserve"> </w:t>
      </w:r>
      <w:r>
        <w:rPr>
          <w:b/>
          <w:bCs/>
        </w:rPr>
        <w:t xml:space="preserve">Método:</w:t>
      </w:r>
      <w:r>
        <w:t xml:space="preserve"> </w:t>
      </w:r>
      <w:r>
        <w:t xml:space="preserve">☐ Ziegler-Nichols ☐ SIMC ☐ ITAE</w:t>
      </w:r>
      <w:r>
        <w:t xml:space="preserve"> </w:t>
      </w:r>
      <w:r>
        <w:rPr>
          <w:b/>
          <w:bCs/>
        </w:rPr>
        <w:t xml:space="preserve">Hora del escalón (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):</w:t>
      </w:r>
      <w:r>
        <w:t xml:space="preserve"> </w:t>
      </w:r>
      <w:r>
        <w:t xml:space="preserve">________</w:t>
      </w:r>
    </w:p>
    <w:p>
      <w:pPr>
        <w:pStyle w:val="BodyText"/>
        <w:jc w:val="both"/>
      </w:pPr>
      <w:r>
        <w:rPr>
          <w:b/>
          <w:bCs/>
        </w:rPr>
        <w:t xml:space="preserve">Escalón</w:t>
      </w:r>
    </w:p>
    <w:tbl>
      <w:tblPr>
        <w:tblStyle w:val="Table"/>
        <w:tblW w:type="pct" w:w="5000"/>
        <w:jc w:val="center"/>
        <w:tblBorders>
          <w:top w:val="single" w:sz="4" w:space="0" w:color="B7AFC6"/>
          <w:left w:val="single" w:sz="4" w:space="0" w:color="B7AFC6"/>
          <w:bottom w:val="single" w:sz="4" w:space="0" w:color="B7AFC6"/>
          <w:right w:val="single" w:sz="4" w:space="0" w:color="B7AFC6"/>
          <w:insideH w:val="single" w:sz="4" w:space="0" w:color="B7AFC6"/>
          <w:insideV w:val="single" w:sz="4" w:space="0" w:color="B7AFC6"/>
        </w:tblBorders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/>
        </w:trPr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u₀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u₁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Δu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Span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Δu% = 100·Δu / Span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200 rpm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500 rpm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300 rpm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______ rpm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______ %</w:t>
            </w:r>
          </w:p>
        </w:tc>
      </w:tr>
    </w:tbl>
    <w:p>
      <w:pPr>
        <w:pStyle w:val="BodyText"/>
        <w:spacing w:before="160"/>
        <w:jc w:val="both"/>
      </w:pPr>
      <w:r>
        <w:rPr>
          <w:b/>
          <w:bCs/>
        </w:rPr>
        <w:t xml:space="preserve">Registro de pO₂</w:t>
      </w:r>
      <w:r>
        <w:t xml:space="preserve"> </w:t>
      </w:r>
      <w:r>
        <w:t xml:space="preserve">(t medido desde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)</w:t>
      </w:r>
    </w:p>
    <w:tbl>
      <w:tblPr>
        <w:tblStyle w:val="Table"/>
        <w:tblW w:type="pct" w:w="5000"/>
        <w:jc w:val="center"/>
        <w:tblBorders>
          <w:top w:val="single" w:sz="4" w:space="0" w:color="B7AFC6"/>
          <w:left w:val="single" w:sz="4" w:space="0" w:color="B7AFC6"/>
          <w:bottom w:val="single" w:sz="4" w:space="0" w:color="B7AFC6"/>
          <w:right w:val="single" w:sz="4" w:space="0" w:color="B7AFC6"/>
          <w:insideH w:val="single" w:sz="4" w:space="0" w:color="B7AFC6"/>
          <w:insideV w:val="single" w:sz="4" w:space="0" w:color="B7AFC6"/>
        </w:tblBorders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/>
        </w:trPr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t [s]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pO₂ [%]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t [s]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pO₂ [%]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t [s]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pO₂ [%]</w:t>
            </w: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−60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−30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390</w:t>
            </w: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450</w:t>
            </w:r>
          </w:p>
        </w:tc>
        <w:tc>
          <w:tcPr/>
          <w:p>
            <w:pPr>
              <w:pStyle w:val="Compact"/>
              <w:jc w:val="both"/>
            </w:pPr>
          </w:p>
        </w:tc>
      </w:tr>
    </w:tbl>
    <w:p>
      <w:pPr>
        <w:pStyle w:val="BodyText"/>
        <w:spacing w:before="160"/>
        <w:jc w:val="both"/>
      </w:pPr>
      <w:r>
        <w:rPr>
          <w:b/>
          <w:bCs/>
        </w:rPr>
        <w:t xml:space="preserve">Planta</w:t>
      </w:r>
    </w:p>
    <w:tbl>
      <w:tblPr>
        <w:tblStyle w:val="Table"/>
        <w:tblW w:type="pct" w:w="5000"/>
        <w:jc w:val="center"/>
        <w:tblBorders>
          <w:top w:val="single" w:sz="4" w:space="0" w:color="B7AFC6"/>
          <w:left w:val="single" w:sz="4" w:space="0" w:color="B7AFC6"/>
          <w:bottom w:val="single" w:sz="4" w:space="0" w:color="B7AFC6"/>
          <w:right w:val="single" w:sz="4" w:space="0" w:color="B7AFC6"/>
          <w:insideH w:val="single" w:sz="4" w:space="0" w:color="B7AFC6"/>
          <w:insideV w:val="single" w:sz="4" w:space="0" w:color="B7AFC6"/>
        </w:tblBorders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/>
        </w:trPr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y₀ [%]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y∞ [%]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Δy = y∞ − y₀ [%]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Kp,norm = Δy / Δu%</w:t>
            </w: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</w:tr>
    </w:tbl>
    <w:p>
      <w:pPr>
        <w:pStyle w:val="BodyText"/>
        <w:spacing w:before="160"/>
        <w:jc w:val="both"/>
      </w:pPr>
      <w:r>
        <w:rPr>
          <w:b/>
          <w:bCs/>
        </w:rPr>
        <w:t xml:space="preserve">Lectura de θ y τ</w:t>
      </w:r>
      <w:r>
        <w:t xml:space="preserve"> </w:t>
      </w:r>
      <w:r>
        <w:t xml:space="preserve">(llena solo la de tu método)</w:t>
      </w:r>
    </w:p>
    <w:tbl>
      <w:tblPr>
        <w:tblStyle w:val="Table"/>
        <w:tblW w:type="pct" w:w="5000"/>
        <w:jc w:val="center"/>
        <w:tblBorders>
          <w:top w:val="single" w:sz="4" w:space="0" w:color="B7AFC6"/>
          <w:left w:val="single" w:sz="4" w:space="0" w:color="B7AFC6"/>
          <w:bottom w:val="single" w:sz="4" w:space="0" w:color="B7AFC6"/>
          <w:right w:val="single" w:sz="4" w:space="0" w:color="B7AFC6"/>
          <w:insideH w:val="single" w:sz="4" w:space="0" w:color="B7AFC6"/>
          <w:insideV w:val="single" w:sz="4" w:space="0" w:color="B7AFC6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/>
        </w:trPr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Método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Lo que se lee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Valor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Ziegler-Nichols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Tramo de máxima pendiente (entre qué tiempos)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____ a ____ 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Cruce de la tangente con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→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both"/>
            </w:pPr>
            <w:r>
              <w:t xml:space="preserve">____ 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Cruce de la tangente con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  <w:r>
              <w:t xml:space="preserve"> </w:t>
            </w:r>
            <w:r>
              <w:t xml:space="preserve">→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= cruce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  <w:r>
              <w:t xml:space="preserve"> </w:t>
            </w:r>
            <w:r>
              <w:t xml:space="preserve">− cruce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both"/>
            </w:pPr>
            <w:r>
              <w:t xml:space="preserve">____ 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SIMC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Primera lectura ≥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+ 0.5 % →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both"/>
            </w:pPr>
            <w:r>
              <w:t xml:space="preserve">____ 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m:oMath>
              <m:sSub>
                <m:e>
                  <m:r>
                    <m:t>y</m:t>
                  </m:r>
                </m:e>
                <m:sub>
                  <m:r>
                    <m:t>63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0.632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y</m:t>
              </m:r>
            </m:oMath>
            <w:r>
              <w:t xml:space="preserve"> </w:t>
            </w:r>
            <w:r>
              <w:t xml:space="preserve">→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63</m:t>
                  </m:r>
                </m:sub>
              </m:sSub>
            </m:oMath>
          </w:p>
        </w:tc>
        <w:tc>
          <w:tcPr/>
          <w:p>
            <w:pPr>
              <w:pStyle w:val="Compact"/>
              <w:jc w:val="both"/>
            </w:pPr>
            <w:r>
              <w:t xml:space="preserve">____ % → ____ 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63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both"/>
            </w:pPr>
            <w:r>
              <w:t xml:space="preserve">____ 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ITAE</w:t>
            </w:r>
          </w:p>
        </w:tc>
        <w:tc>
          <w:tcPr/>
          <w:p>
            <w:pPr>
              <w:pStyle w:val="Compact"/>
              <w:jc w:val="both"/>
            </w:pPr>
            <m:oMath>
              <m:sSub>
                <m:e>
                  <m:r>
                    <m:t>y</m:t>
                  </m:r>
                </m:e>
                <m:sub>
                  <m:r>
                    <m:t>28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0.283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y</m:t>
              </m:r>
            </m:oMath>
            <w:r>
              <w:t xml:space="preserve"> </w:t>
            </w:r>
            <w:r>
              <w:t xml:space="preserve">→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28</m:t>
                  </m:r>
                </m:sub>
              </m:sSub>
            </m:oMath>
          </w:p>
        </w:tc>
        <w:tc>
          <w:tcPr/>
          <w:p>
            <w:pPr>
              <w:pStyle w:val="Compact"/>
              <w:jc w:val="both"/>
            </w:pPr>
            <w:r>
              <w:t xml:space="preserve">____ % → ____ 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m:oMath>
              <m:sSub>
                <m:e>
                  <m:r>
                    <m:t>y</m:t>
                  </m:r>
                </m:e>
                <m:sub>
                  <m:r>
                    <m:t>63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0.632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y</m:t>
              </m:r>
            </m:oMath>
            <w:r>
              <w:t xml:space="preserve"> </w:t>
            </w:r>
            <w:r>
              <w:t xml:space="preserve">→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63</m:t>
                  </m:r>
                </m:sub>
              </m:sSub>
            </m:oMath>
          </w:p>
        </w:tc>
        <w:tc>
          <w:tcPr/>
          <w:p>
            <w:pPr>
              <w:pStyle w:val="Compact"/>
              <w:jc w:val="both"/>
            </w:pPr>
            <w:r>
              <w:t xml:space="preserve">____ % → ____ 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63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28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63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τ</m:t>
              </m:r>
            </m:oMath>
          </w:p>
        </w:tc>
        <w:tc>
          <w:tcPr/>
          <w:p>
            <w:pPr>
              <w:pStyle w:val="Compact"/>
              <w:jc w:val="both"/>
            </w:pPr>
            <w:r>
              <w:t xml:space="preserve">τ = ____ s; θ = ____ s</w:t>
            </w:r>
          </w:p>
        </w:tc>
      </w:tr>
    </w:tbl>
    <w:p>
      <w:pPr>
        <w:pStyle w:val="BodyText"/>
        <w:spacing w:before="160"/>
        <w:jc w:val="both"/>
      </w:pPr>
      <w:r>
        <w:rPr>
          <w:b/>
          <w:bCs/>
        </w:rPr>
        <w:t xml:space="preserve">Sintonía para la DCU</w:t>
      </w:r>
    </w:p>
    <w:tbl>
      <w:tblPr>
        <w:tblStyle w:val="Table"/>
        <w:tblW w:type="pct" w:w="5000"/>
        <w:jc w:val="center"/>
        <w:tblBorders>
          <w:top w:val="single" w:sz="4" w:space="0" w:color="B7AFC6"/>
          <w:left w:val="single" w:sz="4" w:space="0" w:color="B7AFC6"/>
          <w:bottom w:val="single" w:sz="4" w:space="0" w:color="B7AFC6"/>
          <w:right w:val="single" w:sz="4" w:space="0" w:color="B7AFC6"/>
          <w:insideH w:val="single" w:sz="4" w:space="0" w:color="B7AFC6"/>
          <w:insideV w:val="single" w:sz="4" w:space="0" w:color="B7AFC6"/>
        </w:tblBorders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/>
        </w:trPr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Kc,norm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Xp = 100 / Kc,norm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TI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TD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Deadband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______ %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______ s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0 s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1.5 %</w:t>
            </w:r>
          </w:p>
        </w:tc>
      </w:tr>
    </w:tbl>
    <w:bookmarkEnd w:id="32"/>
    <w:bookmarkStart w:id="34" w:name="comparación-de-los-tres-equipos"/>
    <w:p>
      <w:pPr>
        <w:pStyle w:val="Heading1"/>
        <w:jc w:val="both"/>
      </w:pPr>
      <w:r>
        <w:t xml:space="preserve">11. Comparación de los tres equipos</w:t>
      </w:r>
    </w:p>
    <w:tbl>
      <w:tblPr>
        <w:tblStyle w:val="Table"/>
        <w:tblW w:type="pct" w:w="5000"/>
        <w:jc w:val="center"/>
        <w:tblBorders>
          <w:top w:val="single" w:sz="4" w:space="0" w:color="B7AFC6"/>
          <w:left w:val="single" w:sz="4" w:space="0" w:color="B7AFC6"/>
          <w:bottom w:val="single" w:sz="4" w:space="0" w:color="B7AFC6"/>
          <w:right w:val="single" w:sz="4" w:space="0" w:color="B7AFC6"/>
          <w:insideH w:val="single" w:sz="4" w:space="0" w:color="B7AFC6"/>
          <w:insideV w:val="single" w:sz="4" w:space="0" w:color="B7AFC6"/>
        </w:tblBorders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/>
        </w:trPr>
        <w:tc>
          <w:tcPr>
            <w:shd w:val="clear" w:color="auto" w:fill="4E2891"/>
          </w:tcPr>
          <w:p>
            <w:pPr>
              <w:pStyle w:val="Compact"/>
              <w:jc w:val="both"/>
            </w:pP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Equipo 1: Z-N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Equipo 2: SIMC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Equipo 3: ITAE</w:t>
            </w: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m:oMath>
              <m:r>
                <m:t>θ</m:t>
              </m:r>
            </m:oMath>
            <w:r>
              <w:t xml:space="preserve"> </w:t>
            </w:r>
            <w:r>
              <w:t xml:space="preserve">[s] /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[s] /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norm</m:t>
                  </m:r>
                </m:sub>
              </m:sSub>
            </m:oMath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Xp [%] / TI [s]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Setpoint: pO₂ mínimo al bajar a 80 %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Setpoint: tiempo para quedar en 80 ± 1.5 % [s]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¿Oscila la agitación?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Segundo setpoint: pO₂ máximo al subir a 85 % (si se realizó)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Segundo setpoint: tiempo para entrar en 85 ± 1.5 % [s]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Intervalo final observado de pO₂ y duración [%, s]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¿La agitación alcanzó 200 o 1200 rpm? Indicar duración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</w:tr>
    </w:tbl>
    <w:p>
      <w:pPr>
        <w:pStyle w:val="BodyText"/>
        <w:spacing w:before="160"/>
        <w:jc w:val="both"/>
      </w:pPr>
      <w:r>
        <w:t xml:space="preserve">La evaluación considera el mínimo por debajo de 80 % en la primera prueba y el máximo por encima de 85 % en la segunda, cuando se realice. Registrar también si las oscilaciones disminuyen, persisten o aumentan, y observar el oxígeno junto con las rpm. Una salida sostenida en un límite puede indicar que el setpoint no es alcanzable en esas condiciones.</w:t>
      </w:r>
    </w:p>
    <w:p>
      <w:pPr>
        <w:pStyle w:val="BodyText"/>
        <w:jc w:val="both"/>
      </w:pPr>
      <w:r>
        <w:t xml:space="preserve">El tiempo de establecimiento requiere entrada y permanencia en banda hasta el final del registro observado. Si el tiempo disponible no permite confirmarlo, anotarlo. La desviación final debe interpretarse junto con la banda de observación y la zona muerta; una lectura cercana a 79 % puede estar dentro de la banda alrededor de 80 %.</w:t>
      </w:r>
    </w:p>
    <w:bookmarkStart w:id="33" w:name="aplicación-a-cultivo-celular"/>
    <w:p>
      <w:pPr>
        <w:pStyle w:val="Heading2"/>
        <w:jc w:val="both"/>
      </w:pPr>
      <w:r>
        <w:t xml:space="preserve">Aplicación a cultivo celular</w:t>
      </w:r>
    </w:p>
    <w:p>
      <w:pPr>
        <w:pStyle w:val="FirstParagraph"/>
        <w:jc w:val="both"/>
      </w:pPr>
      <w:r>
        <w:t xml:space="preserve">En un cultivo CHO, la demanda de oxígeno puede cambiar con la biomasa y la etapa del cultivo. También cambian las propiedades del medio y los límites de agitación y aireación admisibles. Por ello, los parámetros obtenidos con levadura no se transfieren directamente a CHO. La interpretación debe considerar capacidad de transferencia, consumo, respuesta de la sonda, espuma y condiciones de mezcla.</w:t>
      </w:r>
    </w:p>
    <w:p>
      <w:pPr>
        <w:pStyle w:val="BodyText"/>
        <w:jc w:val="both"/>
      </w:pPr>
      <w:r>
        <w:t xml:space="preserve">En sistemas con varios actuadores, la secuencia de agitación, caudal y enriquecimiento depende de la configuración. Conviene distinguir el controlador principal de oxígeno de los lazos que regulan cada actuador y revisar sus límites e interacciones. Esta práctica utiliza únicamente la agitación.</w:t>
      </w:r>
    </w:p>
    <w:bookmarkEnd w:id="33"/>
    <w:bookmarkEnd w:id="34"/>
    <w:bookmarkStart w:id="35" w:name="preguntas-para-la-discusión"/>
    <w:p>
      <w:pPr>
        <w:pStyle w:val="Heading1"/>
        <w:jc w:val="both"/>
      </w:pPr>
      <w:r>
        <w:t xml:space="preserve">12. Preguntas para la discusión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Los tres equipos obtuvieron un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y un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ligeramente distintos de curvas casi iguales. ¿De dónde viene la diferencia? ¿Cuál de las tres lecturas es más sensible a un error al leer la gráfica?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Un equipo introduce por error su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norm</m:t>
            </m:r>
          </m:sub>
        </m:sSub>
      </m:oMath>
      <w:r>
        <w:t xml:space="preserve"> </w:t>
      </w:r>
      <w:r>
        <w:t xml:space="preserve">(por ejemplo 3) en el campo Xp. ¿El controlador queda más agresivo o más suave que lo calculado, y por cuánto?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Si alguien supone Span = 600 rpm (cascada de 200 a 800) cuando en realidad es 1000 rpm, ¿su Xp sale más grande o más chico? ¿El controlador queda más agresivo o más suave?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Con aire fijo solo probamos cambios de setpoint. ¿Por qué estas observaciones no bastan para concluir qué método rechaza mejor un cambio en el consumo de oxígeno?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Si en lugar de levadura fueran células animales sensibles al esfuerzo de corte y a la espuma, ¿qué método elegirías y por qué?</w:t>
      </w:r>
    </w:p>
    <w:bookmarkEnd w:id="35"/>
    <w:sectPr>
      <w:headerReference w:type="default" r:id="rId9"/>
      <w:footerReference w:type="default" r:id="rId10"/>
      <w:footnotePr>
        <w:numRestart w:val="eachSect"/>
      </w:footnotePr>
      <w:pgSz w:w="12240" w:h="15840"/>
      <w:pgMar w:left="1418" w:right="1418" w:top="1418" w:bottom="1418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color="C2B4E0" w:sz="6" w:space="6"/>
      </w:pBdr>
      <w:tabs>
        <w:tab w:val="right" w:pos="9404"/>
      </w:tabs>
    </w:pPr>
    <w:r>
      <w:rPr>
        <w:color w:val="7A6B95"/>
        <w:sz w:val="16"/>
        <w:szCs w:val="16"/>
      </w:rPr>
      <w:t xml:space="preserve">XI SLATCC 2026 · 2–5 de noviembre de 2026 · Cuernavaca</w:t>
    </w:r>
    <w:r>
      <w:rPr>
        <w:color w:val="7A6B95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color="C2B4E0" w:sz="6" w:space="6"/>
      </w:pBdr>
      <w:tabs>
        <w:tab w:val="right" w:pos="9404"/>
      </w:tabs>
    </w:pPr>
    <w:r>
      <w:drawing>
        <wp:inline distT="0" distB="0" distL="0" distR="0">
          <wp:extent cx="1266825" cy="3810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6825" cy="381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drawing>
        <wp:inline distT="0" distB="0" distL="0" distR="0">
          <wp:extent cx="1276350" cy="304800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2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76350" cy="304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cs="Arial" w:eastAsia="Arial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color w:val="1F1A2B"/>
      <w:sz w:val="22"/>
    </w:rPr>
  </w:style>
  <w:style w:styleId="BodyText" w:type="paragraph">
    <w:name w:val="Body Text"/>
    <w:basedOn w:val="Normal"/>
    <w:link w:val="BodyTextChar"/>
    <w:qFormat/>
    <w:pPr>
      <w:spacing w:after="120" w:before="0" w:line="276" w:lineRule="auto"/>
    </w:pPr>
    <w:rPr>
      <w:rFonts w:ascii="Arial" w:hAnsi="Arial" w:cs="Arial" w:eastAsia="Arial"/>
      <w:color w:val="1F1A2B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</w:pPr>
    <w:rPr>
      <w:rFonts w:ascii="Arial" w:hAnsi="Arial" w:cs="Arial" w:eastAsia="Arial"/>
      <w:color w:val="1F1A2B"/>
      <w:sz w:val="22"/>
    </w:rPr>
  </w:style>
  <w:style w:customStyle="1" w:styleId="Compact" w:type="paragraph">
    <w:name w:val="Compact"/>
    <w:basedOn w:val="BodyText"/>
    <w:qFormat/>
    <w:pPr>
      <w:spacing w:after="20" w:before="20" w:line="240" w:lineRule="auto"/>
    </w:pPr>
    <w:rPr>
      <w:rFonts w:ascii="Arial" w:hAnsi="Arial" w:cs="Arial" w:eastAsia="Arial"/>
      <w:color w:val="1F1A2B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 w:before="0"/>
      <w:contextualSpacing/>
      <w:jc w:val="left"/>
    </w:pPr>
    <w:rPr>
      <w:rFonts w:cstheme="majorBidi" w:ascii="Arial" w:hAnsi="Arial" w:cs="Arial" w:eastAsia="Arial"/>
      <w:b/>
      <w:i w:val="0"/>
      <w:color w:val="4E2891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cstheme="majorBidi" w:ascii="Arial" w:hAnsi="Arial" w:cs="Arial" w:eastAsia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ascii="Arial" w:hAnsi="Arial" w:cs="Arial" w:eastAsia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ascii="Arial" w:hAnsi="Arial" w:cs="Arial" w:eastAsia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Arial" w:hAnsi="Arial" w:cs="Arial" w:eastAsia="Arial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Arial" w:hAnsi="Arial" w:cs="Arial" w:eastAsia="Arial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rial" w:hAnsi="Arial" w:cs="Arial" w:eastAsia="Arial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Arial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20"/>
      <w:jc w:val="left"/>
      <w:outlineLvl w:val="0"/>
    </w:pPr>
    <w:rPr>
      <w:rFonts w:cstheme="majorBidi" w:ascii="Arial" w:hAnsi="Arial" w:cs="Arial" w:eastAsia="Arial"/>
      <w:b/>
      <w:i w:val="0"/>
      <w:color w:val="4E2891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jc w:val="left"/>
      <w:outlineLvl w:val="1"/>
    </w:pPr>
    <w:rPr>
      <w:rFonts w:cstheme="majorBidi" w:ascii="Arial" w:hAnsi="Arial" w:cs="Arial" w:eastAsia="Arial"/>
      <w:b/>
      <w:i w:val="0"/>
      <w:color w:val="BD2874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jc w:val="left"/>
      <w:outlineLvl w:val="2"/>
    </w:pPr>
    <w:rPr>
      <w:rFonts w:cstheme="majorBidi" w:ascii="Arial" w:hAnsi="Arial" w:cs="Arial" w:eastAsia="Arial"/>
      <w:b/>
      <w:i w:val="0"/>
      <w:color w:val="4E2891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ascii="Arial" w:hAnsi="Arial" w:cs="Arial" w:eastAsia="Arial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ascii="Arial" w:hAnsi="Arial" w:cs="Arial" w:eastAsia="Arial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ascii="Arial" w:hAnsi="Arial" w:cs="Arial" w:eastAsia="Arial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ascii="Arial" w:hAnsi="Arial" w:cs="Arial" w:eastAsia="Arial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ascii="Arial" w:hAnsi="Arial" w:cs="Arial" w:eastAsia="Arial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ascii="Arial" w:hAnsi="Arial" w:cs="Arial" w:eastAsia="Arial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cstheme="majorBidi" w:ascii="Arial" w:hAnsi="Arial" w:cs="Arial" w:eastAsia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cstheme="majorBidi" w:ascii="Arial" w:hAnsi="Arial" w:cs="Arial" w:eastAsia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ascii="Arial" w:hAnsi="Arial" w:cs="Arial" w:eastAsia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ascii="Arial" w:hAnsi="Arial" w:cs="Arial" w:eastAsia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ascii="Arial" w:hAnsi="Arial" w:cs="Arial" w:eastAsia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ascii="Arial" w:hAnsi="Arial" w:cs="Arial" w:eastAsia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ascii="Arial" w:hAnsi="Arial" w:cs="Arial" w:eastAsia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ascii="Arial" w:hAnsi="Arial" w:cs="Arial" w:eastAsia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ascii="Arial" w:hAnsi="Arial" w:cs="Arial" w:eastAsia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val="single" w:sz="18" w:space="8" w:color="BD2874"/>
      </w:pBdr>
      <w:spacing w:after="80" w:before="80"/>
      <w:ind w:firstLine="0" w:left="283" w:right="480"/>
    </w:pPr>
    <w:rPr>
      <w:rFonts w:ascii="Arial" w:hAnsi="Arial" w:cs="Arial" w:eastAsia="Arial"/>
      <w:i w:val="0"/>
      <w:color w:val="4A3A68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Arial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Arial"/>
    </w:rPr>
  </w:style>
  <w:style w:default="1" w:styleId="DefaultParagraphFont" w:type="character">
    <w:name w:val="Default Paragraph Font"/>
    <w:semiHidden/>
    <w:unhideWhenUsed/>
    <w:rPr>
      <w:rFonts w:ascii="Arial" w:hAnsi="Arial" w:cs="Arial" w:eastAsia="Arial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Arial"/>
      <w:b/>
    </w:rPr>
  </w:style>
  <w:style w:customStyle="1" w:styleId="Definition" w:type="paragraph">
    <w:name w:val="Definition"/>
    <w:basedOn w:val="Normal"/>
    <w:rPr>
      <w:rFonts w:ascii="Arial" w:hAnsi="Arial" w:cs="Arial" w:eastAsia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Arial"/>
      <w:i/>
      <w:color w:val="7A6B95"/>
      <w:sz w:val="18"/>
    </w:rPr>
  </w:style>
  <w:style w:customStyle="1" w:styleId="ImageCaption" w:type="paragraph">
    <w:name w:val="Image Caption"/>
    <w:basedOn w:val="Caption"/>
    <w:rPr>
      <w:rFonts w:ascii="Arial" w:hAnsi="Arial" w:cs="Arial" w:eastAsia="Arial"/>
      <w:i/>
      <w:color w:val="7A6B95"/>
      <w:sz w:val="18"/>
    </w:rPr>
  </w:style>
  <w:style w:customStyle="1" w:styleId="Figure" w:type="paragraph">
    <w:name w:val="Figure"/>
    <w:basedOn w:val="Normal"/>
    <w:rPr>
      <w:rFonts w:ascii="Arial" w:hAnsi="Arial" w:cs="Arial" w:eastAsia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Arial"/>
    </w:rPr>
  </w:style>
  <w:style w:customStyle="1" w:styleId="BodyTextChar" w:type="character">
    <w:name w:val="Body Text Char"/>
    <w:basedOn w:val="DefaultParagraphFont"/>
    <w:link w:val="BodyText"/>
    <w:rPr>
      <w:rFonts w:ascii="Arial" w:hAnsi="Arial" w:cs="Arial" w:eastAsia="Arial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  <w:rPr>
      <w:rFonts w:ascii="Arial" w:hAnsi="Arial" w:cs="Arial" w:eastAsia="Arial"/>
    </w:rPr>
  </w:style>
  <w:style w:styleId="FootnoteReference" w:type="character">
    <w:name w:val="Footnote Reference"/>
    <w:basedOn w:val="BodyTextChar"/>
    <w:rPr>
      <w:rFonts w:ascii="Arial" w:hAnsi="Arial" w:cs="Arial" w:eastAsia="Arial"/>
      <w:vertAlign w:val="superscript"/>
    </w:rPr>
  </w:style>
  <w:style w:styleId="Hyperlink" w:type="character">
    <w:name w:val="Hyperlink"/>
    <w:basedOn w:val="BodyTextChar"/>
    <w:rPr>
      <w:rFonts w:ascii="Arial" w:hAnsi="Arial" w:cs="Arial" w:eastAsia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cstheme="majorBidi" w:ascii="Arial" w:hAnsi="Arial" w:cs="Arial" w:eastAsia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ascii="Arial" w:hAnsi="Arial" w:cs="Arial" w:eastAsia="Arial"/>
      <w:b/>
      <w:color w:val="007020"/>
    </w:rPr>
  </w:style>
  <w:style w:type="character" w:customStyle="1" w:styleId="DataTypeTok">
    <w:name w:val="DataTypeTok"/>
    <w:basedOn w:val="VerbatimChar"/>
    <w:rPr>
      <w:rFonts w:ascii="Arial" w:hAnsi="Arial" w:cs="Arial" w:eastAsia="Arial"/>
      <w:color w:val="902000"/>
    </w:rPr>
  </w:style>
  <w:style w:type="character" w:customStyle="1" w:styleId="DecValTok">
    <w:name w:val="DecValTok"/>
    <w:basedOn w:val="VerbatimChar"/>
    <w:rPr>
      <w:rFonts w:ascii="Arial" w:hAnsi="Arial" w:cs="Arial" w:eastAsia="Arial"/>
      <w:color w:val="40a070"/>
    </w:rPr>
  </w:style>
  <w:style w:type="character" w:customStyle="1" w:styleId="BaseNTok">
    <w:name w:val="BaseNTok"/>
    <w:basedOn w:val="VerbatimChar"/>
    <w:rPr>
      <w:rFonts w:ascii="Arial" w:hAnsi="Arial" w:cs="Arial" w:eastAsia="Arial"/>
      <w:color w:val="40a070"/>
    </w:rPr>
  </w:style>
  <w:style w:type="character" w:customStyle="1" w:styleId="FloatTok">
    <w:name w:val="FloatTok"/>
    <w:basedOn w:val="VerbatimChar"/>
    <w:rPr>
      <w:rFonts w:ascii="Arial" w:hAnsi="Arial" w:cs="Arial" w:eastAsia="Arial"/>
      <w:color w:val="40a070"/>
    </w:rPr>
  </w:style>
  <w:style w:type="character" w:customStyle="1" w:styleId="ConstantTok">
    <w:name w:val="ConstantTok"/>
    <w:basedOn w:val="VerbatimChar"/>
    <w:rPr>
      <w:rFonts w:ascii="Arial" w:hAnsi="Arial" w:cs="Arial" w:eastAsia="Arial"/>
      <w:color w:val="880000"/>
    </w:rPr>
  </w:style>
  <w:style w:type="character" w:customStyle="1" w:styleId="CharTok">
    <w:name w:val="CharTok"/>
    <w:basedOn w:val="VerbatimChar"/>
    <w:rPr>
      <w:rFonts w:ascii="Arial" w:hAnsi="Arial" w:cs="Arial" w:eastAsia="Arial"/>
      <w:color w:val="4070a0"/>
    </w:rPr>
  </w:style>
  <w:style w:type="character" w:customStyle="1" w:styleId="SpecialCharTok">
    <w:name w:val="SpecialCharTok"/>
    <w:basedOn w:val="VerbatimChar"/>
    <w:rPr>
      <w:rFonts w:ascii="Arial" w:hAnsi="Arial" w:cs="Arial" w:eastAsia="Arial"/>
      <w:color w:val="4070a0"/>
    </w:rPr>
  </w:style>
  <w:style w:type="character" w:customStyle="1" w:styleId="StringTok">
    <w:name w:val="StringTok"/>
    <w:basedOn w:val="VerbatimChar"/>
    <w:rPr>
      <w:rFonts w:ascii="Arial" w:hAnsi="Arial" w:cs="Arial" w:eastAsia="Arial"/>
      <w:color w:val="4070a0"/>
    </w:rPr>
  </w:style>
  <w:style w:type="character" w:customStyle="1" w:styleId="VerbatimStringTok">
    <w:name w:val="VerbatimStringTok"/>
    <w:basedOn w:val="VerbatimChar"/>
    <w:rPr>
      <w:rFonts w:ascii="Arial" w:hAnsi="Arial" w:cs="Arial" w:eastAsia="Arial"/>
      <w:color w:val="4070a0"/>
    </w:rPr>
  </w:style>
  <w:style w:type="character" w:customStyle="1" w:styleId="SpecialStringTok">
    <w:name w:val="SpecialStringTok"/>
    <w:basedOn w:val="VerbatimChar"/>
    <w:rPr>
      <w:rFonts w:ascii="Arial" w:hAnsi="Arial" w:cs="Arial" w:eastAsia="Arial"/>
      <w:color w:val="bb6688"/>
    </w:rPr>
  </w:style>
  <w:style w:type="character" w:customStyle="1" w:styleId="ImportTok">
    <w:name w:val="ImportTok"/>
    <w:basedOn w:val="VerbatimChar"/>
    <w:rPr>
      <w:rFonts w:ascii="Arial" w:hAnsi="Arial" w:cs="Arial" w:eastAsia="Arial"/>
      <w:b/>
      <w:color w:val="008000"/>
    </w:rPr>
  </w:style>
  <w:style w:type="character" w:customStyle="1" w:styleId="CommentTok">
    <w:name w:val="CommentTok"/>
    <w:basedOn w:val="VerbatimChar"/>
    <w:rPr>
      <w:rFonts w:ascii="Arial" w:hAnsi="Arial" w:cs="Arial" w:eastAsia="Arial"/>
      <w:i/>
      <w:color w:val="60a0b0"/>
    </w:rPr>
  </w:style>
  <w:style w:type="character" w:customStyle="1" w:styleId="DocumentationTok">
    <w:name w:val="DocumentationTok"/>
    <w:basedOn w:val="VerbatimChar"/>
    <w:rPr>
      <w:rFonts w:ascii="Arial" w:hAnsi="Arial" w:cs="Arial" w:eastAsia="Arial"/>
      <w:i/>
      <w:color w:val="ba2121"/>
    </w:rPr>
  </w:style>
  <w:style w:type="character" w:customStyle="1" w:styleId="AnnotationTok">
    <w:name w:val="AnnotationTok"/>
    <w:basedOn w:val="VerbatimChar"/>
    <w:rPr>
      <w:rFonts w:ascii="Arial" w:hAnsi="Arial" w:cs="Arial" w:eastAsia="Arial"/>
      <w:b/>
      <w:i/>
      <w:color w:val="60a0b0"/>
    </w:rPr>
  </w:style>
  <w:style w:type="character" w:customStyle="1" w:styleId="CommentVarTok">
    <w:name w:val="CommentVarTok"/>
    <w:basedOn w:val="VerbatimChar"/>
    <w:rPr>
      <w:rFonts w:ascii="Arial" w:hAnsi="Arial" w:cs="Arial" w:eastAsia="Arial"/>
      <w:b/>
      <w:i/>
      <w:color w:val="60a0b0"/>
    </w:rPr>
  </w:style>
  <w:style w:type="character" w:customStyle="1" w:styleId="OtherTok">
    <w:name w:val="OtherTok"/>
    <w:basedOn w:val="VerbatimChar"/>
    <w:rPr>
      <w:rFonts w:ascii="Arial" w:hAnsi="Arial" w:cs="Arial" w:eastAsia="Arial"/>
      <w:color w:val="007020"/>
    </w:rPr>
  </w:style>
  <w:style w:type="character" w:customStyle="1" w:styleId="FunctionTok">
    <w:name w:val="FunctionTok"/>
    <w:basedOn w:val="VerbatimChar"/>
    <w:rPr>
      <w:rFonts w:ascii="Arial" w:hAnsi="Arial" w:cs="Arial" w:eastAsia="Arial"/>
      <w:color w:val="06287e"/>
    </w:rPr>
  </w:style>
  <w:style w:type="character" w:customStyle="1" w:styleId="VariableTok">
    <w:name w:val="VariableTok"/>
    <w:basedOn w:val="VerbatimChar"/>
    <w:rPr>
      <w:rFonts w:ascii="Arial" w:hAnsi="Arial" w:cs="Arial" w:eastAsia="Arial"/>
      <w:color w:val="19177c"/>
    </w:rPr>
  </w:style>
  <w:style w:type="character" w:customStyle="1" w:styleId="ControlFlowTok">
    <w:name w:val="ControlFlowTok"/>
    <w:basedOn w:val="VerbatimChar"/>
    <w:rPr>
      <w:rFonts w:ascii="Arial" w:hAnsi="Arial" w:cs="Arial" w:eastAsia="Arial"/>
      <w:b/>
      <w:color w:val="007020"/>
    </w:rPr>
  </w:style>
  <w:style w:type="character" w:customStyle="1" w:styleId="OperatorTok">
    <w:name w:val="OperatorTok"/>
    <w:basedOn w:val="VerbatimChar"/>
    <w:rPr>
      <w:rFonts w:ascii="Arial" w:hAnsi="Arial" w:cs="Arial" w:eastAsia="Arial"/>
      <w:color w:val="666666"/>
    </w:rPr>
  </w:style>
  <w:style w:type="character" w:customStyle="1" w:styleId="BuiltInTok">
    <w:name w:val="BuiltInTok"/>
    <w:basedOn w:val="VerbatimChar"/>
    <w:rPr>
      <w:rFonts w:ascii="Arial" w:hAnsi="Arial" w:cs="Arial" w:eastAsia="Arial"/>
      <w:color w:val="008000"/>
    </w:rPr>
  </w:style>
  <w:style w:type="character" w:customStyle="1" w:styleId="ExtensionTok">
    <w:name w:val="ExtensionTok"/>
    <w:basedOn w:val="VerbatimChar"/>
    <w:rPr>
      <w:rFonts w:ascii="Arial" w:hAnsi="Arial" w:cs="Arial" w:eastAsia="Arial"/>
    </w:rPr>
  </w:style>
  <w:style w:type="character" w:customStyle="1" w:styleId="PreprocessorTok">
    <w:name w:val="PreprocessorTok"/>
    <w:basedOn w:val="VerbatimChar"/>
    <w:rPr>
      <w:rFonts w:ascii="Arial" w:hAnsi="Arial" w:cs="Arial" w:eastAsia="Arial"/>
      <w:color w:val="bc7a00"/>
    </w:rPr>
  </w:style>
  <w:style w:type="character" w:customStyle="1" w:styleId="AttributeTok">
    <w:name w:val="AttributeTok"/>
    <w:basedOn w:val="VerbatimChar"/>
    <w:rPr>
      <w:rFonts w:ascii="Arial" w:hAnsi="Arial" w:cs="Arial" w:eastAsia="Arial"/>
      <w:color w:val="7d9029"/>
    </w:rPr>
  </w:style>
  <w:style w:type="character" w:customStyle="1" w:styleId="RegionMarkerTok">
    <w:name w:val="RegionMarkerTok"/>
    <w:basedOn w:val="VerbatimChar"/>
    <w:rPr>
      <w:rFonts w:ascii="Arial" w:hAnsi="Arial" w:cs="Arial" w:eastAsia="Arial"/>
    </w:rPr>
  </w:style>
  <w:style w:type="character" w:customStyle="1" w:styleId="InformationTok">
    <w:name w:val="InformationTok"/>
    <w:basedOn w:val="VerbatimChar"/>
    <w:rPr>
      <w:rFonts w:ascii="Arial" w:hAnsi="Arial" w:cs="Arial" w:eastAsia="Arial"/>
      <w:b/>
      <w:i/>
      <w:color w:val="60a0b0"/>
    </w:rPr>
  </w:style>
  <w:style w:type="character" w:customStyle="1" w:styleId="WarningTok">
    <w:name w:val="WarningTok"/>
    <w:basedOn w:val="VerbatimChar"/>
    <w:rPr>
      <w:rFonts w:ascii="Arial" w:hAnsi="Arial" w:cs="Arial" w:eastAsia="Arial"/>
      <w:b/>
      <w:i/>
      <w:color w:val="60a0b0"/>
    </w:rPr>
  </w:style>
  <w:style w:type="character" w:customStyle="1" w:styleId="AlertTok">
    <w:name w:val="AlertTok"/>
    <w:basedOn w:val="VerbatimChar"/>
    <w:rPr>
      <w:rFonts w:ascii="Arial" w:hAnsi="Arial" w:cs="Arial" w:eastAsia="Arial"/>
      <w:b/>
      <w:color w:val="ff0000"/>
    </w:rPr>
  </w:style>
  <w:style w:type="character" w:customStyle="1" w:styleId="ErrorTok">
    <w:name w:val="ErrorTok"/>
    <w:basedOn w:val="VerbatimChar"/>
    <w:rPr>
      <w:rFonts w:ascii="Arial" w:hAnsi="Arial" w:cs="Arial" w:eastAsia="Arial"/>
      <w:b/>
      <w:color w:val="ff0000"/>
    </w:rPr>
  </w:style>
  <w:style w:type="character" w:customStyle="1" w:styleId="NormalTok">
    <w:name w:val="NormalTok"/>
    <w:basedOn w:val="VerbatimChar"/>
    <w:rPr>
      <w:rFonts w:ascii="Arial" w:hAnsi="Arial" w:cs="Arial" w:eastAsia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21" Type="http://schemas.openxmlformats.org/officeDocument/2006/relationships/image" Target="media/rId21.png"/><Relationship Id="rId28" Type="http://schemas.openxmlformats.org/officeDocument/2006/relationships/hyperlink" Target="https://www.sartorius.com/download/10106/biostat-d-dcu-customer-presentation-v2-data.pdf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https://www.sartorius.com/download/10106/biostat-d-dcu-customer-presentation-v2-data.pdf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2d2685079f2d65bab66a058cff9ce624d12f2845.png"/><Relationship Id="rId2" Type="http://schemas.openxmlformats.org/officeDocument/2006/relationships/image" Target="media/a4f4a5ba47589821d1a1505255da96e172e363a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Afinación del control de oxígeno disuelto en un biorreactor</dc:title>
  <dc:creator/>
  <cp:keywords/>
  <dcterms:created xsi:type="dcterms:W3CDTF">2026-10-24T05:59:24Z</dcterms:created>
  <dcterms:modified xsi:type="dcterms:W3CDTF">2026-10-24T05:59:24Z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r">
    <vt:lpwstr>Octavio T. Ramírez · Emiliano Balderas · Instituto de Biotecnología, UNAM</vt:lpwstr>
  </property>
</Properties>
</file>