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Tiempo de respuesta de los sensores de pH y oxígeno disuelto</w:t>
      </w:r>
    </w:p>
    <w:p>
      <w:pPr>
        <w:spacing w:after="60"/>
        <w:jc w:val="both"/>
      </w:pPr>
      <w:r>
        <w:rPr>
          <w:color w:val="4A3A68"/>
          <w:sz w:val="24"/>
          <w:szCs w:val="24"/>
        </w:rPr>
        <w:t xml:space="preserve">Octavio T. Ramírez · Emiliano Balderas · Instituto de Biotecnología, UNAM</w:t>
      </w:r>
    </w:p>
    <w:p>
      <w:pPr>
        <w:spacing w:after="360"/>
        <w:jc w:val="both"/>
      </w:pPr>
      <w:r>
        <w:rPr>
          <w:color w:val="7A6B95"/>
          <w:sz w:val="20"/>
          <w:szCs w:val="20"/>
        </w:rPr>
        <w:t xml:space="preserve">CATCC 2026. Curso Latinoamericano de Tecnología de Cultivos Celulares</w:t>
      </w:r>
    </w:p>
    <w:p>
      <w:pPr>
        <w:pStyle w:val="FirstParagraph"/>
        <w:jc w:val="both"/>
      </w:pPr>
      <w:r>
        <w:rPr>
          <w:b/>
          <w:bCs/>
        </w:rPr>
        <w:t xml:space="preserve">Taller:</w:t>
      </w:r>
      <w:r>
        <w:t xml:space="preserve"> </w:t>
      </w:r>
      <w:r>
        <w:t xml:space="preserve">Caracterización de sensores para bioprocesos</w:t>
      </w:r>
    </w:p>
    <w:p>
      <w:pPr>
        <w:pStyle w:val="BodyText"/>
        <w:jc w:val="both"/>
      </w:pPr>
      <w:r>
        <w:rPr>
          <w:b/>
          <w:bCs/>
        </w:rPr>
        <w:t xml:space="preserve">Duración:</w:t>
      </w:r>
      <w:r>
        <w:t xml:space="preserve"> </w:t>
      </w:r>
      <w:r>
        <w:t xml:space="preserve">máximo 45 min por equipo; 3 equipos de 6 personas, de forma sucesiva.</w:t>
      </w:r>
    </w:p>
    <w:p>
      <w:pPr>
        <w:pStyle w:val="BodyText"/>
        <w:jc w:val="both"/>
      </w:pPr>
      <w:r>
        <w:rPr>
          <w:b/>
          <w:bCs/>
        </w:rPr>
        <w:t xml:space="preserve">Equipo:</w:t>
      </w:r>
      <w:r>
        <w:t xml:space="preserve"> </w:t>
      </w:r>
      <w:r>
        <w:t xml:space="preserve">sondas conectadas a Biostat, dos buffers de pH y dos soluciones con diferente contenido de oxígeno.</w:t>
      </w:r>
    </w:p>
    <w:bookmarkStart w:id="9" w:name="respuesta-dinámica-de-los-sensores"/>
    <w:p>
      <w:pPr>
        <w:pStyle w:val="Heading1"/>
        <w:jc w:val="both"/>
      </w:pPr>
      <w:r>
        <w:t xml:space="preserve">1. Respuesta dinámica de los sensores</w:t>
      </w:r>
    </w:p>
    <w:p>
      <w:pPr>
        <w:pStyle w:val="FirstParagraph"/>
        <w:jc w:val="both"/>
      </w:pPr>
      <w:r>
        <w:t xml:space="preserve">En un cultivo, el pH y el oxígeno disuelto influyen en el entorno de las células. Para conocerlos usamos sensores, pero su lectura no cambia de manera instantánea cuando cambia el medio. La sonda necesita tiempo para responder y el equipo puede añadir procesamiento o filtrado a la señal.</w:t>
      </w:r>
    </w:p>
    <w:p>
      <w:pPr>
        <w:pStyle w:val="BodyText"/>
        <w:jc w:val="both"/>
      </w:pPr>
      <w:r>
        <w:rPr>
          <w:b/>
          <w:bCs/>
        </w:rPr>
        <w:t xml:space="preserve">Calibrar y medir el tiempo de respuesta son tareas distintas.</w:t>
      </w:r>
      <w:r>
        <w:t xml:space="preserve"> </w:t>
      </w:r>
      <w:r>
        <w:t xml:space="preserve">La calibración relaciona la señal con valores conocidos. La prueba de respuesta observa cuánto tarda la lectura en reflejar un cambio. Una sonda puede estar calibrada y responder lentamente.</w:t>
      </w:r>
    </w:p>
    <w:bookmarkEnd w:id="9"/>
    <w:bookmarkStart w:id="16" w:name="conceptos-fundamentales"/>
    <w:p>
      <w:pPr>
        <w:pStyle w:val="Heading1"/>
        <w:jc w:val="both"/>
      </w:pPr>
      <w:r>
        <w:t xml:space="preserve">2. Conceptos fundamentales</w:t>
      </w:r>
    </w:p>
    <w:bookmarkStart w:id="13" w:name="tiempo-de-respuesta"/>
    <w:p>
      <w:pPr>
        <w:pStyle w:val="Heading2"/>
        <w:jc w:val="both"/>
      </w:pPr>
      <w:r>
        <w:t xml:space="preserve">2.1. Tiempo de respuesta</w:t>
      </w:r>
    </w:p>
    <w:p>
      <w:pPr>
        <w:pStyle w:val="FirstParagraph"/>
        <w:jc w:val="both"/>
      </w:pPr>
      <w:r>
        <w:t xml:space="preserve">El tiempo de respuesta es el intervalo que necesita un sensor para registrar un cambio de una variable hasta alcanzar un porcentaje especificado de su cambio total.</w:t>
      </w:r>
    </w:p>
    <w:p>
      <w:pPr>
        <w:pStyle w:val="BodyText"/>
        <w:jc w:val="both"/>
      </w:pPr>
      <w:r>
        <w:t xml:space="preserve">En instrumentación de procesos se utiliza habitualmente el tiempo de respuesta del 90 %, t₉₀, definido como el tiempo que tarda la lectura en completar el 90 % del cambio entre su valor inicial y su valor final.</w:t>
      </w:r>
    </w:p>
    <w:p>
      <w:pPr>
        <w:pStyle w:val="CaptionedFigure"/>
        <w:keepNext/>
        <w:jc w:val="center"/>
      </w:pPr>
      <w:r>
        <w:drawing>
          <wp:inline>
            <wp:extent cx="5040000" cy="3227864"/>
            <wp:effectExtent b="0" l="0" r="0" t="0"/>
            <wp:docPr descr="Respuesta a un cambio escalonado (súbito) de la variable medida. Respuesta dinámica ilustrativa normalizada de primer orden tras un cambio tipo escalón." title="" id="11" name="Picture"/>
            <a:graphic>
              <a:graphicData uri="http://schemas.openxmlformats.org/drawingml/2006/picture">
                <pic:pic>
                  <pic:nvPicPr>
                    <pic:cNvPr descr="../figuras/01_respuesta_didactica.png" id="12" name="Picture"/>
                    <pic:cNvPicPr>
                      <a:picLocks noChangeArrowheads="1" noChangeAspect="1"/>
                    </pic:cNvPicPr>
                  </pic:nvPicPr>
                  <pic:blipFill>
                    <a:blip r:embed="rId10"/>
                    <a:stretch>
                      <a:fillRect/>
                    </a:stretch>
                  </pic:blipFill>
                  <pic:spPr bwMode="auto">
                    <a:xfrm>
                      <a:off x="0" y="0"/>
                      <a:ext cx="5040000" cy="3227864"/>
                    </a:xfrm>
                    <a:prstGeom prst="rect">
                      <a:avLst/>
                    </a:prstGeom>
                    <a:noFill/>
                    <a:ln w="9525">
                      <a:noFill/>
                      <a:headEnd/>
                      <a:tailEnd/>
                    </a:ln>
                  </pic:spPr>
                </pic:pic>
              </a:graphicData>
            </a:graphic>
          </wp:inline>
        </w:drawing>
      </w:r>
    </w:p>
    <w:p>
      <w:pPr>
        <w:pStyle w:val="ImageCaption"/>
        <w:keepNext w:val="0"/>
        <w:jc w:val="center"/>
      </w:pPr>
      <w:r>
        <w:t xml:space="preserve">Respuesta a un cambio escalonado (súbito) de la variable medida. Respuesta dinámica ilustrativa normalizada de primer orden tras un cambio tipo escalón.</w:t>
      </w:r>
    </w:p>
    <w:p>
      <w:pPr>
        <w:pStyle w:val="BodyText"/>
        <w:jc w:val="both"/>
      </w:pPr>
      <w:r>
        <w:t xml:space="preserve">Si el cambio total es de 0 a 100 %, el t₉₀ es el tiempo en que la lectura llega a 90 % del cambio total. La curva es ilustrativa y no representa datos de un electrodo específico.</w:t>
      </w:r>
    </w:p>
    <w:p>
      <w:pPr>
        <w:pStyle w:val="BodyText"/>
        <w:keepNext/>
        <w:jc w:val="both"/>
      </w:pPr>
      <w:r>
        <w:t xml:space="preserve">Para cualquier variable X, la respuesta normalizada puede expresarse como:</w:t>
      </w:r>
    </w:p>
    <w:p>
      <w:pPr>
        <w:pStyle w:val="BodyText"/>
        <w:keepNext w:val="0"/>
        <w:jc w:val="center"/>
      </w:pPr>
      <m:oMathPara>
        <m:oMathParaPr>
          <m:jc m:val="center"/>
        </m:oMathParaPr>
        <m:oMath>
          <m:r>
            <m:t>R</m:t>
          </m:r>
          <m:r>
            <m:rPr>
              <m:sty m:val="p"/>
            </m:rPr>
            <m:t>(</m:t>
          </m:r>
          <m:r>
            <m:t>t</m:t>
          </m:r>
          <m:r>
            <m:rPr>
              <m:sty m:val="p"/>
            </m:rPr>
            <m:t>)</m:t>
          </m:r>
          <m:r>
            <m:rPr>
              <m:sty m:val="p"/>
            </m:rPr>
            <m:t>=</m:t>
          </m:r>
          <m:f>
            <m:fPr>
              <m:type m:val="bar"/>
            </m:fPr>
            <m:num>
              <m:r>
                <m:t>X</m:t>
              </m:r>
              <m:r>
                <m:rPr>
                  <m:sty m:val="p"/>
                </m:rPr>
                <m:t>(</m:t>
              </m:r>
              <m:r>
                <m:t>t</m:t>
              </m:r>
              <m:r>
                <m:rPr>
                  <m:sty m:val="p"/>
                </m:rPr>
                <m:t>)</m:t>
              </m:r>
              <m:r>
                <m:rPr>
                  <m:sty m:val="p"/>
                </m:rPr>
                <m:t>−</m:t>
              </m:r>
              <m:sSub>
                <m:e>
                  <m:r>
                    <m:t>X</m:t>
                  </m:r>
                </m:e>
                <m:sub>
                  <m:r>
                    <m:t>0</m:t>
                  </m:r>
                </m:sub>
              </m:sSub>
            </m:num>
            <m:den>
              <m:sSub>
                <m:e>
                  <m:r>
                    <m:t>X</m:t>
                  </m:r>
                </m:e>
                <m:sub>
                  <m:r>
                    <m:t>f</m:t>
                  </m:r>
                </m:sub>
              </m:sSub>
              <m:r>
                <m:rPr>
                  <m:sty m:val="p"/>
                </m:rPr>
                <m:t>−</m:t>
              </m:r>
              <m:sSub>
                <m:e>
                  <m:r>
                    <m:t>X</m:t>
                  </m:r>
                </m:e>
                <m:sub>
                  <m:r>
                    <m:t>0</m:t>
                  </m:r>
                </m:sub>
              </m:sSub>
            </m:den>
          </m:f>
          <m:r>
            <m:rPr>
              <m:sty m:val="p"/>
            </m:rPr>
            <m:t>×</m:t>
          </m:r>
          <m:r>
            <m:t>100</m:t>
          </m:r>
        </m:oMath>
      </m:oMathPara>
    </w:p>
    <w:p>
      <w:pPr>
        <w:pStyle w:val="FirstParagraph"/>
        <w:jc w:val="both"/>
      </w:pPr>
      <w:r>
        <w:t xml:space="preserve">Donde:</w:t>
      </w:r>
    </w:p>
    <w:p>
      <w:pPr>
        <w:pStyle w:val="Compact"/>
        <w:numPr>
          <w:ilvl w:val="0"/>
          <w:numId w:val="1001"/>
        </w:numPr>
        <w:jc w:val="both"/>
      </w:pPr>
      <m:oMath>
        <m:sSub>
          <m:e>
            <m:r>
              <m:t>X</m:t>
            </m:r>
          </m:e>
          <m:sub>
            <m:r>
              <m:t>0</m:t>
            </m:r>
          </m:sub>
        </m:sSub>
      </m:oMath>
      <w:r>
        <w:t xml:space="preserve">: lectura inicial estable.</w:t>
      </w:r>
    </w:p>
    <w:p>
      <w:pPr>
        <w:pStyle w:val="Compact"/>
        <w:numPr>
          <w:ilvl w:val="0"/>
          <w:numId w:val="1001"/>
        </w:numPr>
        <w:jc w:val="both"/>
      </w:pPr>
      <m:oMath>
        <m:sSub>
          <m:e>
            <m:r>
              <m:t>X</m:t>
            </m:r>
          </m:e>
          <m:sub>
            <m:r>
              <m:t>f</m:t>
            </m:r>
          </m:sub>
        </m:sSub>
      </m:oMath>
      <w:r>
        <w:t xml:space="preserve">: lectura final estable.</w:t>
      </w:r>
    </w:p>
    <w:p>
      <w:pPr>
        <w:pStyle w:val="Compact"/>
        <w:numPr>
          <w:ilvl w:val="0"/>
          <w:numId w:val="1001"/>
        </w:numPr>
        <w:jc w:val="both"/>
      </w:pPr>
      <m:oMath>
        <m:r>
          <m:t>X</m:t>
        </m:r>
        <m:r>
          <m:rPr>
            <m:sty m:val="p"/>
          </m:rPr>
          <m:t>(</m:t>
        </m:r>
        <m:r>
          <m:t>t</m:t>
        </m:r>
        <m:r>
          <m:rPr>
            <m:sty m:val="p"/>
          </m:rPr>
          <m:t>)</m:t>
        </m:r>
      </m:oMath>
      <w:r>
        <w:t xml:space="preserve">: lectura en el instante t.</w:t>
      </w:r>
    </w:p>
    <w:p>
      <w:pPr>
        <w:pStyle w:val="FirstParagraph"/>
        <w:jc w:val="both"/>
      </w:pPr>
      <w:r>
        <w:t xml:space="preserve">El tiempo de respuesta t₉₀ corresponde al primer instante en que</w:t>
      </w:r>
      <w:r>
        <w:t xml:space="preserve"> </w:t>
      </w:r>
      <m:oMath>
        <m:r>
          <m:t>R</m:t>
        </m:r>
        <m:r>
          <m:rPr>
            <m:sty m:val="p"/>
          </m:rPr>
          <m:t>(</m:t>
        </m:r>
        <m:r>
          <m:t>t</m:t>
        </m:r>
        <m:r>
          <m:rPr>
            <m:sty m:val="p"/>
          </m:rPr>
          <m:t>)</m:t>
        </m:r>
        <m:r>
          <m:rPr>
            <m:sty m:val="p"/>
          </m:rPr>
          <m:t>=</m:t>
        </m:r>
        <m:r>
          <m:t>90</m:t>
        </m:r>
        <m:r>
          <m:t> </m:t>
        </m:r>
        <m:r>
          <m:rPr>
            <m:sty m:val="p"/>
          </m:rPr>
          <m:t>%</m:t>
        </m:r>
      </m:oMath>
      <w:r>
        <w:t xml:space="preserve">.</w:t>
      </w:r>
    </w:p>
    <w:p>
      <w:pPr>
        <w:pStyle w:val="BodyText"/>
        <w:jc w:val="both"/>
      </w:pPr>
      <w:r>
        <w:t xml:space="preserve">Esta definición funciona tanto para aumentos como para disminuciones, siempre que el cambio total sea distinto de cero.</w:t>
      </w:r>
    </w:p>
    <w:bookmarkEnd w:id="13"/>
    <w:bookmarkStart w:id="15" w:name="modelo-de-primer-orden"/>
    <w:p>
      <w:pPr>
        <w:pStyle w:val="Heading2"/>
        <w:jc w:val="both"/>
      </w:pPr>
      <w:r>
        <w:t xml:space="preserve">2.2. Modelo de primer orden</w:t>
      </w:r>
    </w:p>
    <w:p>
      <w:pPr>
        <w:pStyle w:val="FirstParagraph"/>
        <w:keepNext/>
        <w:jc w:val="both"/>
      </w:pPr>
      <w:r>
        <w:t xml:space="preserve">Muchos sensores pueden aproximarse mediante un modelo de primer orden:</w:t>
      </w:r>
    </w:p>
    <w:p>
      <w:pPr>
        <w:pStyle w:val="BodyText"/>
        <w:keepNext w:val="0"/>
        <w:jc w:val="center"/>
      </w:pPr>
      <m:oMathPara>
        <m:oMathParaPr>
          <m:jc m:val="center"/>
        </m:oMathParaPr>
        <m:oMath>
          <m:r>
            <m:t>X</m:t>
          </m:r>
          <m:r>
            <m:rPr>
              <m:sty m:val="p"/>
            </m:rPr>
            <m:t>(</m:t>
          </m:r>
          <m:r>
            <m:t>t</m:t>
          </m:r>
          <m:r>
            <m:rPr>
              <m:sty m:val="p"/>
            </m:rPr>
            <m:t>)</m:t>
          </m:r>
          <m:r>
            <m:rPr>
              <m:sty m:val="p"/>
            </m:rPr>
            <m:t>=</m:t>
          </m:r>
          <m:sSub>
            <m:e>
              <m:r>
                <m:t>X</m:t>
              </m:r>
            </m:e>
            <m:sub>
              <m:r>
                <m:t>f</m:t>
              </m:r>
            </m:sub>
          </m:sSub>
          <m:r>
            <m:rPr>
              <m:sty m:val="p"/>
            </m:rPr>
            <m:t>+</m:t>
          </m:r>
          <m:r>
            <m:rPr>
              <m:sty m:val="p"/>
            </m:rPr>
            <m:t>(</m:t>
          </m:r>
          <m:sSub>
            <m:e>
              <m:r>
                <m:t>X</m:t>
              </m:r>
            </m:e>
            <m:sub>
              <m:r>
                <m:t>0</m:t>
              </m:r>
            </m:sub>
          </m:sSub>
          <m:r>
            <m:rPr>
              <m:sty m:val="p"/>
            </m:rPr>
            <m:t>−</m:t>
          </m:r>
          <m:sSub>
            <m:e>
              <m:r>
                <m:t>X</m:t>
              </m:r>
            </m:e>
            <m:sub>
              <m:r>
                <m:t>f</m:t>
              </m:r>
            </m:sub>
          </m:sSub>
          <m:r>
            <m:rPr>
              <m:sty m:val="p"/>
            </m:rPr>
            <m:t>)</m:t>
          </m:r>
          <m:sSup>
            <m:e>
              <m:r>
                <m:t>e</m:t>
              </m:r>
            </m:e>
            <m:sup>
              <m:r>
                <m:rPr>
                  <m:sty m:val="p"/>
                </m:rPr>
                <m:t>−</m:t>
              </m:r>
              <m:r>
                <m:t>t</m:t>
              </m:r>
              <m:r>
                <m:rPr>
                  <m:sty m:val="p"/>
                </m:rPr>
                <m:t>/</m:t>
              </m:r>
              <m:r>
                <m:t>τ</m:t>
              </m:r>
            </m:sup>
          </m:sSup>
        </m:oMath>
      </m:oMathPara>
    </w:p>
    <w:p>
      <w:pPr>
        <w:pStyle w:val="FirstParagraph"/>
        <w:jc w:val="both"/>
      </w:pPr>
      <w:r>
        <w:t xml:space="preserve">Donde τ es la constante de tiempo del sensor. En esta expresión, t es el tiempo transcurrido desde el cambio, con t = 0 al completar la inmersión en el medio de destino; se supone una respuesta sin retraso puro.</w:t>
      </w:r>
    </w:p>
    <w:p>
      <w:pPr>
        <w:pStyle w:val="BodyText"/>
        <w:keepNext/>
        <w:jc w:val="both"/>
      </w:pPr>
      <w:r>
        <w:t xml:space="preserve">Para este modelo:</w:t>
      </w:r>
    </w:p>
    <w:p>
      <w:pPr>
        <w:pStyle w:val="BodyText"/>
        <w:keepNext w:val="0"/>
        <w:jc w:val="center"/>
      </w:pPr>
      <m:oMathPara>
        <m:oMathParaPr>
          <m:jc m:val="center"/>
        </m:oMathParaPr>
        <m:oMath>
          <m:sSub>
            <m:e>
              <m:r>
                <m:t>t</m:t>
              </m:r>
            </m:e>
            <m:sub>
              <m:r>
                <m:t>90</m:t>
              </m:r>
            </m:sub>
          </m:sSub>
          <m:r>
            <m:rPr>
              <m:sty m:val="p"/>
            </m:rPr>
            <m:t>=</m:t>
          </m:r>
          <m:r>
            <m:t>2.303</m:t>
          </m:r>
          <m:r>
            <m:t> </m:t>
          </m:r>
          <m:r>
            <m:t>τ</m:t>
          </m:r>
        </m:oMath>
      </m:oMathPara>
    </w:p>
    <w:p>
      <w:pPr>
        <w:pStyle w:val="FirstParagraph"/>
        <w:jc w:val="both"/>
      </w:pPr>
      <w:r>
        <w:t xml:space="preserve">También se cumple aproximadamente:</w:t>
      </w:r>
    </w:p>
    <w:p>
      <w:pPr>
        <w:pStyle w:val="Compact"/>
        <w:numPr>
          <w:ilvl w:val="0"/>
          <w:numId w:val="1002"/>
        </w:numPr>
        <w:jc w:val="both"/>
      </w:pPr>
      <m:oMath>
        <m:sSub>
          <m:e>
            <m:r>
              <m:t>t</m:t>
            </m:r>
          </m:e>
          <m:sub>
            <m:r>
              <m:t>63.2</m:t>
            </m:r>
          </m:sub>
        </m:sSub>
        <m:r>
          <m:rPr>
            <m:sty m:val="p"/>
          </m:rPr>
          <m:t>=</m:t>
        </m:r>
        <m:r>
          <m:t>τ</m:t>
        </m:r>
      </m:oMath>
      <w:r>
        <w:t xml:space="preserve">.</w:t>
      </w:r>
    </w:p>
    <w:p>
      <w:pPr>
        <w:pStyle w:val="Compact"/>
        <w:numPr>
          <w:ilvl w:val="0"/>
          <w:numId w:val="1002"/>
        </w:numPr>
        <w:jc w:val="both"/>
      </w:pPr>
      <m:oMath>
        <m:sSub>
          <m:e>
            <m:r>
              <m:t>t</m:t>
            </m:r>
          </m:e>
          <m:sub>
            <m:r>
              <m:t>90</m:t>
            </m:r>
          </m:sub>
        </m:sSub>
        <m:r>
          <m:rPr>
            <m:sty m:val="p"/>
          </m:rPr>
          <m:t>=</m:t>
        </m:r>
        <m:r>
          <m:t>2.303</m:t>
        </m:r>
        <m:r>
          <m:t> </m:t>
        </m:r>
        <m:r>
          <m:t>τ</m:t>
        </m:r>
      </m:oMath>
      <w:r>
        <w:t xml:space="preserve">.</w:t>
      </w:r>
    </w:p>
    <w:p>
      <w:pPr>
        <w:pStyle w:val="Compact"/>
        <w:numPr>
          <w:ilvl w:val="0"/>
          <w:numId w:val="1002"/>
        </w:numPr>
        <w:jc w:val="both"/>
      </w:pPr>
      <m:oMath>
        <m:sSub>
          <m:e>
            <m:r>
              <m:t>t</m:t>
            </m:r>
          </m:e>
          <m:sub>
            <m:r>
              <m:t>95</m:t>
            </m:r>
          </m:sub>
        </m:sSub>
        <m:r>
          <m:rPr>
            <m:sty m:val="p"/>
          </m:rPr>
          <m:t>≈</m:t>
        </m:r>
        <m:r>
          <m:t>3</m:t>
        </m:r>
        <m:r>
          <m:t> </m:t>
        </m:r>
        <m:r>
          <m:t>τ</m:t>
        </m:r>
      </m:oMath>
      <w:r>
        <w:t xml:space="preserve">.</w:t>
      </w:r>
    </w:p>
    <w:p>
      <w:pPr>
        <w:pStyle w:val="Compact"/>
        <w:numPr>
          <w:ilvl w:val="0"/>
          <w:numId w:val="1002"/>
        </w:numPr>
        <w:jc w:val="both"/>
      </w:pPr>
      <m:oMath>
        <m:sSub>
          <m:e>
            <m:r>
              <m:t>t</m:t>
            </m:r>
          </m:e>
          <m:sub>
            <m:r>
              <m:t>99</m:t>
            </m:r>
          </m:sub>
        </m:sSub>
        <m:r>
          <m:rPr>
            <m:sty m:val="p"/>
          </m:rPr>
          <m:t>≈</m:t>
        </m:r>
        <m:r>
          <m:t>4.605</m:t>
        </m:r>
        <m:r>
          <m:t> </m:t>
        </m:r>
        <m:r>
          <m:t>τ</m:t>
        </m:r>
      </m:oMath>
      <w:r>
        <w:t xml:space="preserve">.</w:t>
      </w:r>
    </w:p>
    <w:p>
      <w:pPr>
        <w:pStyle w:val="FirstParagraph"/>
        <w:jc w:val="both"/>
      </w:pPr>
      <w:r>
        <w:t xml:space="preserve">Estas relaciones son válidas para una respuesta exponencial de primer orden. Los sensores reales pueden presentar retrasos, múltiples constantes de tiempo o limitaciones por el sistema de adquisición.</w:t>
      </w:r>
    </w:p>
    <w:bookmarkStart w:id="14" w:name="constante-de-tiempo-y-origen-del-63.2"/>
    <w:p>
      <w:pPr>
        <w:pStyle w:val="Heading3"/>
        <w:jc w:val="both"/>
      </w:pPr>
      <w:r>
        <w:t xml:space="preserve">Constante de tiempo y origen del 63.2 %</w:t>
      </w:r>
    </w:p>
    <w:p>
      <w:pPr>
        <w:pStyle w:val="FirstParagraph"/>
        <w:jc w:val="both"/>
      </w:pPr>
      <w:r>
        <w:t xml:space="preserve">El modelo corresponde a la ecuación diferencial</w:t>
      </w:r>
      <w:r>
        <w:t xml:space="preserve"> </w:t>
      </w:r>
      <m:oMath>
        <m:r>
          <m:t>τ</m:t>
        </m:r>
        <m:r>
          <m:t> </m:t>
        </m:r>
        <m:r>
          <m:t>d</m:t>
        </m:r>
        <m:r>
          <m:t>X</m:t>
        </m:r>
        <m:r>
          <m:rPr>
            <m:sty m:val="p"/>
          </m:rPr>
          <m:t>/</m:t>
        </m:r>
        <m:r>
          <m:t>d</m:t>
        </m:r>
        <m:r>
          <m:t>t</m:t>
        </m:r>
        <m:r>
          <m:rPr>
            <m:sty m:val="p"/>
          </m:rPr>
          <m:t>+</m:t>
        </m:r>
        <m:r>
          <m:t>X</m:t>
        </m:r>
        <m:r>
          <m:rPr>
            <m:sty m:val="p"/>
          </m:rPr>
          <m:t>=</m:t>
        </m:r>
        <m:sSub>
          <m:e>
            <m:r>
              <m:t>X</m:t>
            </m:r>
          </m:e>
          <m:sub>
            <m:r>
              <m:t>f</m:t>
            </m:r>
          </m:sub>
        </m:sSub>
      </m:oMath>
      <w:r>
        <w:t xml:space="preserve">, de primer orden porque contiene la primera derivada de la lectura respecto al tiempo. τ tiene unidades de tiempo; una τ menor indica una respuesta más rápida.</w:t>
      </w:r>
    </w:p>
    <w:p>
      <w:pPr>
        <w:pStyle w:val="BodyText"/>
        <w:keepNext/>
        <w:jc w:val="both"/>
      </w:pPr>
      <w:r>
        <w:t xml:space="preserve">Al sustituir la solución exponencial en la respuesta normalizada:</w:t>
      </w:r>
    </w:p>
    <w:p>
      <w:pPr>
        <w:pStyle w:val="BodyText"/>
        <w:keepNext w:val="0"/>
        <w:jc w:val="center"/>
      </w:pPr>
      <m:oMathPara>
        <m:oMathParaPr>
          <m:jc m:val="center"/>
        </m:oMathParaPr>
        <m:oMath>
          <m:r>
            <m:t>R</m:t>
          </m:r>
          <m:r>
            <m:rPr>
              <m:sty m:val="p"/>
            </m:rPr>
            <m:t>(</m:t>
          </m:r>
          <m:r>
            <m:t>t</m:t>
          </m:r>
          <m:r>
            <m:rPr>
              <m:sty m:val="p"/>
            </m:rPr>
            <m:t>)</m:t>
          </m:r>
          <m:r>
            <m:rPr>
              <m:sty m:val="p"/>
            </m:rPr>
            <m:t>=</m:t>
          </m:r>
          <m:d>
            <m:dPr>
              <m:begChr m:val="("/>
              <m:sepChr m:val=""/>
              <m:endChr m:val=")"/>
              <m:grow/>
            </m:dPr>
            <m:e>
              <m:r>
                <m:t>1</m:t>
              </m:r>
              <m:r>
                <m:rPr>
                  <m:sty m:val="p"/>
                </m:rPr>
                <m:t>−</m:t>
              </m:r>
              <m:sSup>
                <m:e>
                  <m:r>
                    <m:t>e</m:t>
                  </m:r>
                </m:e>
                <m:sup>
                  <m:r>
                    <m:rPr>
                      <m:sty m:val="p"/>
                    </m:rPr>
                    <m:t>−</m:t>
                  </m:r>
                  <m:r>
                    <m:t>t</m:t>
                  </m:r>
                  <m:r>
                    <m:rPr>
                      <m:sty m:val="p"/>
                    </m:rPr>
                    <m:t>/</m:t>
                  </m:r>
                  <m:r>
                    <m:t>τ</m:t>
                  </m:r>
                </m:sup>
              </m:sSup>
            </m:e>
          </m:d>
          <m:r>
            <m:rPr>
              <m:sty m:val="p"/>
            </m:rPr>
            <m:t>×</m:t>
          </m:r>
          <m:r>
            <m:t>100</m:t>
          </m:r>
        </m:oMath>
      </m:oMathPara>
    </w:p>
    <w:p>
      <w:pPr>
        <w:pStyle w:val="FirstParagraph"/>
        <w:keepNext/>
        <w:jc w:val="both"/>
      </w:pPr>
      <w:r>
        <w:t xml:space="preserve">Cuando t = τ, el exponente vale −1 y se obtiene:</w:t>
      </w:r>
    </w:p>
    <w:p>
      <w:pPr>
        <w:pStyle w:val="BodyText"/>
        <w:keepNext w:val="0"/>
        <w:jc w:val="center"/>
      </w:pPr>
      <m:oMathPara>
        <m:oMathParaPr>
          <m:jc m:val="center"/>
        </m:oMathParaPr>
        <m:oMath>
          <m:r>
            <m:t>R</m:t>
          </m:r>
          <m:r>
            <m:rPr>
              <m:sty m:val="p"/>
            </m:rPr>
            <m:t>(</m:t>
          </m:r>
          <m:r>
            <m:t>τ</m:t>
          </m:r>
          <m:r>
            <m:rPr>
              <m:sty m:val="p"/>
            </m:rPr>
            <m:t>)</m:t>
          </m:r>
          <m:r>
            <m:rPr>
              <m:sty m:val="p"/>
            </m:rPr>
            <m:t>=</m:t>
          </m:r>
          <m:d>
            <m:dPr>
              <m:begChr m:val="("/>
              <m:sepChr m:val=""/>
              <m:endChr m:val=")"/>
              <m:grow/>
            </m:dPr>
            <m:e>
              <m:r>
                <m:t>1</m:t>
              </m:r>
              <m:r>
                <m:rPr>
                  <m:sty m:val="p"/>
                </m:rPr>
                <m:t>−</m:t>
              </m:r>
              <m:sSup>
                <m:e>
                  <m:r>
                    <m:t>e</m:t>
                  </m:r>
                </m:e>
                <m:sup>
                  <m:r>
                    <m:rPr>
                      <m:sty m:val="p"/>
                    </m:rPr>
                    <m:t>−</m:t>
                  </m:r>
                  <m:r>
                    <m:t>1</m:t>
                  </m:r>
                </m:sup>
              </m:sSup>
            </m:e>
          </m:d>
          <m:r>
            <m:rPr>
              <m:sty m:val="p"/>
            </m:rPr>
            <m:t>×</m:t>
          </m:r>
          <m:r>
            <m:t>100</m:t>
          </m:r>
          <m:r>
            <m:rPr>
              <m:sty m:val="p"/>
            </m:rPr>
            <m:t>≈</m:t>
          </m:r>
          <m:r>
            <m:t>63.2</m:t>
          </m:r>
          <m:r>
            <m:t> </m:t>
          </m:r>
          <m:r>
            <m:rPr>
              <m:sty m:val="p"/>
            </m:rPr>
            <m:t>%</m:t>
          </m:r>
        </m:oMath>
      </m:oMathPara>
    </w:p>
    <w:p>
      <w:pPr>
        <w:pStyle w:val="FirstParagraph"/>
        <w:jc w:val="both"/>
      </w:pPr>
      <w:r>
        <w:t xml:space="preserve">El 63.2 % corresponde al recorrido entre la lectura inicial y final, no necesariamente a una lectura de 63.2 % de saturación. Si existe un retraso puro L, el tiempo al 63.2 % contado desde la inmersión es aproximadamente</w:t>
      </w:r>
      <w:r>
        <w:t xml:space="preserve"> </w:t>
      </w:r>
      <m:oMath>
        <m:r>
          <m:t>L</m:t>
        </m:r>
        <m:r>
          <m:rPr>
            <m:sty m:val="p"/>
          </m:rPr>
          <m:t>+</m:t>
        </m:r>
        <m:r>
          <m:t>τ</m:t>
        </m:r>
      </m:oMath>
      <w:r>
        <w:t xml:space="preserve"> </w:t>
      </w:r>
      <w:r>
        <w:t xml:space="preserve">y el t₉₀ es</w:t>
      </w:r>
      <w:r>
        <w:t xml:space="preserve"> </w:t>
      </w:r>
      <m:oMath>
        <m:r>
          <m:t>L</m:t>
        </m:r>
        <m:r>
          <m:rPr>
            <m:sty m:val="p"/>
          </m:rPr>
          <m:t>+</m:t>
        </m:r>
        <m:r>
          <m:t>2.303</m:t>
        </m:r>
        <m:r>
          <m:t> </m:t>
        </m:r>
        <m:r>
          <m:t>τ</m:t>
        </m:r>
      </m:oMath>
      <w:r>
        <w:t xml:space="preserve">. En ese caso no se obtiene τ dividiendo directamente el t₉₀ observado entre 2.303.</w:t>
      </w:r>
    </w:p>
    <w:bookmarkEnd w:id="14"/>
    <w:bookmarkEnd w:id="15"/>
    <w:bookmarkEnd w:id="16"/>
    <w:bookmarkStart w:id="25" w:name="Xabadb1699b985de29892a33c377c764d04980ba"/>
    <w:p>
      <w:pPr>
        <w:pStyle w:val="Heading1"/>
        <w:jc w:val="both"/>
      </w:pPr>
      <w:r>
        <w:t xml:space="preserve">3. Diferencias entre los sensores de oxígeno disuelto y pH</w:t>
      </w:r>
    </w:p>
    <w:bookmarkStart w:id="17" w:name="sensor-de-oxígeno-disuelto"/>
    <w:p>
      <w:pPr>
        <w:pStyle w:val="Heading2"/>
        <w:jc w:val="both"/>
      </w:pPr>
      <w:r>
        <w:t xml:space="preserve">Sensor de oxígeno disuelto</w:t>
      </w:r>
    </w:p>
    <w:p>
      <w:pPr>
        <w:pStyle w:val="FirstParagraph"/>
        <w:jc w:val="both"/>
      </w:pPr>
      <w:r>
        <w:t xml:space="preserve">Mide la concentración de oxígeno o el porcentaje de saturación. Los sensores ópticos utilizan luminiscencia, mientras que los electroquímicos consumen oxígeno en su superficie. La respuesta depende del diseño, la membrana cuando existe, la temperatura, el movimiento del líquido y el estado del sensor.</w:t>
      </w:r>
    </w:p>
    <w:bookmarkEnd w:id="17"/>
    <w:bookmarkStart w:id="24" w:name="electrodo-de-ph"/>
    <w:p>
      <w:pPr>
        <w:pStyle w:val="Heading2"/>
        <w:jc w:val="both"/>
      </w:pPr>
      <w:r>
        <w:t xml:space="preserve">Electrodo de pH</w:t>
      </w:r>
    </w:p>
    <w:p>
      <w:pPr>
        <w:pStyle w:val="FirstParagraph"/>
        <w:jc w:val="both"/>
      </w:pPr>
      <w:r>
        <w:t xml:space="preserve">Es habitualmente un electrodo combinado de vidrio con referencia. Su respuesta depende de la hidratación de la membrana de vidrio, el estado de la unión de referencia, la temperatura, la composición de la solución y el equipo de medición.</w:t>
      </w:r>
    </w:p>
    <w:p>
      <w:pPr>
        <w:pStyle w:val="BodyText"/>
        <w:jc w:val="both"/>
      </w:pPr>
      <w:r>
        <w:t xml:space="preserve">Una distinción esencial para el curso es que el tiempo observado al cambiar una sonda de recipiente incluye no solo la respuesta del sensor, sino también el tiempo de transferencia, la mezcla local y la frecuencia de adquisición. En esta práctica se medirá el tiempo de respuesta operacional del conjunto sonda–transmisor, que es el más relevante para el usuario del biorreactor.</w:t>
      </w:r>
    </w:p>
    <w:p>
      <w:pPr>
        <w:pStyle w:val="BodyText"/>
        <w:keepNext/>
        <w:jc w:val="center"/>
      </w:pPr>
      <w:r>
        <w:drawing>
          <wp:inline>
            <wp:extent cx="2159999" cy="2159999"/>
            <wp:effectExtent b="0" l="0" r="0" t="0"/>
            <wp:docPr descr="Sonda de oxígeno disuelto" title="" id="19" name="Picture"/>
            <a:graphic>
              <a:graphicData uri="http://schemas.openxmlformats.org/drawingml/2006/picture">
                <pic:pic>
                  <pic:nvPicPr>
                    <pic:cNvPr descr="../figuras/sensor_OD_OTR.jpeg" id="20" name="Picture"/>
                    <pic:cNvPicPr>
                      <a:picLocks noChangeArrowheads="1" noChangeAspect="1"/>
                    </pic:cNvPicPr>
                  </pic:nvPicPr>
                  <pic:blipFill>
                    <a:blip r:embed="rId18"/>
                    <a:stretch>
                      <a:fillRect/>
                    </a:stretch>
                  </pic:blipFill>
                  <pic:spPr bwMode="auto">
                    <a:xfrm>
                      <a:off x="0" y="0"/>
                      <a:ext cx="2159999" cy="2159999"/>
                    </a:xfrm>
                    <a:prstGeom prst="rect">
                      <a:avLst/>
                    </a:prstGeom>
                    <a:noFill/>
                    <a:ln w="9525">
                      <a:noFill/>
                      <a:headEnd/>
                      <a:tailEnd/>
                    </a:ln>
                  </pic:spPr>
                </pic:pic>
              </a:graphicData>
            </a:graphic>
          </wp:inline>
        </w:drawing>
      </w:r>
      <w:r>
        <w:t xml:space="preserve"> </w:t>
      </w:r>
      <w:r>
        <w:drawing>
          <wp:inline>
            <wp:extent cx="2159999" cy="2159999"/>
            <wp:effectExtent b="0" l="0" r="0" t="0"/>
            <wp:docPr descr="Electrodo de pH" title="" id="22" name="Picture"/>
            <a:graphic>
              <a:graphicData uri="http://schemas.openxmlformats.org/drawingml/2006/picture">
                <pic:pic>
                  <pic:nvPicPr>
                    <pic:cNvPr descr="../figuras/sensor_pH_OTR.jpeg" id="23" name="Picture"/>
                    <pic:cNvPicPr>
                      <a:picLocks noChangeArrowheads="1" noChangeAspect="1"/>
                    </pic:cNvPicPr>
                  </pic:nvPicPr>
                  <pic:blipFill>
                    <a:blip r:embed="rId21"/>
                    <a:stretch>
                      <a:fillRect/>
                    </a:stretch>
                  </pic:blipFill>
                  <pic:spPr bwMode="auto">
                    <a:xfrm>
                      <a:off x="0" y="0"/>
                      <a:ext cx="2159999" cy="2159999"/>
                    </a:xfrm>
                    <a:prstGeom prst="rect">
                      <a:avLst/>
                    </a:prstGeom>
                    <a:noFill/>
                    <a:ln w="9525">
                      <a:noFill/>
                      <a:headEnd/>
                      <a:tailEnd/>
                    </a:ln>
                  </pic:spPr>
                </pic:pic>
              </a:graphicData>
            </a:graphic>
          </wp:inline>
        </w:drawing>
      </w:r>
    </w:p>
    <w:p>
      <w:pPr>
        <w:pStyle w:val="BodyText"/>
        <w:jc w:val="both"/>
      </w:pPr>
      <w:r>
        <w:t xml:space="preserve">Sonda de oxígeno disuelto (izquierda) y electrodo de pH (derecha). Imágenes de la versión de OTR; se muestran como referencia de los sensores, sin identificar los utilizados en el taller.</w:t>
      </w:r>
    </w:p>
    <w:bookmarkEnd w:id="24"/>
    <w:bookmarkEnd w:id="25"/>
    <w:bookmarkStart w:id="30" w:name="objetivo-y-organización"/>
    <w:p>
      <w:pPr>
        <w:pStyle w:val="Heading1"/>
        <w:jc w:val="both"/>
      </w:pPr>
      <w:r>
        <w:t xml:space="preserve">4. Objetivo y organización</w:t>
      </w:r>
    </w:p>
    <w:p>
      <w:pPr>
        <w:pStyle w:val="FirstParagraph"/>
        <w:jc w:val="both"/>
      </w:pPr>
      <w:r>
        <w:t xml:space="preserve">Al finalizar, los participantes podrán definir t₉₀ y τ, explicar el origen del 63.2 % en un modelo de primer orden, distinguir la respuesta de la sonda de la del sistema completo y relacionar una lectura lenta con el control del cultivo.</w:t>
      </w:r>
    </w:p>
    <w:p>
      <w:pPr>
        <w:pStyle w:val="BodyText"/>
        <w:jc w:val="both"/>
      </w:pPr>
      <w:r>
        <w:rPr>
          <w:b/>
          <w:bCs/>
        </w:rPr>
        <w:t xml:space="preserve">Objetivo:</w:t>
      </w:r>
      <w:r>
        <w:t xml:space="preserve"> </w:t>
      </w:r>
      <w:r>
        <w:t xml:space="preserve">identificar las sondas utilizadas y determinar t₁₀, t₉₀ y el tiempo de estabilización de las lecturas de pH y O₂, en ambos sentidos de transferencia. Comparar los resultados considerando temperatura, agitación, registro y condiciones de cada ensayo.</w:t>
      </w:r>
    </w:p>
    <w:p>
      <w:pPr>
        <w:pStyle w:val="BodyText"/>
        <w:jc w:val="both"/>
      </w:pPr>
      <w:r>
        <w:t xml:space="preserve">Cada uno de los tres equipos realiza las dos pruebas. Al cambiar de sensor, intercambiar los roles para que todos participen en la operación y el análisis. Las seis personas se reparten estos roles:</w:t>
      </w:r>
    </w:p>
    <w:p>
      <w:pPr>
        <w:pStyle w:val="Compact"/>
        <w:numPr>
          <w:ilvl w:val="0"/>
          <w:numId w:val="1003"/>
        </w:numPr>
        <w:jc w:val="both"/>
      </w:pPr>
      <w:r>
        <w:rPr>
          <w:b/>
          <w:bCs/>
        </w:rPr>
        <w:t xml:space="preserve">Identificación y trazabilidad:</w:t>
      </w:r>
      <w:r>
        <w:t xml:space="preserve"> </w:t>
      </w:r>
      <w:r>
        <w:t xml:space="preserve">lee etiquetas y llena la ficha de sensores, soluciones y condiciones.</w:t>
      </w:r>
    </w:p>
    <w:p>
      <w:pPr>
        <w:pStyle w:val="Compact"/>
        <w:numPr>
          <w:ilvl w:val="0"/>
          <w:numId w:val="1003"/>
        </w:numPr>
        <w:jc w:val="both"/>
      </w:pPr>
      <w:r>
        <w:rPr>
          <w:b/>
          <w:bCs/>
        </w:rPr>
        <w:t xml:space="preserve">Operación:</w:t>
      </w:r>
      <w:r>
        <w:t xml:space="preserve"> </w:t>
      </w:r>
      <w:r>
        <w:t xml:space="preserve">transfiere la sonda con ayuda del instructor, sin desconectarla.</w:t>
      </w:r>
    </w:p>
    <w:p>
      <w:pPr>
        <w:pStyle w:val="Compact"/>
        <w:numPr>
          <w:ilvl w:val="0"/>
          <w:numId w:val="1003"/>
        </w:numPr>
        <w:jc w:val="both"/>
      </w:pPr>
      <w:r>
        <w:rPr>
          <w:b/>
          <w:bCs/>
        </w:rPr>
        <w:t xml:space="preserve">Tiempo:</w:t>
      </w:r>
      <w:r>
        <w:t xml:space="preserve"> </w:t>
      </w:r>
      <w:r>
        <w:t xml:space="preserve">marca cada inmersión y registra la hora exacta de t₀.</w:t>
      </w:r>
    </w:p>
    <w:p>
      <w:pPr>
        <w:pStyle w:val="Compact"/>
        <w:numPr>
          <w:ilvl w:val="0"/>
          <w:numId w:val="1003"/>
        </w:numPr>
        <w:jc w:val="both"/>
      </w:pPr>
      <w:r>
        <w:rPr>
          <w:b/>
          <w:bCs/>
        </w:rPr>
        <w:t xml:space="preserve">Adquisición:</w:t>
      </w:r>
      <w:r>
        <w:t xml:space="preserve"> </w:t>
      </w:r>
      <w:r>
        <w:t xml:space="preserve">comprueba el registro digital, la señal y las unidades; respalda las observaciones manuales.</w:t>
      </w:r>
    </w:p>
    <w:p>
      <w:pPr>
        <w:pStyle w:val="Compact"/>
        <w:numPr>
          <w:ilvl w:val="0"/>
          <w:numId w:val="1003"/>
        </w:numPr>
        <w:jc w:val="both"/>
      </w:pPr>
      <w:r>
        <w:rPr>
          <w:b/>
          <w:bCs/>
        </w:rPr>
        <w:t xml:space="preserve">Gráfica y cálculo:</w:t>
      </w:r>
      <w:r>
        <w:t xml:space="preserve"> </w:t>
      </w:r>
      <w:r>
        <w:t xml:space="preserve">localiza niveles inicial/final y cruces del 10 y 90 %.</w:t>
      </w:r>
    </w:p>
    <w:p>
      <w:pPr>
        <w:pStyle w:val="Compact"/>
        <w:numPr>
          <w:ilvl w:val="0"/>
          <w:numId w:val="1003"/>
        </w:numPr>
        <w:jc w:val="both"/>
      </w:pPr>
      <w:r>
        <w:rPr>
          <w:b/>
          <w:bCs/>
        </w:rPr>
        <w:t xml:space="preserve">Verificación y comparación:</w:t>
      </w:r>
      <w:r>
        <w:t xml:space="preserve"> </w:t>
      </w:r>
      <w:r>
        <w:t xml:space="preserve">revisa las cuentas, la permanencia en banda y la tabla de resultados.</w:t>
      </w:r>
    </w:p>
    <w:bookmarkStart w:id="26" w:name="X98082383e6a5d367e97f135e41ab51fa6e57ebd"/>
    <w:p>
      <w:pPr>
        <w:pStyle w:val="Heading2"/>
        <w:jc w:val="both"/>
      </w:pPr>
      <w:r>
        <w:t xml:space="preserve">Condiciones de ensayo y variables registradas</w:t>
      </w:r>
    </w:p>
    <w:p>
      <w:pPr>
        <w:pStyle w:val="FirstParagraph"/>
        <w:jc w:val="both"/>
      </w:pPr>
      <w:r>
        <w:t xml:space="preserve">Mantendremos dos ambientes preparados y moveremos la sonda rápidamente de uno a otro. La transferencia debe ser breve, pero cuidadosa: “de golpe” significa cambiar el medio en poco tiempo, no golpear el sensor.</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2640"/>
        <w:gridCol w:w="2640"/>
        <w:gridCol w:w="2640"/>
      </w:tblGrid>
      <w:tr>
        <w:trPr>
          <w:cantSplit/>
          <w:tblHeader/>
        </w:trPr>
        <w:tc>
          <w:tcPr>
            <w:shd w:val="clear" w:color="auto" w:fill="4E2891"/>
          </w:tcPr>
          <w:p>
            <w:pPr>
              <w:pStyle w:val="Compact"/>
              <w:keepNext/>
              <w:jc w:val="both"/>
            </w:pPr>
            <w:r>
              <w:rPr>
                <w:b/>
                <w:color w:val="FFFFFF"/>
              </w:rPr>
              <w:t xml:space="preserve">Sensor</w:t>
            </w:r>
          </w:p>
        </w:tc>
        <w:tc>
          <w:tcPr>
            <w:shd w:val="clear" w:color="auto" w:fill="4E2891"/>
          </w:tcPr>
          <w:p>
            <w:pPr>
              <w:pStyle w:val="Compact"/>
              <w:keepNext/>
              <w:jc w:val="both"/>
            </w:pPr>
            <w:r>
              <w:rPr>
                <w:b/>
                <w:color w:val="FFFFFF"/>
              </w:rPr>
              <w:t xml:space="preserve">Medio inicial y final</w:t>
            </w:r>
          </w:p>
        </w:tc>
        <w:tc>
          <w:tcPr>
            <w:shd w:val="clear" w:color="auto" w:fill="4E2891"/>
          </w:tcPr>
          <w:p>
            <w:pPr>
              <w:pStyle w:val="Compact"/>
              <w:keepNext/>
              <w:jc w:val="both"/>
            </w:pPr>
            <w:r>
              <w:rPr>
                <w:b/>
                <w:color w:val="FFFFFF"/>
              </w:rPr>
              <w:t xml:space="preserve">Señal que registramos</w:t>
            </w:r>
          </w:p>
        </w:tc>
      </w:tr>
      <w:tr>
        <w:trPr>
          <w:cantSplit/>
        </w:trPr>
        <w:tc>
          <w:tcPr/>
          <w:p>
            <w:pPr>
              <w:pStyle w:val="Compact"/>
              <w:keepNext/>
              <w:jc w:val="both"/>
            </w:pPr>
            <w:r>
              <w:t xml:space="preserve">pH</w:t>
            </w:r>
          </w:p>
        </w:tc>
        <w:tc>
          <w:tcPr/>
          <w:p>
            <w:pPr>
              <w:pStyle w:val="Compact"/>
              <w:keepNext/>
              <w:jc w:val="both"/>
            </w:pPr>
            <w:r>
              <w:t xml:space="preserve">Buffer</w:t>
            </w:r>
            <w:r>
              <w:t xml:space="preserve"> </w:t>
            </w:r>
            <w:r>
              <w:rPr>
                <w:b/>
                <w:bCs/>
              </w:rPr>
              <w:t xml:space="preserve">pH 3 → pH 10</w:t>
            </w:r>
            <w:r>
              <w:t xml:space="preserve">, después</w:t>
            </w:r>
            <w:r>
              <w:t xml:space="preserve"> </w:t>
            </w:r>
            <w:r>
              <w:rPr>
                <w:b/>
                <w:bCs/>
              </w:rPr>
              <w:t xml:space="preserve">pH 10 → pH 3</w:t>
            </w:r>
          </w:p>
        </w:tc>
        <w:tc>
          <w:tcPr/>
          <w:p>
            <w:pPr>
              <w:pStyle w:val="Compact"/>
              <w:keepNext/>
              <w:jc w:val="both"/>
            </w:pPr>
            <w:r>
              <w:t xml:space="preserve">pH indicado por Biostat</w:t>
            </w:r>
          </w:p>
        </w:tc>
      </w:tr>
      <w:tr>
        <w:trPr>
          <w:cantSplit/>
        </w:trPr>
        <w:tc>
          <w:tcPr/>
          <w:p>
            <w:pPr>
              <w:pStyle w:val="Compact"/>
              <w:jc w:val="both"/>
            </w:pPr>
            <w:r>
              <w:t xml:space="preserve">Oxígeno disuelto (O₂, OD o pO₂)</w:t>
            </w:r>
          </w:p>
        </w:tc>
        <w:tc>
          <w:tcPr/>
          <w:p>
            <w:pPr>
              <w:pStyle w:val="Compact"/>
              <w:jc w:val="both"/>
            </w:pPr>
            <w:r>
              <w:t xml:space="preserve">Agua equilibrada con</w:t>
            </w:r>
            <w:r>
              <w:t xml:space="preserve"> </w:t>
            </w:r>
            <w:r>
              <w:rPr>
                <w:b/>
                <w:bCs/>
              </w:rPr>
              <w:t xml:space="preserve">aire → agua con N₂</w:t>
            </w:r>
            <w:r>
              <w:t xml:space="preserve">, después el sentido inverso</w:t>
            </w:r>
          </w:p>
        </w:tc>
        <w:tc>
          <w:tcPr/>
          <w:p>
            <w:pPr>
              <w:pStyle w:val="Compact"/>
              <w:jc w:val="both"/>
            </w:pPr>
            <w:r>
              <w:t xml:space="preserve">Oxígeno en % de saturación indicado por Biostat</w:t>
            </w:r>
          </w:p>
        </w:tc>
      </w:tr>
    </w:tbl>
    <w:p>
      <w:pPr>
        <w:pStyle w:val="BodyText"/>
        <w:spacing w:before="160"/>
        <w:jc w:val="both"/>
      </w:pPr>
      <w:r>
        <w:t xml:space="preserve">En pH medimos la respuesta de un electrodo. En oxígeno registraremos la identificación de la sonda sin suponer su tecnología. Biostat es el equipo que recibe y muestra la señal; no necesariamente es el fabricante de la sonda.</w:t>
      </w:r>
    </w:p>
    <w:bookmarkEnd w:id="26"/>
    <w:bookmarkStart w:id="27" w:name="parámetros-adicionales-del-taller"/>
    <w:p>
      <w:pPr>
        <w:pStyle w:val="Heading2"/>
        <w:jc w:val="both"/>
      </w:pPr>
      <w:r>
        <w:t xml:space="preserve">Parámetros adicionales del taller</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3960"/>
        <w:gridCol w:w="3960"/>
      </w:tblGrid>
      <w:tr>
        <w:trPr>
          <w:cantSplit/>
          <w:tblHeader/>
        </w:trPr>
        <w:tc>
          <w:tcPr>
            <w:shd w:val="clear" w:color="auto" w:fill="4E2891"/>
          </w:tcPr>
          <w:p>
            <w:pPr>
              <w:pStyle w:val="Compact"/>
              <w:keepNext/>
              <w:jc w:val="both"/>
            </w:pPr>
            <w:r>
              <w:rPr>
                <w:b/>
                <w:color w:val="FFFFFF"/>
              </w:rPr>
              <w:t xml:space="preserve">Medida</w:t>
            </w:r>
          </w:p>
        </w:tc>
        <w:tc>
          <w:tcPr>
            <w:shd w:val="clear" w:color="auto" w:fill="4E2891"/>
          </w:tcPr>
          <w:p>
            <w:pPr>
              <w:pStyle w:val="Compact"/>
              <w:keepNext/>
              <w:jc w:val="both"/>
            </w:pPr>
            <w:r>
              <w:rPr>
                <w:b/>
                <w:color w:val="FFFFFF"/>
              </w:rPr>
              <w:t xml:space="preserve">Qué significa en esta práctica</w:t>
            </w:r>
          </w:p>
        </w:tc>
      </w:tr>
      <w:tr>
        <w:trPr>
          <w:cantSplit/>
        </w:trPr>
        <w:tc>
          <w:tcPr/>
          <w:p>
            <w:pPr>
              <w:pStyle w:val="Compact"/>
              <w:keepNext/>
              <w:jc w:val="both"/>
            </w:pPr>
            <w:r>
              <w:rPr>
                <w:b/>
                <w:bCs/>
              </w:rPr>
              <w:t xml:space="preserve">Inicio observable: t₁₀</w:t>
            </w:r>
          </w:p>
        </w:tc>
        <w:tc>
          <w:tcPr/>
          <w:p>
            <w:pPr>
              <w:pStyle w:val="Compact"/>
              <w:keepNext/>
              <w:jc w:val="both"/>
            </w:pPr>
            <w:r>
              <w:t xml:space="preserve">Tiempo desde la inmersión hasta recorrer el 10 % del cambio total. Es un umbral práctico; puede haber cambios menores antes.</w:t>
            </w:r>
          </w:p>
        </w:tc>
      </w:tr>
      <w:tr>
        <w:trPr>
          <w:cantSplit/>
        </w:trPr>
        <w:tc>
          <w:tcPr/>
          <w:p>
            <w:pPr>
              <w:pStyle w:val="Compact"/>
              <w:keepNext/>
              <w:jc w:val="both"/>
            </w:pPr>
            <w:r>
              <w:rPr>
                <w:b/>
                <w:bCs/>
              </w:rPr>
              <w:t xml:space="preserve">Tiempo de respuesta: t₉₀</w:t>
            </w:r>
          </w:p>
        </w:tc>
        <w:tc>
          <w:tcPr/>
          <w:p>
            <w:pPr>
              <w:pStyle w:val="Compact"/>
              <w:keepNext/>
              <w:jc w:val="both"/>
            </w:pPr>
            <w:r>
              <w:t xml:space="preserve">Tiempo desde la inmersión hasta recorrer por primera vez el 90 % del cambio.</w:t>
            </w:r>
          </w:p>
        </w:tc>
      </w:tr>
      <w:tr>
        <w:trPr>
          <w:cantSplit/>
        </w:trPr>
        <w:tc>
          <w:tcPr/>
          <w:p>
            <w:pPr>
              <w:pStyle w:val="Compact"/>
              <w:jc w:val="both"/>
            </w:pPr>
            <w:r>
              <w:rPr>
                <w:b/>
                <w:bCs/>
              </w:rPr>
              <w:t xml:space="preserve">Tiempo de estabilización</w:t>
            </w:r>
          </w:p>
        </w:tc>
        <w:tc>
          <w:tcPr/>
          <w:p>
            <w:pPr>
              <w:pStyle w:val="Compact"/>
              <w:jc w:val="both"/>
            </w:pPr>
            <w:r>
              <w:t xml:space="preserve">Primer instante en que la lectura entra en una banda alrededor del valor final y permanece allí al menos 30 s y hasta terminar el registro de ese ensayo.</w:t>
            </w:r>
          </w:p>
        </w:tc>
      </w:tr>
    </w:tbl>
    <w:p>
      <w:pPr>
        <w:pStyle w:val="BodyText"/>
        <w:spacing w:before="160"/>
        <w:jc w:val="both"/>
      </w:pPr>
      <w:r>
        <w:t xml:space="preserve">También calcularemos</w:t>
      </w:r>
      <w:r>
        <w:t xml:space="preserve"> </w:t>
      </w:r>
      <w:r>
        <w:rPr>
          <w:b/>
          <w:bCs/>
        </w:rPr>
        <w:t xml:space="preserve">t₁₀–₉₀ = t₉₀ − t₁₀</w:t>
      </w:r>
      <w:r>
        <w:t xml:space="preserve">: cuánto tarda la parte central de la transición. Es útil para comparar curvas, pero no incluye todo el retraso desde la inmersión.</w:t>
      </w:r>
    </w:p>
    <w:bookmarkEnd w:id="27"/>
    <w:bookmarkStart w:id="28" w:name="cálculo-de-los-umbrales-de-respuesta"/>
    <w:p>
      <w:pPr>
        <w:pStyle w:val="Heading2"/>
        <w:jc w:val="both"/>
      </w:pPr>
      <w:r>
        <w:t xml:space="preserve">Cálculo de los umbrales de respuesta</w:t>
      </w:r>
    </w:p>
    <w:p>
      <w:pPr>
        <w:pStyle w:val="FirstParagraph"/>
        <w:jc w:val="both"/>
      </w:pPr>
      <w:r>
        <w:t xml:space="preserve">En los cálculos y las hojas de datos, y₀, y_f e y(t) representan las mismas lecturas que X₀, Xf y X(t) en las ecuaciones anteriores.</w:t>
      </w:r>
    </w:p>
    <w:p>
      <w:pPr>
        <w:pStyle w:val="BodyText"/>
        <w:keepNext/>
        <w:jc w:val="both"/>
      </w:pPr>
      <w:r>
        <w:t xml:space="preserve">Llamaremos</w:t>
      </w:r>
      <w:r>
        <w:t xml:space="preserve"> </w:t>
      </w:r>
      <w:r>
        <w:rPr>
          <w:b/>
          <w:bCs/>
        </w:rPr>
        <w:t xml:space="preserve">y₀</w:t>
      </w:r>
      <w:r>
        <w:t xml:space="preserve"> </w:t>
      </w:r>
      <w:r>
        <w:t xml:space="preserve">a la lectura estable antes de transferir,</w:t>
      </w:r>
      <w:r>
        <w:t xml:space="preserve"> </w:t>
      </w:r>
      <w:r>
        <w:rPr>
          <w:b/>
          <w:bCs/>
        </w:rPr>
        <w:t xml:space="preserve">y_f</w:t>
      </w:r>
      <w:r>
        <w:t xml:space="preserve"> </w:t>
      </w:r>
      <w:r>
        <w:t xml:space="preserve">a la lectura final estable y</w:t>
      </w:r>
      <w:r>
        <w:t xml:space="preserve"> </w:t>
      </w:r>
      <w:r>
        <w:rPr>
          <w:b/>
          <w:bCs/>
        </w:rPr>
        <w:t xml:space="preserve">t₀</w:t>
      </w:r>
      <w:r>
        <w:t xml:space="preserve"> </w:t>
      </w:r>
      <w:r>
        <w:t xml:space="preserve">al instante en que la parte sensible queda sumergida en el líquido de destino. El tiempo transcurrido se cuenta desde t₀, no desde que empieza a moverse la pantalla.</w:t>
      </w:r>
    </w:p>
    <w:p>
      <w:pPr>
        <w:pStyle w:val="BodyText"/>
        <w:keepNext w:val="0"/>
        <w:jc w:val="center"/>
      </w:pPr>
      <m:oMathPara>
        <m:oMathParaPr>
          <m:jc m:val="center"/>
        </m:oMathParaPr>
        <m:oMath>
          <m:sSub>
            <m:e>
              <m:r>
                <m:t>y</m:t>
              </m:r>
            </m:e>
            <m:sub>
              <m:r>
                <m:t>90</m:t>
              </m:r>
            </m:sub>
          </m:sSub>
          <m:r>
            <m:rPr>
              <m:sty m:val="p"/>
            </m:rPr>
            <m:t>=</m:t>
          </m:r>
          <m:sSub>
            <m:e>
              <m:r>
                <m:t>y</m:t>
              </m:r>
            </m:e>
            <m:sub>
              <m:r>
                <m:t>0</m:t>
              </m:r>
            </m:sub>
          </m:sSub>
          <m:r>
            <m:rPr>
              <m:sty m:val="p"/>
            </m:rPr>
            <m:t>+</m:t>
          </m:r>
          <m:r>
            <m:t>0.90</m:t>
          </m:r>
          <m:r>
            <m:t> </m:t>
          </m:r>
          <m:r>
            <m:rPr>
              <m:sty m:val="p"/>
            </m:rPr>
            <m:t>(</m:t>
          </m:r>
          <m:sSub>
            <m:e>
              <m:r>
                <m:t>y</m:t>
              </m:r>
            </m:e>
            <m:sub>
              <m:r>
                <m:t>f</m:t>
              </m:r>
            </m:sub>
          </m:sSub>
          <m:r>
            <m:rPr>
              <m:sty m:val="p"/>
            </m:rPr>
            <m:t>−</m:t>
          </m:r>
          <m:sSub>
            <m:e>
              <m:r>
                <m:t>y</m:t>
              </m:r>
            </m:e>
            <m:sub>
              <m:r>
                <m:t>0</m:t>
              </m:r>
            </m:sub>
          </m:sSub>
          <m:r>
            <m:rPr>
              <m:sty m:val="p"/>
            </m:rPr>
            <m:t>)</m:t>
          </m:r>
        </m:oMath>
      </m:oMathPara>
    </w:p>
    <w:p>
      <w:pPr>
        <w:pStyle w:val="FirstParagraph"/>
        <w:jc w:val="both"/>
      </w:pPr>
      <w:r>
        <w:t xml:space="preserve">Para el 10 % se hace la misma cuenta sustituyendo 0.90 por 0.10. La resta</w:t>
      </w:r>
      <w:r>
        <w:t xml:space="preserve"> </w:t>
      </w:r>
      <m:oMath>
        <m:sSub>
          <m:e>
            <m:r>
              <m:t>y</m:t>
            </m:r>
          </m:e>
          <m:sub>
            <m:r>
              <m:t>f</m:t>
            </m:r>
          </m:sub>
        </m:sSub>
        <m:r>
          <m:rPr>
            <m:sty m:val="p"/>
          </m:rPr>
          <m:t>−</m:t>
        </m:r>
        <m:sSub>
          <m:e>
            <m:r>
              <m:t>y</m:t>
            </m:r>
          </m:e>
          <m:sub>
            <m:r>
              <m:t>0</m:t>
            </m:r>
          </m:sub>
        </m:sSub>
      </m:oMath>
      <w:r>
        <w:t xml:space="preserve"> </w:t>
      </w:r>
      <w:r>
        <w:t xml:space="preserve">puede ser negativa: la fórmula sirve tanto al subir como al bajar.</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cantSplit/>
          <w:tblHeader/>
        </w:trPr>
        <w:tc>
          <w:tcPr>
            <w:shd w:val="clear" w:color="auto" w:fill="4E2891"/>
          </w:tcPr>
          <w:p>
            <w:pPr>
              <w:pStyle w:val="Compact"/>
              <w:keepNext/>
              <w:jc w:val="both"/>
            </w:pPr>
            <w:r>
              <w:rPr>
                <w:b/>
                <w:color w:val="FFFFFF"/>
              </w:rPr>
              <w:t xml:space="preserve">Ejemplo didáctico</w:t>
            </w:r>
          </w:p>
        </w:tc>
        <w:tc>
          <w:tcPr>
            <w:shd w:val="clear" w:color="auto" w:fill="4E2891"/>
          </w:tcPr>
          <w:p>
            <w:pPr>
              <w:pStyle w:val="Compact"/>
              <w:keepNext/>
              <w:jc w:val="both"/>
            </w:pPr>
            <w:r>
              <w:rPr>
                <w:b/>
                <w:color w:val="FFFFFF"/>
              </w:rPr>
              <w:t xml:space="preserve">Cambio</w:t>
            </w:r>
          </w:p>
        </w:tc>
        <w:tc>
          <w:tcPr>
            <w:shd w:val="clear" w:color="auto" w:fill="4E2891"/>
          </w:tcPr>
          <w:p>
            <w:pPr>
              <w:pStyle w:val="Compact"/>
              <w:keepNext/>
              <w:jc w:val="both"/>
            </w:pPr>
            <w:r>
              <w:rPr>
                <w:b/>
                <w:color w:val="FFFFFF"/>
              </w:rPr>
              <w:t xml:space="preserve">Nivel al 10 %</w:t>
            </w:r>
          </w:p>
        </w:tc>
        <w:tc>
          <w:tcPr>
            <w:shd w:val="clear" w:color="auto" w:fill="4E2891"/>
          </w:tcPr>
          <w:p>
            <w:pPr>
              <w:pStyle w:val="Compact"/>
              <w:keepNext/>
              <w:jc w:val="both"/>
            </w:pPr>
            <w:r>
              <w:rPr>
                <w:b/>
                <w:color w:val="FFFFFF"/>
              </w:rPr>
              <w:t xml:space="preserve">Nivel al 90 %</w:t>
            </w:r>
          </w:p>
        </w:tc>
      </w:tr>
      <w:tr>
        <w:trPr>
          <w:cantSplit/>
        </w:trPr>
        <w:tc>
          <w:tcPr/>
          <w:p>
            <w:pPr>
              <w:pStyle w:val="Compact"/>
              <w:keepNext/>
              <w:jc w:val="both"/>
            </w:pPr>
            <w:r>
              <w:t xml:space="preserve">pH: 3 a 10</w:t>
            </w:r>
          </w:p>
        </w:tc>
        <w:tc>
          <w:tcPr/>
          <w:p>
            <w:pPr>
              <w:pStyle w:val="Compact"/>
              <w:keepNext/>
              <w:jc w:val="both"/>
            </w:pPr>
            <w:r>
              <w:t xml:space="preserve">10 − 3 = 7</w:t>
            </w:r>
          </w:p>
        </w:tc>
        <w:tc>
          <w:tcPr/>
          <w:p>
            <w:pPr>
              <w:pStyle w:val="Compact"/>
              <w:keepNext/>
              <w:jc w:val="both"/>
            </w:pPr>
            <w:r>
              <w:t xml:space="preserve">3 + 0.7 =</w:t>
            </w:r>
            <w:r>
              <w:t xml:space="preserve"> </w:t>
            </w:r>
            <w:r>
              <w:rPr>
                <w:b/>
                <w:bCs/>
              </w:rPr>
              <w:t xml:space="preserve">3.7</w:t>
            </w:r>
          </w:p>
        </w:tc>
        <w:tc>
          <w:tcPr/>
          <w:p>
            <w:pPr>
              <w:pStyle w:val="Compact"/>
              <w:keepNext/>
              <w:jc w:val="both"/>
            </w:pPr>
            <w:r>
              <w:t xml:space="preserve">3 + 6.3 =</w:t>
            </w:r>
            <w:r>
              <w:t xml:space="preserve"> </w:t>
            </w:r>
            <w:r>
              <w:rPr>
                <w:b/>
                <w:bCs/>
              </w:rPr>
              <w:t xml:space="preserve">9.3</w:t>
            </w:r>
          </w:p>
        </w:tc>
      </w:tr>
      <w:tr>
        <w:trPr>
          <w:cantSplit/>
        </w:trPr>
        <w:tc>
          <w:tcPr/>
          <w:p>
            <w:pPr>
              <w:pStyle w:val="Compact"/>
              <w:keepNext/>
              <w:jc w:val="both"/>
            </w:pPr>
            <w:r>
              <w:t xml:space="preserve">pH: 10 a 3</w:t>
            </w:r>
          </w:p>
        </w:tc>
        <w:tc>
          <w:tcPr/>
          <w:p>
            <w:pPr>
              <w:pStyle w:val="Compact"/>
              <w:keepNext/>
              <w:jc w:val="both"/>
            </w:pPr>
            <w:r>
              <w:t xml:space="preserve">3 − 10 = −7</w:t>
            </w:r>
          </w:p>
        </w:tc>
        <w:tc>
          <w:tcPr/>
          <w:p>
            <w:pPr>
              <w:pStyle w:val="Compact"/>
              <w:keepNext/>
              <w:jc w:val="both"/>
            </w:pPr>
            <w:r>
              <w:rPr>
                <w:b/>
                <w:bCs/>
              </w:rPr>
              <w:t xml:space="preserve">9.3</w:t>
            </w:r>
          </w:p>
        </w:tc>
        <w:tc>
          <w:tcPr/>
          <w:p>
            <w:pPr>
              <w:pStyle w:val="Compact"/>
              <w:keepNext/>
              <w:jc w:val="both"/>
            </w:pPr>
            <w:r>
              <w:rPr>
                <w:b/>
                <w:bCs/>
              </w:rPr>
              <w:t xml:space="preserve">3.7</w:t>
            </w:r>
          </w:p>
        </w:tc>
      </w:tr>
      <w:tr>
        <w:trPr>
          <w:cantSplit/>
        </w:trPr>
        <w:tc>
          <w:tcPr/>
          <w:p>
            <w:pPr>
              <w:pStyle w:val="Compact"/>
              <w:jc w:val="both"/>
            </w:pPr>
            <w:r>
              <w:t xml:space="preserve">O₂: 100 a 0 %</w:t>
            </w:r>
          </w:p>
        </w:tc>
        <w:tc>
          <w:tcPr/>
          <w:p>
            <w:pPr>
              <w:pStyle w:val="Compact"/>
              <w:jc w:val="both"/>
            </w:pPr>
            <w:r>
              <w:t xml:space="preserve">0 − 100 = −100 puntos</w:t>
            </w:r>
          </w:p>
        </w:tc>
        <w:tc>
          <w:tcPr/>
          <w:p>
            <w:pPr>
              <w:pStyle w:val="Compact"/>
              <w:jc w:val="both"/>
            </w:pPr>
            <w:r>
              <w:rPr>
                <w:b/>
                <w:bCs/>
              </w:rPr>
              <w:t xml:space="preserve">90 % de saturación</w:t>
            </w:r>
          </w:p>
        </w:tc>
        <w:tc>
          <w:tcPr/>
          <w:p>
            <w:pPr>
              <w:pStyle w:val="Compact"/>
              <w:jc w:val="both"/>
            </w:pPr>
            <w:r>
              <w:rPr>
                <w:b/>
                <w:bCs/>
              </w:rPr>
              <w:t xml:space="preserve">10 % de saturación</w:t>
            </w:r>
          </w:p>
        </w:tc>
      </w:tr>
    </w:tbl>
    <w:p>
      <w:pPr>
        <w:pStyle w:val="BodyText"/>
        <w:spacing w:before="160"/>
        <w:jc w:val="both"/>
      </w:pPr>
      <w:r>
        <w:rPr>
          <w:b/>
          <w:bCs/>
        </w:rPr>
        <w:t xml:space="preserve">Atención:</w:t>
      </w:r>
      <w:r>
        <w:t xml:space="preserve"> </w:t>
      </w:r>
      <w:r>
        <w:t xml:space="preserve">recorrer el 90 % de un descenso de oxígeno no significa llegar a 90 % de saturación. Usa las lecturas estables observadas: si los extremos son 80 y 12 %, el nivel al 90 % es</w:t>
      </w:r>
      <w:r>
        <w:t xml:space="preserve"> </w:t>
      </w:r>
      <m:oMath>
        <m:r>
          <m:t>80</m:t>
        </m:r>
        <m:r>
          <m:rPr>
            <m:sty m:val="p"/>
          </m:rPr>
          <m:t>+</m:t>
        </m:r>
        <m:r>
          <m:t>0.90</m:t>
        </m:r>
        <m:r>
          <m:rPr>
            <m:sty m:val="p"/>
          </m:rPr>
          <m:t>(</m:t>
        </m:r>
        <m:r>
          <m:t>12</m:t>
        </m:r>
        <m:r>
          <m:rPr>
            <m:sty m:val="p"/>
          </m:rPr>
          <m:t>−</m:t>
        </m:r>
        <m:r>
          <m:t>80</m:t>
        </m:r>
        <m:r>
          <m:rPr>
            <m:sty m:val="p"/>
          </m:rPr>
          <m:t>)</m:t>
        </m:r>
        <m:r>
          <m:rPr>
            <m:sty m:val="p"/>
          </m:rPr>
          <m:t>=</m:t>
        </m:r>
        <m:r>
          <m:t>18.8</m:t>
        </m:r>
      </m:oMath>
      <w:r>
        <w:t xml:space="preserve"> </w:t>
      </w:r>
      <w:r>
        <w:t xml:space="preserve">% de saturación.</w:t>
      </w:r>
    </w:p>
    <w:p>
      <w:pPr>
        <w:pStyle w:val="BodyText"/>
        <w:jc w:val="both"/>
      </w:pPr>
      <w:r>
        <w:t xml:space="preserve">El pH es una escala logarítmica. Aquí describimos el porcentaje del recorrido de la</w:t>
      </w:r>
      <w:r>
        <w:t xml:space="preserve"> </w:t>
      </w:r>
      <w:r>
        <w:rPr>
          <w:b/>
          <w:bCs/>
        </w:rPr>
        <w:t xml:space="preserve">lectura de pH</w:t>
      </w:r>
      <w:r>
        <w:t xml:space="preserve">, no el porcentaje de cambio de la concentración de iones hidrógeno.</w:t>
      </w:r>
    </w:p>
    <w:bookmarkEnd w:id="28"/>
    <w:bookmarkStart w:id="29" w:name="banda-de-estabilización"/>
    <w:p>
      <w:pPr>
        <w:pStyle w:val="Heading2"/>
        <w:jc w:val="both"/>
      </w:pPr>
      <w:r>
        <w:t xml:space="preserve">Banda de estabilización</w:t>
      </w:r>
    </w:p>
    <w:p>
      <w:pPr>
        <w:pStyle w:val="FirstParagraph"/>
        <w:keepNext/>
        <w:jc w:val="both"/>
      </w:pPr>
      <w:r>
        <w:t xml:space="preserve">Usaremos una banda de</w:t>
      </w:r>
      <w:r>
        <w:t xml:space="preserve"> </w:t>
      </w:r>
      <w:r>
        <w:rPr>
          <w:b/>
          <w:bCs/>
        </w:rPr>
        <w:t xml:space="preserve">±5 % del cambio total</w:t>
      </w:r>
      <w:r>
        <w:t xml:space="preserve"> </w:t>
      </w:r>
      <w:r>
        <w:t xml:space="preserve">alrededor de y_f:</w:t>
      </w:r>
    </w:p>
    <w:p>
      <w:pPr>
        <w:pStyle w:val="BodyText"/>
        <w:keepNext w:val="0"/>
        <w:jc w:val="center"/>
      </w:pPr>
      <m:oMathPara>
        <m:oMathParaPr>
          <m:jc m:val="center"/>
        </m:oMathParaPr>
        <m:oMath>
          <m:r>
            <m:t>b</m:t>
          </m:r>
          <m:r>
            <m:rPr>
              <m:sty m:val="p"/>
            </m:rPr>
            <m:t>=</m:t>
          </m:r>
          <m:r>
            <m:t>0.05</m:t>
          </m:r>
          <m:r>
            <m:t> </m:t>
          </m:r>
          <m:r>
            <m:rPr>
              <m:sty m:val="p"/>
            </m:rPr>
            <m:t>|</m:t>
          </m:r>
          <m:sSub>
            <m:e>
              <m:r>
                <m:t>y</m:t>
              </m:r>
            </m:e>
            <m:sub>
              <m:r>
                <m:t>f</m:t>
              </m:r>
            </m:sub>
          </m:sSub>
          <m:r>
            <m:rPr>
              <m:sty m:val="p"/>
            </m:rPr>
            <m:t>−</m:t>
          </m:r>
          <m:sSub>
            <m:e>
              <m:r>
                <m:t>y</m:t>
              </m:r>
            </m:e>
            <m:sub>
              <m:r>
                <m:t>0</m:t>
              </m:r>
            </m:sub>
          </m:sSub>
          <m:r>
            <m:rPr>
              <m:sty m:val="p"/>
            </m:rPr>
            <m:t>|</m:t>
          </m:r>
          <m:r>
            <m:t>  </m:t>
          </m:r>
          <m:r>
            <m:rPr>
              <m:nor/>
              <m:sty m:val="p"/>
            </m:rPr>
            <m:t>banda: de </m:t>
          </m:r>
          <m:sSub>
            <m:e>
              <m:r>
                <m:t>y</m:t>
              </m:r>
            </m:e>
            <m:sub>
              <m:r>
                <m:t>f</m:t>
              </m:r>
            </m:sub>
          </m:sSub>
          <m:r>
            <m:rPr>
              <m:sty m:val="p"/>
            </m:rPr>
            <m:t>−</m:t>
          </m:r>
          <m:r>
            <m:t>b</m:t>
          </m:r>
          <m:r>
            <m:rPr>
              <m:nor/>
              <m:sty m:val="p"/>
            </m:rPr>
            <m:t> a </m:t>
          </m:r>
          <m:sSub>
            <m:e>
              <m:r>
                <m:t>y</m:t>
              </m:r>
            </m:e>
            <m:sub>
              <m:r>
                <m:t>f</m:t>
              </m:r>
            </m:sub>
          </m:sSub>
          <m:r>
            <m:rPr>
              <m:sty m:val="p"/>
            </m:rPr>
            <m:t>+</m:t>
          </m:r>
          <m:r>
            <m:t>b</m:t>
          </m:r>
        </m:oMath>
      </m:oMathPara>
    </w:p>
    <w:p>
      <w:pPr>
        <w:pStyle w:val="FirstParagraph"/>
        <w:jc w:val="both"/>
      </w:pPr>
      <w:r>
        <w:t xml:space="preserve">Las barras indican tomar el tamaño del cambio sin su signo. Para una lectura de pH de 3 a 10, b = 0.35 unidades y la banda es 9.65–10.35. Para oxígeno de 80 a 12 %, b = 3.4 puntos y la banda es 8.6–15.4 % de saturación.</w:t>
      </w:r>
    </w:p>
    <w:p>
      <w:pPr>
        <w:pStyle w:val="BodyText"/>
        <w:jc w:val="both"/>
      </w:pPr>
      <w:r>
        <w:t xml:space="preserve">Esta banda es un criterio didáctico común para comparar ensayos; no es un criterio universal del fabricante.</w:t>
      </w:r>
      <w:r>
        <w:t xml:space="preserve"> </w:t>
      </w:r>
      <w:r>
        <w:rPr>
          <w:b/>
          <w:bCs/>
        </w:rPr>
        <w:t xml:space="preserve">Entrar una vez no basta:</w:t>
      </w:r>
      <w:r>
        <w:t xml:space="preserve"> </w:t>
      </w:r>
      <w:r>
        <w:t xml:space="preserve">si sale de la banda después, buscar una entrada posterior. Si no permanece dentro, escribir “no se estabilizó durante el tiempo observado”.</w:t>
      </w:r>
    </w:p>
    <w:bookmarkEnd w:id="29"/>
    <w:bookmarkEnd w:id="30"/>
    <w:bookmarkStart w:id="37" w:name="montaje-y-preparación"/>
    <w:p>
      <w:pPr>
        <w:pStyle w:val="Heading1"/>
        <w:jc w:val="both"/>
      </w:pPr>
      <w:r>
        <w:t xml:space="preserve">5. Montaje y preparación</w:t>
      </w:r>
    </w:p>
    <w:p>
      <w:pPr>
        <w:pStyle w:val="CaptionedFigure"/>
        <w:keepNext/>
        <w:jc w:val="center"/>
      </w:pPr>
      <w:r>
        <w:drawing>
          <wp:inline>
            <wp:extent cx="5040000" cy="1849541"/>
            <wp:effectExtent b="0" l="0" r="0" t="0"/>
            <wp:docPr descr="Dos medios preparados para cada sensor; la sonda se transfiere manteniendo su conexión" title="" id="32" name="Picture"/>
            <a:graphic>
              <a:graphicData uri="http://schemas.openxmlformats.org/drawingml/2006/picture">
                <pic:pic>
                  <pic:nvPicPr>
                    <pic:cNvPr descr="../figuras/00_montaje.png" id="33" name="Picture"/>
                    <pic:cNvPicPr>
                      <a:picLocks noChangeArrowheads="1" noChangeAspect="1"/>
                    </pic:cNvPicPr>
                  </pic:nvPicPr>
                  <pic:blipFill>
                    <a:blip r:embed="rId31"/>
                    <a:stretch>
                      <a:fillRect/>
                    </a:stretch>
                  </pic:blipFill>
                  <pic:spPr bwMode="auto">
                    <a:xfrm>
                      <a:off x="0" y="0"/>
                      <a:ext cx="5040000" cy="1849541"/>
                    </a:xfrm>
                    <a:prstGeom prst="rect">
                      <a:avLst/>
                    </a:prstGeom>
                    <a:noFill/>
                    <a:ln w="9525">
                      <a:noFill/>
                      <a:headEnd/>
                      <a:tailEnd/>
                    </a:ln>
                  </pic:spPr>
                </pic:pic>
              </a:graphicData>
            </a:graphic>
          </wp:inline>
        </w:drawing>
      </w:r>
    </w:p>
    <w:p>
      <w:pPr>
        <w:pStyle w:val="ImageCaption"/>
        <w:keepNext w:val="0"/>
        <w:jc w:val="center"/>
      </w:pPr>
      <w:r>
        <w:t xml:space="preserve">Dos medios preparados para cada sensor; la sonda se transfiere manteniendo su conexión</w:t>
      </w:r>
    </w:p>
    <w:bookmarkStart w:id="34" w:name="montaje-para-ph"/>
    <w:p>
      <w:pPr>
        <w:pStyle w:val="Heading2"/>
        <w:jc w:val="both"/>
      </w:pPr>
      <w:r>
        <w:t xml:space="preserve">Montaje para pH</w:t>
      </w:r>
    </w:p>
    <w:p>
      <w:pPr>
        <w:pStyle w:val="FirstParagraph"/>
        <w:jc w:val="both"/>
      </w:pPr>
      <w:r>
        <w:t xml:space="preserve">Dos vasos identificados con</w:t>
      </w:r>
      <w:r>
        <w:t xml:space="preserve"> </w:t>
      </w:r>
      <w:r>
        <w:rPr>
          <w:b/>
          <w:bCs/>
        </w:rPr>
        <w:t xml:space="preserve">buffer pH 3</w:t>
      </w:r>
      <w:r>
        <w:t xml:space="preserve"> </w:t>
      </w:r>
      <w:r>
        <w:t xml:space="preserve">y</w:t>
      </w:r>
      <w:r>
        <w:t xml:space="preserve"> </w:t>
      </w:r>
      <w:r>
        <w:rPr>
          <w:b/>
          <w:bCs/>
        </w:rPr>
        <w:t xml:space="preserve">buffer pH 10</w:t>
      </w:r>
      <w:r>
        <w:t xml:space="preserve">, a temperatura semejante y con agitación magnética suave y reproducible. Registrar el valor nominal, temperatura de referencia, lote o identificación y temperatura de uso. Usar volumen suficiente para cubrir la parte sensible y la unión de referencia, según la sonda.</w:t>
      </w:r>
    </w:p>
    <w:p>
      <w:pPr>
        <w:pStyle w:val="BodyText"/>
        <w:jc w:val="both"/>
      </w:pPr>
      <w:r>
        <w:t xml:space="preserve">Mantener los buffers separados y usar alícuotas frescas y volumen suficiente para reducir contaminación por arrastre. Antes de establecer la lectura inicial, acondicionar o enjuagar la sonda según su manual.</w:t>
      </w:r>
      <w:r>
        <w:t xml:space="preserve"> </w:t>
      </w:r>
      <w:r>
        <w:rPr>
          <w:b/>
          <w:bCs/>
        </w:rPr>
        <w:t xml:space="preserve">Durante la transferencia cronometrada no hacer un enjuague intermedio:</w:t>
      </w:r>
      <w:r>
        <w:t xml:space="preserve"> </w:t>
      </w:r>
      <w:r>
        <w:t xml:space="preserve">podría iniciar la respuesta antes del contacto con el vaso de destino. Dejar escurrir brevemente, sin frotar ni secar el bulbo, y transferir directamente con la misma técnica en ambos sentidos. Registrar el tiempo fuera de los vasos. La película de líquido arrastrada forma parte de las limitaciones del ensayo.</w:t>
      </w:r>
    </w:p>
    <w:bookmarkEnd w:id="34"/>
    <w:bookmarkStart w:id="35" w:name="montaje-para-o₂"/>
    <w:p>
      <w:pPr>
        <w:pStyle w:val="Heading2"/>
        <w:jc w:val="both"/>
      </w:pPr>
      <w:r>
        <w:t xml:space="preserve">Montaje para O₂</w:t>
      </w:r>
    </w:p>
    <w:p>
      <w:pPr>
        <w:pStyle w:val="FirstParagraph"/>
        <w:jc w:val="both"/>
      </w:pPr>
      <w:r>
        <w:t xml:space="preserve">Dos vasos con agua de la misma procedencia y a temperatura semejante.</w:t>
      </w:r>
      <w:r>
        <w:t xml:space="preserve"> </w:t>
      </w:r>
      <w:r>
        <w:rPr>
          <w:b/>
          <w:bCs/>
        </w:rPr>
        <w:t xml:space="preserve">Cada vaso debe tener agitación magnética y burbujeo continuo:</w:t>
      </w:r>
      <w:r>
        <w:t xml:space="preserve"> </w:t>
      </w:r>
      <w:r>
        <w:t xml:space="preserve">uno con aire y otro con nitrógeno (N₂). Prepararlos antes de que llegue el equipo. Mantener condiciones constantes durante los ensayos y registrar caudal si puede medirse, o ajuste y tipo de burbujeo si no.</w:t>
      </w:r>
    </w:p>
    <w:p>
      <w:pPr>
        <w:pStyle w:val="BodyText"/>
        <w:jc w:val="both"/>
      </w:pPr>
      <w:r>
        <w:t xml:space="preserve">El aire busca un nivel alto de oxígeno; el N₂ desplaza el oxígeno y busca uno bajo. No asumir que las lecturas serán exactamente 100 y 0 %. Comprobar que cada medio tiene una meseta antes de medir. Evitar burbujas adheridas a la punta, contacto con la barra magnética y cambios de profundidad.</w:t>
      </w:r>
    </w:p>
    <w:p>
      <w:pPr>
        <w:pStyle w:val="BodyText"/>
        <w:jc w:val="both"/>
      </w:pPr>
      <w:r>
        <w:rPr>
          <w:b/>
          <w:bCs/>
        </w:rPr>
        <w:t xml:space="preserve">La prueba consiste en cambiar de vaso, no en cambiar de gas dentro del mismo vaso.</w:t>
      </w:r>
      <w:r>
        <w:t xml:space="preserve"> </w:t>
      </w:r>
      <w:r>
        <w:t xml:space="preserve">Si se empieza a burbujear N₂ justo al transferir, también se mide la desoxigenación del líquido y no se puede separar la respuesta de la sonda. No trasladar el valor de 0.5 vvm del taller de control a este montaje: aquí los caudales se registran por vaso y se eligen para mantener las condiciones preparadas.</w:t>
      </w:r>
    </w:p>
    <w:p>
      <w:pPr>
        <w:pStyle w:val="BodyText"/>
        <w:jc w:val="both"/>
      </w:pPr>
      <w:r>
        <w:t xml:space="preserve">El instructor maneja cilindros y reguladores. Usar N₂ en un espacio ventilado, mantener los recipientes con salida de gas y no presurizarlos; el nitrógeno puede desplazar el oxígeno del ambiente.</w:t>
      </w:r>
    </w:p>
    <w:bookmarkEnd w:id="35"/>
    <w:bookmarkStart w:id="36" w:name="registro-y-estado-del-equipo"/>
    <w:p>
      <w:pPr>
        <w:pStyle w:val="Heading2"/>
        <w:jc w:val="both"/>
      </w:pPr>
      <w:r>
        <w:t xml:space="preserve">Registro y estado del equipo</w:t>
      </w:r>
    </w:p>
    <w:p>
      <w:pPr>
        <w:pStyle w:val="FirstParagraph"/>
        <w:jc w:val="both"/>
      </w:pPr>
      <w:r>
        <w:t xml:space="preserve">Antes del taller, el instructor comprueba hidratación y condición de la sonda de pH, calibración disponible y acondicionamiento del sensor de O₂ según su modelo. Algunas sondas electroquímicas requieren polarización; no asumir que eso aplica a todas. Registrar el filtrado o amortiguamiento de Biostat si puede consultarse.</w:t>
      </w:r>
    </w:p>
    <w:p>
      <w:pPr>
        <w:pStyle w:val="BodyText"/>
        <w:jc w:val="both"/>
      </w:pPr>
      <w:r>
        <w:t xml:space="preserve">Desactivar con el instructor cualquier actuación automática ligada a las sondas (bombas de ácido/base, gases o cascadas). Aquí</w:t>
      </w:r>
      <w:r>
        <w:t xml:space="preserve"> </w:t>
      </w:r>
      <w:r>
        <w:rPr>
          <w:b/>
          <w:bCs/>
        </w:rPr>
        <w:t xml:space="preserve">Biostat se usa para registrar</w:t>
      </w:r>
      <w:r>
        <w:t xml:space="preserve">, no para controlar el pH u O₂ de los vasos. Mantener el filtrado igual en todos los ensayos.</w:t>
      </w:r>
    </w:p>
    <w:p>
      <w:pPr>
        <w:pStyle w:val="BodyText"/>
        <w:jc w:val="both"/>
      </w:pPr>
      <w:r>
        <w:t xml:space="preserve">Usar adquisición digital con el menor intervalo disponible,</w:t>
      </w:r>
      <w:r>
        <w:t xml:space="preserve"> </w:t>
      </w:r>
      <w:r>
        <w:rPr>
          <w:b/>
          <w:bCs/>
        </w:rPr>
        <w:t xml:space="preserve">idealmente 1 s o menos</w:t>
      </w:r>
      <w:r>
        <w:t xml:space="preserve">, y confirmar el intervalo real al exportar. Una respuesta de pocos segundos no puede resolverse bien con lecturas cada 10 s. La hoja manual sirve de respaldo, no sustituye un registro rápido.</w:t>
      </w:r>
    </w:p>
    <w:bookmarkEnd w:id="36"/>
    <w:bookmarkEnd w:id="37"/>
    <w:bookmarkStart w:id="38" w:name="identificación-de-las-sondas"/>
    <w:p>
      <w:pPr>
        <w:pStyle w:val="Heading1"/>
        <w:jc w:val="both"/>
      </w:pPr>
      <w:r>
        <w:t xml:space="preserve">6. Identificación de las sondas</w:t>
      </w:r>
    </w:p>
    <w:p>
      <w:pPr>
        <w:pStyle w:val="FirstParagraph"/>
        <w:jc w:val="both"/>
      </w:pPr>
      <w:r>
        <w:t xml:space="preserve">Antes de transferir, el equipo localiza las etiquetas, las compara con el canal de pantalla y llena la ficha de la sección 9.</w:t>
      </w:r>
      <w:r>
        <w:t xml:space="preserve"> </w:t>
      </w:r>
      <w:r>
        <w:rPr>
          <w:b/>
          <w:bCs/>
        </w:rPr>
        <w:t xml:space="preserve">No desconectar ni desmontar la sonda para buscar datos.</w:t>
      </w:r>
      <w:r>
        <w:t xml:space="preserve"> </w:t>
      </w:r>
      <w:r>
        <w:t xml:space="preserve">Si la etiqueta no es accesible, consultar la documentación disponible o al instructor y anotar su origen.</w:t>
      </w:r>
    </w:p>
    <w:p>
      <w:pPr>
        <w:pStyle w:val="BodyText"/>
        <w:jc w:val="both"/>
      </w:pPr>
      <w:r>
        <w:t xml:space="preserve">Registrar fabricante, modelo, serie o ID de laboratorio y principio de medición cuando esté indicado. Añadir el estado visible y los datos de calibración disponibles. Si algo no se conoce, escribir</w:t>
      </w:r>
      <w:r>
        <w:t xml:space="preserve"> </w:t>
      </w:r>
      <w:r>
        <w:rPr>
          <w:b/>
          <w:bCs/>
        </w:rPr>
        <w:t xml:space="preserve">“no disponible”</w:t>
      </w:r>
      <w:r>
        <w:t xml:space="preserve">, no completarlo por apariencia. Si no hay serie visible, asignar un ID temporal que identifique esa sonda durante el taller.</w:t>
      </w:r>
    </w:p>
    <w:p>
      <w:pPr>
        <w:pStyle w:val="BodyText"/>
        <w:jc w:val="both"/>
      </w:pPr>
      <w:r>
        <w:t xml:space="preserve">Esta información es parte del resultado: dos sensores con la misma variable medida pueden tener tecnologías, condiciones o ajustes diferentes. Un tiempo sin identificación y condiciones no puede compararse de manera confiable.</w:t>
      </w:r>
    </w:p>
    <w:bookmarkEnd w:id="38"/>
    <w:bookmarkStart w:id="41" w:name="procedimiento-máximo-45-min-por-equipo"/>
    <w:p>
      <w:pPr>
        <w:pStyle w:val="Heading1"/>
        <w:jc w:val="both"/>
      </w:pPr>
      <w:r>
        <w:t xml:space="preserve">7. Procedimiento (máximo 45 min por equipo)</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3960"/>
        <w:gridCol w:w="3960"/>
      </w:tblGrid>
      <w:tr>
        <w:trPr>
          <w:cantSplit/>
          <w:tblHeader/>
        </w:trPr>
        <w:tc>
          <w:tcPr>
            <w:shd w:val="clear" w:color="auto" w:fill="4E2891"/>
          </w:tcPr>
          <w:p>
            <w:pPr>
              <w:pStyle w:val="Compact"/>
              <w:keepNext/>
              <w:jc w:val="both"/>
            </w:pPr>
            <w:r>
              <w:rPr>
                <w:b/>
                <w:color w:val="FFFFFF"/>
              </w:rPr>
              <w:t xml:space="preserve">Minutos</w:t>
            </w:r>
          </w:p>
        </w:tc>
        <w:tc>
          <w:tcPr>
            <w:shd w:val="clear" w:color="auto" w:fill="4E2891"/>
          </w:tcPr>
          <w:p>
            <w:pPr>
              <w:pStyle w:val="Compact"/>
              <w:keepNext/>
              <w:jc w:val="both"/>
            </w:pPr>
            <w:r>
              <w:rPr>
                <w:b/>
                <w:color w:val="FFFFFF"/>
              </w:rPr>
              <w:t xml:space="preserve">Actividad</w:t>
            </w:r>
          </w:p>
        </w:tc>
      </w:tr>
      <w:tr>
        <w:trPr>
          <w:cantSplit/>
        </w:trPr>
        <w:tc>
          <w:tcPr/>
          <w:p>
            <w:pPr>
              <w:pStyle w:val="Compact"/>
              <w:keepNext/>
              <w:jc w:val="both"/>
            </w:pPr>
            <w:r>
              <w:t xml:space="preserve">0–5</w:t>
            </w:r>
          </w:p>
        </w:tc>
        <w:tc>
          <w:tcPr/>
          <w:p>
            <w:pPr>
              <w:pStyle w:val="Compact"/>
              <w:keepNext/>
              <w:jc w:val="both"/>
            </w:pPr>
            <w:r>
              <w:t xml:space="preserve">Explicación de las medidas y reparto de roles.</w:t>
            </w:r>
          </w:p>
        </w:tc>
      </w:tr>
      <w:tr>
        <w:trPr>
          <w:cantSplit/>
        </w:trPr>
        <w:tc>
          <w:tcPr/>
          <w:p>
            <w:pPr>
              <w:pStyle w:val="Compact"/>
              <w:keepNext/>
              <w:jc w:val="both"/>
            </w:pPr>
            <w:r>
              <w:t xml:space="preserve">5–9</w:t>
            </w:r>
          </w:p>
        </w:tc>
        <w:tc>
          <w:tcPr/>
          <w:p>
            <w:pPr>
              <w:pStyle w:val="Compact"/>
              <w:keepNext/>
              <w:jc w:val="both"/>
            </w:pPr>
            <w:r>
              <w:t xml:space="preserve">Identificar ambas sondas, llenar sus fichas y verificar registro, soluciones y temperatura.</w:t>
            </w:r>
          </w:p>
        </w:tc>
      </w:tr>
      <w:tr>
        <w:trPr>
          <w:cantSplit/>
        </w:trPr>
        <w:tc>
          <w:tcPr/>
          <w:p>
            <w:pPr>
              <w:pStyle w:val="Compact"/>
              <w:keepNext/>
              <w:jc w:val="both"/>
            </w:pPr>
            <w:r>
              <w:t xml:space="preserve">9–20</w:t>
            </w:r>
          </w:p>
        </w:tc>
        <w:tc>
          <w:tcPr/>
          <w:p>
            <w:pPr>
              <w:pStyle w:val="Compact"/>
              <w:keepNext/>
              <w:jc w:val="both"/>
            </w:pPr>
            <w:r>
              <w:t xml:space="preserve">pH: lectura inicial en pH 3, transferencia a pH 10 y regreso a pH 3. Marcar t₀ en cada transferencia.</w:t>
            </w:r>
          </w:p>
        </w:tc>
      </w:tr>
      <w:tr>
        <w:trPr>
          <w:cantSplit/>
        </w:trPr>
        <w:tc>
          <w:tcPr/>
          <w:p>
            <w:pPr>
              <w:pStyle w:val="Compact"/>
              <w:keepNext/>
              <w:jc w:val="both"/>
            </w:pPr>
            <w:r>
              <w:t xml:space="preserve">20–22</w:t>
            </w:r>
          </w:p>
        </w:tc>
        <w:tc>
          <w:tcPr/>
          <w:p>
            <w:pPr>
              <w:pStyle w:val="Compact"/>
              <w:keepNext/>
              <w:jc w:val="both"/>
            </w:pPr>
            <w:r>
              <w:t xml:space="preserve">Comprobar los dos medios de O₂ y las condiciones de agitación y burbujeo.</w:t>
            </w:r>
          </w:p>
        </w:tc>
      </w:tr>
      <w:tr>
        <w:trPr>
          <w:cantSplit/>
        </w:trPr>
        <w:tc>
          <w:tcPr/>
          <w:p>
            <w:pPr>
              <w:pStyle w:val="Compact"/>
              <w:keepNext/>
              <w:jc w:val="both"/>
            </w:pPr>
            <w:r>
              <w:t xml:space="preserve">22–33</w:t>
            </w:r>
          </w:p>
        </w:tc>
        <w:tc>
          <w:tcPr/>
          <w:p>
            <w:pPr>
              <w:pStyle w:val="Compact"/>
              <w:keepNext/>
              <w:jc w:val="both"/>
            </w:pPr>
            <w:r>
              <w:t xml:space="preserve">O₂: aire → N₂ y N₂ → aire. Marcar t₀ y registrar cada transición.</w:t>
            </w:r>
          </w:p>
        </w:tc>
      </w:tr>
      <w:tr>
        <w:trPr>
          <w:cantSplit/>
        </w:trPr>
        <w:tc>
          <w:tcPr/>
          <w:p>
            <w:pPr>
              <w:pStyle w:val="Compact"/>
              <w:keepNext/>
              <w:jc w:val="both"/>
            </w:pPr>
            <w:r>
              <w:t xml:space="preserve">33–41</w:t>
            </w:r>
          </w:p>
        </w:tc>
        <w:tc>
          <w:tcPr/>
          <w:p>
            <w:pPr>
              <w:pStyle w:val="Compact"/>
              <w:keepNext/>
              <w:jc w:val="both"/>
            </w:pPr>
            <w:r>
              <w:t xml:space="preserve">Obtener niveles, calcular umbrales y leer tiempos en las gráficas.</w:t>
            </w:r>
          </w:p>
        </w:tc>
      </w:tr>
      <w:tr>
        <w:trPr>
          <w:cantSplit/>
        </w:trPr>
        <w:tc>
          <w:tcPr/>
          <w:p>
            <w:pPr>
              <w:pStyle w:val="Compact"/>
              <w:jc w:val="both"/>
            </w:pPr>
            <w:r>
              <w:t xml:space="preserve">41–45</w:t>
            </w:r>
          </w:p>
        </w:tc>
        <w:tc>
          <w:tcPr/>
          <w:p>
            <w:pPr>
              <w:pStyle w:val="Compact"/>
              <w:jc w:val="both"/>
            </w:pPr>
            <w:r>
              <w:t xml:space="preserve">Completar resultados, discutir límites y entregar el montaje al instructor.</w:t>
            </w:r>
          </w:p>
        </w:tc>
      </w:tr>
    </w:tbl>
    <w:bookmarkStart w:id="39" w:name="Xf203c1342c51f9e924bfd3b9515c56f42df75e0"/>
    <w:p>
      <w:pPr>
        <w:pStyle w:val="Heading2"/>
        <w:jc w:val="both"/>
      </w:pPr>
      <w:r>
        <w:t xml:space="preserve">Procedimiento de transferencia y registro</w:t>
      </w:r>
    </w:p>
    <w:p>
      <w:pPr>
        <w:pStyle w:val="Compact"/>
        <w:numPr>
          <w:ilvl w:val="0"/>
          <w:numId w:val="1004"/>
        </w:numPr>
        <w:jc w:val="both"/>
      </w:pPr>
      <w:r>
        <w:rPr>
          <w:b/>
          <w:bCs/>
        </w:rPr>
        <w:t xml:space="preserve">Antes:</w:t>
      </w:r>
      <w:r>
        <w:t xml:space="preserve"> </w:t>
      </w:r>
      <w:r>
        <w:t xml:space="preserve">registrar una meseta inicial durante al menos 30 s. Como comprobación operativa, buscar un rango máximo de 0.05 unidades de pH o 2 puntos de O₂ en esos 30 s, sin tendencia evidente. Si no se cumple, estabilizar el montaje; son criterios del taller, no especificaciones de la sonda.</w:t>
      </w:r>
    </w:p>
    <w:p>
      <w:pPr>
        <w:pStyle w:val="Compact"/>
        <w:numPr>
          <w:ilvl w:val="0"/>
          <w:numId w:val="1004"/>
        </w:numPr>
        <w:jc w:val="both"/>
      </w:pPr>
      <w:r>
        <w:rPr>
          <w:b/>
          <w:bCs/>
        </w:rPr>
        <w:t xml:space="preserve">Transferir:</w:t>
      </w:r>
      <w:r>
        <w:t xml:space="preserve"> </w:t>
      </w:r>
      <w:r>
        <w:t xml:space="preserve">mantener la conexión y minimizar el tránsito, sin un enjuague intermedio en el ensayo cronometrado. El cronometrista marca t₀ al completar la inmersión de la parte sensible en el destino. Registrar duración de transferencia y cualquier incidente.</w:t>
      </w:r>
    </w:p>
    <w:p>
      <w:pPr>
        <w:pStyle w:val="Compact"/>
        <w:numPr>
          <w:ilvl w:val="0"/>
          <w:numId w:val="1004"/>
        </w:numPr>
        <w:jc w:val="both"/>
      </w:pPr>
      <w:r>
        <w:rPr>
          <w:b/>
          <w:bCs/>
        </w:rPr>
        <w:t xml:space="preserve">Observar:</w:t>
      </w:r>
      <w:r>
        <w:t xml:space="preserve"> </w:t>
      </w:r>
      <w:r>
        <w:t xml:space="preserve">mantener agitación, gas, profundidad y temperatura. Registrar aproximadamente 3–4 min por transición o hasta contar con una meseta final y confirmar 30 s dentro de la banda. No terminar al primer cruce del 90 %.</w:t>
      </w:r>
    </w:p>
    <w:p>
      <w:pPr>
        <w:pStyle w:val="Compact"/>
        <w:numPr>
          <w:ilvl w:val="0"/>
          <w:numId w:val="1004"/>
        </w:numPr>
        <w:jc w:val="both"/>
      </w:pPr>
      <w:r>
        <w:rPr>
          <w:b/>
          <w:bCs/>
        </w:rPr>
        <w:t xml:space="preserve">Definir el final:</w:t>
      </w:r>
      <w:r>
        <w:t xml:space="preserve"> </w:t>
      </w:r>
      <w:r>
        <w:t xml:space="preserve">si hay una meseta sin tendencia evidente, usar como y_f el promedio de sus últimos 30 s. Comprobar la estabilidad con el mismo criterio del paso 1. Usar las lecturas medidas y no reemplazarlas por el pH nominal o un 0/100 % supuesto.</w:t>
      </w:r>
    </w:p>
    <w:p>
      <w:pPr>
        <w:pStyle w:val="Compact"/>
        <w:numPr>
          <w:ilvl w:val="0"/>
          <w:numId w:val="1004"/>
        </w:numPr>
        <w:jc w:val="both"/>
      </w:pPr>
      <w:r>
        <w:rPr>
          <w:b/>
          <w:bCs/>
        </w:rPr>
        <w:t xml:space="preserve">Calcular:</w:t>
      </w:r>
      <w:r>
        <w:t xml:space="preserve"> </w:t>
      </w:r>
      <w:r>
        <w:t xml:space="preserve">promediar los 30 s iniciales para y₀, obtener y₁₀, y₉₀ y la banda final. Leer los instantes de cruce y restar t₀. Si el cruce queda entre dos muestras, reportar el intervalo o interpolar linealmente, indicando que se hizo.</w:t>
      </w:r>
    </w:p>
    <w:p>
      <w:pPr>
        <w:pStyle w:val="Compact"/>
        <w:numPr>
          <w:ilvl w:val="0"/>
          <w:numId w:val="1004"/>
        </w:numPr>
        <w:jc w:val="both"/>
      </w:pPr>
      <w:r>
        <w:rPr>
          <w:b/>
          <w:bCs/>
        </w:rPr>
        <w:t xml:space="preserve">Comprobar la estabilización:</w:t>
      </w:r>
      <w:r>
        <w:t xml:space="preserve"> </w:t>
      </w:r>
      <w:r>
        <w:t xml:space="preserve">buscar la primera entrada que permanezca en banda hasta el fin del registro, con al menos 30 s de observación posterior. Anotar duración total. Al regresar, repetir como un ensayo nuevo, con su propio t₀ y sus propios niveles.</w:t>
      </w:r>
    </w:p>
    <w:p>
      <w:pPr>
        <w:pStyle w:val="FirstParagraph"/>
        <w:jc w:val="both"/>
      </w:pPr>
      <w:r>
        <w:t xml:space="preserve">Si faltan mesetas, no fijar un y_f arbitrario. Registrar</w:t>
      </w:r>
      <w:r>
        <w:t xml:space="preserve"> </w:t>
      </w:r>
      <w:r>
        <w:rPr>
          <w:b/>
          <w:bCs/>
        </w:rPr>
        <w:t xml:space="preserve">“ensayo incompleto: no hay meseta final”</w:t>
      </w:r>
      <w:r>
        <w:t xml:space="preserve"> </w:t>
      </w:r>
      <w:r>
        <w:t xml:space="preserve">y la duración observada; no calcular t₉₀ usando la última lectura como si fuera el equilibrio. Si falta tiempo, trabajar el cálculo con el ejemplo o con el piloto, identificando la procedencia. No sustituir una dirección no ensayada por la otra.</w:t>
      </w:r>
    </w:p>
    <w:bookmarkEnd w:id="39"/>
    <w:bookmarkStart w:id="40" w:name="cálculo-de-t₉₀-por-interpolación-lineal"/>
    <w:p>
      <w:pPr>
        <w:pStyle w:val="Heading2"/>
        <w:jc w:val="both"/>
      </w:pPr>
      <w:r>
        <w:t xml:space="preserve">Cálculo de t₉₀ por interpolación lineal</w:t>
      </w:r>
    </w:p>
    <w:p>
      <w:pPr>
        <w:pStyle w:val="FirstParagraph"/>
        <w:keepNext/>
        <w:jc w:val="both"/>
      </w:pPr>
      <w:r>
        <w:t xml:space="preserve">Si el umbral</w:t>
      </w:r>
      <w:r>
        <w:t xml:space="preserve"> </w:t>
      </w:r>
      <m:oMath>
        <m:sSub>
          <m:e>
            <m:r>
              <m:t>y</m:t>
            </m:r>
          </m:e>
          <m:sub>
            <m:r>
              <m:t>90</m:t>
            </m:r>
          </m:sub>
        </m:sSub>
      </m:oMath>
      <w:r>
        <w:t xml:space="preserve"> </w:t>
      </w:r>
      <w:r>
        <w:t xml:space="preserve">queda entre dos lecturas consecutivas</w:t>
      </w:r>
      <w:r>
        <w:t xml:space="preserve"> </w:t>
      </w:r>
      <m:oMath>
        <m:sSub>
          <m:e>
            <m:r>
              <m:t>y</m:t>
            </m:r>
          </m:e>
          <m:sub>
            <m:r>
              <m:t>1</m:t>
            </m:r>
          </m:sub>
        </m:sSub>
      </m:oMath>
      <w:r>
        <w:t xml:space="preserve"> </w:t>
      </w:r>
      <w:r>
        <w:t xml:space="preserve">y</w:t>
      </w:r>
      <w:r>
        <w:t xml:space="preserve"> </w:t>
      </w:r>
      <m:oMath>
        <m:sSub>
          <m:e>
            <m:r>
              <m:t>y</m:t>
            </m:r>
          </m:e>
          <m:sub>
            <m:r>
              <m:t>2</m:t>
            </m:r>
          </m:sub>
        </m:sSub>
      </m:oMath>
      <w:r>
        <w:t xml:space="preserve">, tomadas a las horas</w:t>
      </w:r>
      <w:r>
        <w:t xml:space="preserve"> </w:t>
      </w:r>
      <m:oMath>
        <m:sSub>
          <m:e>
            <m:r>
              <m:t>T</m:t>
            </m:r>
          </m:e>
          <m:sub>
            <m:r>
              <m:t>1</m:t>
            </m:r>
          </m:sub>
        </m:sSub>
      </m:oMath>
      <w:r>
        <w:t xml:space="preserve"> </w:t>
      </w:r>
      <w:r>
        <w:t xml:space="preserve">y</w:t>
      </w:r>
      <w:r>
        <w:t xml:space="preserve"> </w:t>
      </w:r>
      <m:oMath>
        <m:sSub>
          <m:e>
            <m:r>
              <m:t>T</m:t>
            </m:r>
          </m:e>
          <m:sub>
            <m:r>
              <m:t>2</m:t>
            </m:r>
          </m:sub>
        </m:sSub>
      </m:oMath>
      <w:r>
        <w:t xml:space="preserve"> </w:t>
      </w:r>
      <w:r>
        <w:t xml:space="preserve">del archivo, podemos estimar la hora del cruce y restar la hora de inmersión:</w:t>
      </w:r>
    </w:p>
    <w:p>
      <w:pPr>
        <w:pStyle w:val="BodyText"/>
        <w:keepNext w:val="0"/>
        <w:jc w:val="center"/>
      </w:pPr>
      <m:oMathPara>
        <m:oMathParaPr>
          <m:jc m:val="center"/>
        </m:oMathParaPr>
        <m:oMath>
          <m:sSub>
            <m:e>
              <m:r>
                <m:t>T</m:t>
              </m:r>
            </m:e>
            <m:sub>
              <m:r>
                <m:t>90</m:t>
              </m:r>
            </m:sub>
          </m:sSub>
          <m:r>
            <m:rPr>
              <m:sty m:val="p"/>
            </m:rPr>
            <m:t>=</m:t>
          </m:r>
          <m:sSub>
            <m:e>
              <m:r>
                <m:t>T</m:t>
              </m:r>
            </m:e>
            <m:sub>
              <m:r>
                <m:t>1</m:t>
              </m:r>
            </m:sub>
          </m:sSub>
          <m:r>
            <m:rPr>
              <m:sty m:val="p"/>
            </m:rPr>
            <m:t>+</m:t>
          </m:r>
          <m:f>
            <m:fPr>
              <m:type m:val="bar"/>
            </m:fPr>
            <m:num>
              <m:sSub>
                <m:e>
                  <m:r>
                    <m:t>y</m:t>
                  </m:r>
                </m:e>
                <m:sub>
                  <m:r>
                    <m:t>90</m:t>
                  </m:r>
                </m:sub>
              </m:sSub>
              <m:r>
                <m:rPr>
                  <m:sty m:val="p"/>
                </m:rPr>
                <m:t>−</m:t>
              </m:r>
              <m:sSub>
                <m:e>
                  <m:r>
                    <m:t>y</m:t>
                  </m:r>
                </m:e>
                <m:sub>
                  <m:r>
                    <m:t>1</m:t>
                  </m:r>
                </m:sub>
              </m:sSub>
            </m:num>
            <m:den>
              <m:sSub>
                <m:e>
                  <m:r>
                    <m:t>y</m:t>
                  </m:r>
                </m:e>
                <m:sub>
                  <m:r>
                    <m:t>2</m:t>
                  </m:r>
                </m:sub>
              </m:sSub>
              <m:r>
                <m:rPr>
                  <m:sty m:val="p"/>
                </m:rPr>
                <m:t>−</m:t>
              </m:r>
              <m:sSub>
                <m:e>
                  <m:r>
                    <m:t>y</m:t>
                  </m:r>
                </m:e>
                <m:sub>
                  <m:r>
                    <m:t>1</m:t>
                  </m:r>
                </m:sub>
              </m:sSub>
            </m:den>
          </m:f>
          <m:r>
            <m:rPr>
              <m:sty m:val="p"/>
            </m:rPr>
            <m:t>(</m:t>
          </m:r>
          <m:sSub>
            <m:e>
              <m:r>
                <m:t>T</m:t>
              </m:r>
            </m:e>
            <m:sub>
              <m:r>
                <m:t>2</m:t>
              </m:r>
            </m:sub>
          </m:sSub>
          <m:r>
            <m:rPr>
              <m:sty m:val="p"/>
            </m:rPr>
            <m:t>−</m:t>
          </m:r>
          <m:sSub>
            <m:e>
              <m:r>
                <m:t>T</m:t>
              </m:r>
            </m:e>
            <m:sub>
              <m:r>
                <m:t>1</m:t>
              </m:r>
            </m:sub>
          </m:sSub>
          <m:r>
            <m:rPr>
              <m:sty m:val="p"/>
            </m:rPr>
            <m:t>)</m:t>
          </m:r>
          <m:r>
            <m:rPr>
              <m:sty m:val="p"/>
            </m:rPr>
            <m:t>,</m:t>
          </m:r>
          <m:r>
            <m:t>  </m:t>
          </m:r>
          <m:sSub>
            <m:e>
              <m:r>
                <m:t>t</m:t>
              </m:r>
            </m:e>
            <m:sub>
              <m:r>
                <m:t>90</m:t>
              </m:r>
            </m:sub>
          </m:sSub>
          <m:r>
            <m:rPr>
              <m:sty m:val="p"/>
            </m:rPr>
            <m:t>=</m:t>
          </m:r>
          <m:sSub>
            <m:e>
              <m:r>
                <m:t>T</m:t>
              </m:r>
            </m:e>
            <m:sub>
              <m:r>
                <m:t>90</m:t>
              </m:r>
            </m:sub>
          </m:sSub>
          <m:r>
            <m:rPr>
              <m:sty m:val="p"/>
            </m:rPr>
            <m:t>−</m:t>
          </m:r>
          <m:sSub>
            <m:e>
              <m:r>
                <m:t>t</m:t>
              </m:r>
            </m:e>
            <m:sub>
              <m:r>
                <m:t>0</m:t>
              </m:r>
            </m:sub>
          </m:sSub>
        </m:oMath>
      </m:oMathPara>
    </w:p>
    <w:p>
      <w:pPr>
        <w:pStyle w:val="FirstParagraph"/>
        <w:jc w:val="both"/>
      </w:pPr>
      <w:r>
        <w:t xml:space="preserve">Usar tiempos en una misma unidad, por ejemplo segundos desde el comienzo del archivo. La fórmula funciona al subir y al bajar, con</w:t>
      </w:r>
      <w:r>
        <w:t xml:space="preserve"> </w:t>
      </w:r>
      <m:oMath>
        <m:sSub>
          <m:e>
            <m:r>
              <m:t>y</m:t>
            </m:r>
          </m:e>
          <m:sub>
            <m:r>
              <m:t>1</m:t>
            </m:r>
          </m:sub>
        </m:sSub>
        <m:r>
          <m:rPr>
            <m:sty m:val="p"/>
          </m:rPr>
          <m:t>≠</m:t>
        </m:r>
        <m:sSub>
          <m:e>
            <m:r>
              <m:t>y</m:t>
            </m:r>
          </m:e>
          <m:sub>
            <m:r>
              <m:t>2</m:t>
            </m:r>
          </m:sub>
        </m:sSub>
      </m:oMath>
      <w:r>
        <w:t xml:space="preserve"> </w:t>
      </w:r>
      <w:r>
        <w:t xml:space="preserve">y un umbral comprendido entre ambas lecturas. Elegir el primer cruce tras t₀; no interpolar sobre datos faltantes ni huecos del registro.</w:t>
      </w:r>
    </w:p>
    <w:p>
      <w:pPr>
        <w:pStyle w:val="BodyText"/>
        <w:jc w:val="both"/>
      </w:pPr>
      <w:r>
        <w:rPr>
          <w:b/>
          <w:bCs/>
        </w:rPr>
        <w:t xml:space="preserve">Ejemplo de O₂ ascendente:</w:t>
      </w:r>
      <w:r>
        <w:t xml:space="preserve"> </w:t>
      </w:r>
      <w:r>
        <w:t xml:space="preserve">si las mesetas son 10 y 90 % de saturación,</w:t>
      </w:r>
      <w:r>
        <w:t xml:space="preserve"> </w:t>
      </w:r>
      <m:oMath>
        <m:sSub>
          <m:e>
            <m:r>
              <m:t>y</m:t>
            </m:r>
          </m:e>
          <m:sub>
            <m:r>
              <m:t>90</m:t>
            </m:r>
          </m:sub>
        </m:sSub>
        <m:r>
          <m:rPr>
            <m:sty m:val="p"/>
          </m:rPr>
          <m:t>=</m:t>
        </m:r>
        <m:r>
          <m:t>10</m:t>
        </m:r>
        <m:r>
          <m:rPr>
            <m:sty m:val="p"/>
          </m:rPr>
          <m:t>+</m:t>
        </m:r>
        <m:r>
          <m:t>0.90</m:t>
        </m:r>
        <m:r>
          <m:rPr>
            <m:sty m:val="p"/>
          </m:rPr>
          <m:t>(</m:t>
        </m:r>
        <m:r>
          <m:t>90</m:t>
        </m:r>
        <m:r>
          <m:rPr>
            <m:sty m:val="p"/>
          </m:rPr>
          <m:t>−</m:t>
        </m:r>
        <m:r>
          <m:t>10</m:t>
        </m:r>
        <m:r>
          <m:rPr>
            <m:sty m:val="p"/>
          </m:rPr>
          <m:t>)</m:t>
        </m:r>
        <m:r>
          <m:rPr>
            <m:sty m:val="p"/>
          </m:rPr>
          <m:t>=</m:t>
        </m:r>
        <m:r>
          <m:t>82</m:t>
        </m:r>
      </m:oMath>
      <w:r>
        <w:t xml:space="preserve"> </w:t>
      </w:r>
      <w:r>
        <w:t xml:space="preserve">%. Si a los 7 y 8 s desde t₀ se leen 80 y 84 %, el cruce estimado es</w:t>
      </w:r>
      <w:r>
        <w:t xml:space="preserve"> </w:t>
      </w:r>
      <m:oMath>
        <m:r>
          <m:t>7</m:t>
        </m:r>
        <m:r>
          <m:rPr>
            <m:sty m:val="p"/>
          </m:rPr>
          <m:t>+</m:t>
        </m:r>
        <m:r>
          <m:rPr>
            <m:sty m:val="p"/>
          </m:rPr>
          <m:t>(</m:t>
        </m:r>
        <m:r>
          <m:t>82</m:t>
        </m:r>
        <m:r>
          <m:rPr>
            <m:sty m:val="p"/>
          </m:rPr>
          <m:t>−</m:t>
        </m:r>
        <m:r>
          <m:t>80</m:t>
        </m:r>
        <m:r>
          <m:rPr>
            <m:sty m:val="p"/>
          </m:rPr>
          <m:t>)</m:t>
        </m:r>
        <m:r>
          <m:rPr>
            <m:sty m:val="p"/>
          </m:rPr>
          <m:t>/</m:t>
        </m:r>
        <m:r>
          <m:rPr>
            <m:sty m:val="p"/>
          </m:rPr>
          <m:t>(</m:t>
        </m:r>
        <m:r>
          <m:t>84</m:t>
        </m:r>
        <m:r>
          <m:rPr>
            <m:sty m:val="p"/>
          </m:rPr>
          <m:t>−</m:t>
        </m:r>
        <m:r>
          <m:t>80</m:t>
        </m:r>
        <m:r>
          <m:rPr>
            <m:sty m:val="p"/>
          </m:rPr>
          <m:t>)</m:t>
        </m:r>
        <m:r>
          <m:rPr>
            <m:sty m:val="p"/>
          </m:rPr>
          <m:t>=</m:t>
        </m:r>
        <m:r>
          <m:t>7.5</m:t>
        </m:r>
      </m:oMath>
      <w:r>
        <w:t xml:space="preserve"> </w:t>
      </w:r>
      <w:r>
        <w:t xml:space="preserve">s. El umbral es 82 % de saturación y t₉₀ es 7.5 s.</w:t>
      </w:r>
    </w:p>
    <w:p>
      <w:pPr>
        <w:pStyle w:val="BodyText"/>
        <w:jc w:val="both"/>
      </w:pPr>
      <w:r>
        <w:t xml:space="preserve">La interpolación permite estimar entre muestras; no mejora la exactitud del reloj ni sustituye una adquisición rápida. Indicar que se interpoló y conservar el intervalo entre muestras que encierra el cruce.</w:t>
      </w:r>
    </w:p>
    <w:bookmarkEnd w:id="40"/>
    <w:bookmarkEnd w:id="41"/>
    <w:bookmarkStart w:id="42" w:name="comparación-y-discusión"/>
    <w:p>
      <w:pPr>
        <w:pStyle w:val="Heading1"/>
        <w:jc w:val="both"/>
      </w:pPr>
      <w:r>
        <w:t xml:space="preserve">8. Comparación y discusión</w:t>
      </w:r>
    </w:p>
    <w:p>
      <w:pPr>
        <w:pStyle w:val="FirstParagraph"/>
        <w:jc w:val="both"/>
      </w:pPr>
      <w:r>
        <w:t xml:space="preserve">En un cultivo celular, una sonda lenta entrega información atrasada al controlador. Si el ajuste del control es agresivo, ese retraso puede contribuir a oscilaciones. El tiempo de respuesta del lazo completo incluye además al controlador, las válvulas, las bombas y la dinámica del biorreactor; no equivale al t₉₀ medido aquí.</w:t>
      </w:r>
    </w:p>
    <w:p>
      <w:pPr>
        <w:pStyle w:val="Compact"/>
        <w:numPr>
          <w:ilvl w:val="0"/>
          <w:numId w:val="1005"/>
        </w:numPr>
        <w:jc w:val="both"/>
      </w:pPr>
      <w:r>
        <w:t xml:space="preserve">¿Qué identificadores permiten reconocer cada sonda? ¿Qué información quedó pendiente y cómo podría verificarse?</w:t>
      </w:r>
    </w:p>
    <w:p>
      <w:pPr>
        <w:pStyle w:val="Compact"/>
        <w:numPr>
          <w:ilvl w:val="0"/>
          <w:numId w:val="1005"/>
        </w:numPr>
        <w:jc w:val="both"/>
      </w:pPr>
      <w:r>
        <w:t xml:space="preserve">¿La primera señal de cambio, t₉₀ y la estabilización dieron el mismo tiempo? ¿Por qué pueden diferir?</w:t>
      </w:r>
    </w:p>
    <w:p>
      <w:pPr>
        <w:pStyle w:val="Compact"/>
        <w:numPr>
          <w:ilvl w:val="0"/>
          <w:numId w:val="1005"/>
        </w:numPr>
        <w:jc w:val="both"/>
      </w:pPr>
      <w:r>
        <w:t xml:space="preserve">¿Fue igual ir de pH 3 a 10 que regresar? ¿Qué efecto pudieron tener el arrastre, el acondicionamiento y la temperatura?</w:t>
      </w:r>
    </w:p>
    <w:p>
      <w:pPr>
        <w:pStyle w:val="Compact"/>
        <w:numPr>
          <w:ilvl w:val="0"/>
          <w:numId w:val="1005"/>
        </w:numPr>
        <w:jc w:val="both"/>
      </w:pPr>
      <w:r>
        <w:t xml:space="preserve">¿Por qué cambiar el gas en un mismo vaso no equivale a transferir entre dos medios preequilibrados?</w:t>
      </w:r>
    </w:p>
    <w:p>
      <w:pPr>
        <w:pStyle w:val="Compact"/>
        <w:numPr>
          <w:ilvl w:val="0"/>
          <w:numId w:val="1005"/>
        </w:numPr>
        <w:jc w:val="both"/>
      </w:pPr>
      <w:r>
        <w:t xml:space="preserve">¿Qué parte de la respuesta puede venir de la sonda, del líquido, del tránsito y del filtrado de Biostat?</w:t>
      </w:r>
    </w:p>
    <w:p>
      <w:pPr>
        <w:pStyle w:val="Compact"/>
        <w:numPr>
          <w:ilvl w:val="0"/>
          <w:numId w:val="1005"/>
        </w:numPr>
        <w:jc w:val="both"/>
      </w:pPr>
      <w:r>
        <w:t xml:space="preserve">Si el registro es cada 1 s y una transición dura unos 8 s, ¿cuántos puntos la describen? ¿Qué pasaría al registrar cada 10 s?</w:t>
      </w:r>
    </w:p>
    <w:p>
      <w:pPr>
        <w:pStyle w:val="Compact"/>
        <w:numPr>
          <w:ilvl w:val="0"/>
          <w:numId w:val="1005"/>
        </w:numPr>
        <w:jc w:val="both"/>
      </w:pPr>
      <w:r>
        <w:t xml:space="preserve">¿Se puede concluir que una sonda es mejor solo por ser más rápida? Considerar estabilidad, exactitud y aplicación.</w:t>
      </w:r>
    </w:p>
    <w:p>
      <w:pPr>
        <w:pStyle w:val="Compact"/>
        <w:numPr>
          <w:ilvl w:val="0"/>
          <w:numId w:val="1005"/>
        </w:numPr>
        <w:jc w:val="both"/>
      </w:pPr>
      <w:r>
        <w:t xml:space="preserve">¿Por qué aparece el 63.2 % al transcurrir una τ? ¿En qué condiciones t₉₀ ≈ 2.303 τ?</w:t>
      </w:r>
    </w:p>
    <w:p>
      <w:pPr>
        <w:pStyle w:val="Compact"/>
        <w:numPr>
          <w:ilvl w:val="0"/>
          <w:numId w:val="1005"/>
        </w:numPr>
        <w:jc w:val="both"/>
      </w:pPr>
      <w:r>
        <w:t xml:space="preserve">¿Qué consecuencias tendría una sonda de O₂ lenta en un cultivo CHO de alta densidad celular?</w:t>
      </w:r>
    </w:p>
    <w:p>
      <w:pPr>
        <w:pStyle w:val="Compact"/>
        <w:numPr>
          <w:ilvl w:val="0"/>
          <w:numId w:val="1005"/>
        </w:numPr>
        <w:jc w:val="both"/>
      </w:pPr>
      <w:r>
        <w:t xml:space="preserve">¿Qué diferencia hay entre rapidez de respuesta, exactitud, precisión y estabilidad?</w:t>
      </w:r>
    </w:p>
    <w:p>
      <w:pPr>
        <w:pStyle w:val="FirstParagraph"/>
        <w:jc w:val="both"/>
      </w:pPr>
      <w:r>
        <w:rPr>
          <w:b/>
          <w:bCs/>
        </w:rPr>
        <w:t xml:space="preserve">Entrega:</w:t>
      </w:r>
      <w:r>
        <w:t xml:space="preserve"> </w:t>
      </w:r>
      <w:r>
        <w:t xml:space="preserve">cada equipo presenta los t₉₀ de pH y O₂ en las direcciones ensayadas, explica cómo calculó los umbrales y los tiempos, y documenta los ensayos incompletos. Cada participante debe poder explicar una consecuencia de una lectura lenta de cada sensor. Completar también t₁₀, t₁₀–₉₀ y estabilización en la hoja de datos cuando el registro lo permita.</w:t>
      </w:r>
    </w:p>
    <w:bookmarkEnd w:id="42"/>
    <w:bookmarkStart w:id="47" w:name="hoja-de-datos"/>
    <w:p>
      <w:pPr>
        <w:pStyle w:val="Heading1"/>
        <w:pageBreakBefore/>
        <w:jc w:val="both"/>
      </w:pPr>
      <w:r>
        <w:t xml:space="preserve">9. Hoja de datos</w:t>
      </w:r>
    </w:p>
    <w:p>
      <w:pPr>
        <w:pStyle w:val="FirstParagraph"/>
        <w:jc w:val="both"/>
      </w:pPr>
      <w:r>
        <w:rPr>
          <w:b/>
          <w:bCs/>
        </w:rPr>
        <w:t xml:space="preserve">Equipo:</w:t>
      </w:r>
      <w:r>
        <w:t xml:space="preserve"> </w:t>
      </w:r>
      <w:r>
        <w:t xml:space="preserve">______</w:t>
      </w:r>
      <w:r>
        <w:t xml:space="preserve"> </w:t>
      </w:r>
      <w:r>
        <w:rPr>
          <w:b/>
          <w:bCs/>
        </w:rPr>
        <w:t xml:space="preserve">Fecha/hora:</w:t>
      </w:r>
      <w:r>
        <w:t xml:space="preserve"> </w:t>
      </w:r>
      <w:r>
        <w:t xml:space="preserve">______</w:t>
      </w:r>
      <w:r>
        <w:t xml:space="preserve"> </w:t>
      </w:r>
      <w:r>
        <w:rPr>
          <w:b/>
          <w:bCs/>
        </w:rPr>
        <w:t xml:space="preserve">Responsable del registro:</w:t>
      </w:r>
      <w:r>
        <w:t xml:space="preserve"> </w:t>
      </w:r>
      <w:r>
        <w:t xml:space="preserve">______</w:t>
      </w:r>
    </w:p>
    <w:bookmarkStart w:id="43" w:name="identificación-de-los-sensores"/>
    <w:p>
      <w:pPr>
        <w:pStyle w:val="Heading2"/>
        <w:jc w:val="both"/>
      </w:pPr>
      <w:r>
        <w:t xml:space="preserve">Identificación de los sensores</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cantSplit/>
          <w:tblHeader/>
        </w:trPr>
        <w:tc>
          <w:tcPr>
            <w:shd w:val="clear" w:color="auto" w:fill="4E2891"/>
          </w:tcPr>
          <w:p>
            <w:pPr>
              <w:pStyle w:val="Compact"/>
              <w:jc w:val="both"/>
            </w:pPr>
            <w:r>
              <w:rPr>
                <w:b/>
                <w:color w:val="FFFFFF"/>
              </w:rPr>
              <w:t xml:space="preserve">Información</w:t>
            </w:r>
          </w:p>
        </w:tc>
        <w:tc>
          <w:tcPr>
            <w:shd w:val="clear" w:color="auto" w:fill="4E2891"/>
          </w:tcPr>
          <w:p>
            <w:pPr>
              <w:pStyle w:val="Compact"/>
              <w:jc w:val="both"/>
            </w:pPr>
            <w:r>
              <w:rPr>
                <w:b/>
                <w:color w:val="FFFFFF"/>
              </w:rPr>
              <w:t xml:space="preserve">Sonda de pH</w:t>
            </w:r>
          </w:p>
        </w:tc>
        <w:tc>
          <w:tcPr>
            <w:shd w:val="clear" w:color="auto" w:fill="4E2891"/>
          </w:tcPr>
          <w:p>
            <w:pPr>
              <w:pStyle w:val="Compact"/>
              <w:jc w:val="both"/>
            </w:pPr>
            <w:r>
              <w:rPr>
                <w:b/>
                <w:color w:val="FFFFFF"/>
              </w:rPr>
              <w:t xml:space="preserve">Sonda de O₂</w:t>
            </w:r>
          </w:p>
        </w:tc>
      </w:tr>
      <w:tr>
        <w:trPr>
          <w:cantSplit/>
          <w:trHeight w:val="454"/>
        </w:trPr>
        <w:tc>
          <w:tcPr/>
          <w:p>
            <w:pPr>
              <w:pStyle w:val="Compact"/>
              <w:jc w:val="both"/>
            </w:pPr>
            <w:r>
              <w:t xml:space="preserve">Fabricante</w:t>
            </w:r>
          </w:p>
        </w:tc>
        <w:tc>
          <w:tcPr/>
          <w:p>
            <w:pPr>
              <w:pStyle w:val="Compact"/>
              <w:jc w:val="both"/>
            </w:pPr>
          </w:p>
        </w:tc>
        <w:tc>
          <w:tcPr/>
          <w:p>
            <w:pPr>
              <w:pStyle w:val="Compact"/>
              <w:jc w:val="both"/>
            </w:pPr>
          </w:p>
        </w:tc>
      </w:tr>
      <w:tr>
        <w:trPr>
          <w:cantSplit/>
          <w:trHeight w:val="454"/>
        </w:trPr>
        <w:tc>
          <w:tcPr/>
          <w:p>
            <w:pPr>
              <w:pStyle w:val="Compact"/>
              <w:jc w:val="both"/>
            </w:pPr>
            <w:r>
              <w:t xml:space="preserve">Modelo</w:t>
            </w:r>
          </w:p>
        </w:tc>
        <w:tc>
          <w:tcPr/>
          <w:p>
            <w:pPr>
              <w:pStyle w:val="Compact"/>
              <w:jc w:val="both"/>
            </w:pPr>
          </w:p>
        </w:tc>
        <w:tc>
          <w:tcPr/>
          <w:p>
            <w:pPr>
              <w:pStyle w:val="Compact"/>
              <w:jc w:val="both"/>
            </w:pPr>
          </w:p>
        </w:tc>
      </w:tr>
      <w:tr>
        <w:trPr>
          <w:cantSplit/>
          <w:trHeight w:val="454"/>
        </w:trPr>
        <w:tc>
          <w:tcPr/>
          <w:p>
            <w:pPr>
              <w:pStyle w:val="Compact"/>
              <w:jc w:val="both"/>
            </w:pPr>
            <w:r>
              <w:t xml:space="preserve">Número de serie o ID de laboratorio/temporal</w:t>
            </w:r>
          </w:p>
        </w:tc>
        <w:tc>
          <w:tcPr/>
          <w:p>
            <w:pPr>
              <w:pStyle w:val="Compact"/>
              <w:jc w:val="both"/>
            </w:pPr>
          </w:p>
        </w:tc>
        <w:tc>
          <w:tcPr/>
          <w:p>
            <w:pPr>
              <w:pStyle w:val="Compact"/>
              <w:jc w:val="both"/>
            </w:pPr>
          </w:p>
        </w:tc>
      </w:tr>
      <w:tr>
        <w:trPr>
          <w:cantSplit/>
          <w:trHeight w:val="454"/>
        </w:trPr>
        <w:tc>
          <w:tcPr/>
          <w:p>
            <w:pPr>
              <w:pStyle w:val="Compact"/>
              <w:jc w:val="both"/>
            </w:pPr>
            <w:r>
              <w:t xml:space="preserve">Principio de medición (si está documentado)</w:t>
            </w:r>
          </w:p>
        </w:tc>
        <w:tc>
          <w:tcPr/>
          <w:p>
            <w:pPr>
              <w:pStyle w:val="Compact"/>
              <w:jc w:val="both"/>
            </w:pPr>
          </w:p>
        </w:tc>
        <w:tc>
          <w:tcPr/>
          <w:p>
            <w:pPr>
              <w:pStyle w:val="Compact"/>
              <w:jc w:val="both"/>
            </w:pPr>
          </w:p>
        </w:tc>
      </w:tr>
      <w:tr>
        <w:trPr>
          <w:cantSplit/>
          <w:trHeight w:val="454"/>
        </w:trPr>
        <w:tc>
          <w:tcPr/>
          <w:p>
            <w:pPr>
              <w:pStyle w:val="Compact"/>
              <w:jc w:val="both"/>
            </w:pPr>
            <w:r>
              <w:t xml:space="preserve">Canal y unidades en Biostat</w:t>
            </w:r>
          </w:p>
        </w:tc>
        <w:tc>
          <w:tcPr/>
          <w:p>
            <w:pPr>
              <w:pStyle w:val="Compact"/>
              <w:jc w:val="both"/>
            </w:pPr>
          </w:p>
        </w:tc>
        <w:tc>
          <w:tcPr/>
          <w:p>
            <w:pPr>
              <w:pStyle w:val="Compact"/>
              <w:jc w:val="both"/>
            </w:pPr>
          </w:p>
        </w:tc>
      </w:tr>
      <w:tr>
        <w:trPr>
          <w:cantSplit/>
          <w:trHeight w:val="454"/>
        </w:trPr>
        <w:tc>
          <w:tcPr/>
          <w:p>
            <w:pPr>
              <w:pStyle w:val="Compact"/>
              <w:jc w:val="both"/>
            </w:pPr>
            <w:r>
              <w:t xml:space="preserve">Estado visible: punta, membrana/capuchón, cable</w:t>
            </w:r>
          </w:p>
        </w:tc>
        <w:tc>
          <w:tcPr/>
          <w:p>
            <w:pPr>
              <w:pStyle w:val="Compact"/>
              <w:jc w:val="both"/>
            </w:pPr>
          </w:p>
        </w:tc>
        <w:tc>
          <w:tcPr/>
          <w:p>
            <w:pPr>
              <w:pStyle w:val="Compact"/>
              <w:jc w:val="both"/>
            </w:pPr>
          </w:p>
        </w:tc>
      </w:tr>
      <w:tr>
        <w:trPr>
          <w:cantSplit/>
          <w:trHeight w:val="454"/>
        </w:trPr>
        <w:tc>
          <w:tcPr/>
          <w:p>
            <w:pPr>
              <w:pStyle w:val="Compact"/>
              <w:jc w:val="both"/>
            </w:pPr>
            <w:r>
              <w:t xml:space="preserve">Fecha y referencias de calibración disponibles</w:t>
            </w:r>
          </w:p>
        </w:tc>
        <w:tc>
          <w:tcPr/>
          <w:p>
            <w:pPr>
              <w:pStyle w:val="Compact"/>
              <w:jc w:val="both"/>
            </w:pPr>
          </w:p>
        </w:tc>
        <w:tc>
          <w:tcPr/>
          <w:p>
            <w:pPr>
              <w:pStyle w:val="Compact"/>
              <w:jc w:val="both"/>
            </w:pPr>
          </w:p>
        </w:tc>
      </w:tr>
      <w:tr>
        <w:trPr>
          <w:cantSplit/>
          <w:trHeight w:val="454"/>
        </w:trPr>
        <w:tc>
          <w:tcPr/>
          <w:p>
            <w:pPr>
              <w:pStyle w:val="Compact"/>
              <w:jc w:val="both"/>
            </w:pPr>
            <w:r>
              <w:t xml:space="preserve">Acondicionamiento/polarización, si aplica</w:t>
            </w:r>
          </w:p>
        </w:tc>
        <w:tc>
          <w:tcPr/>
          <w:p>
            <w:pPr>
              <w:pStyle w:val="Compact"/>
              <w:jc w:val="both"/>
            </w:pPr>
          </w:p>
        </w:tc>
        <w:tc>
          <w:tcPr/>
          <w:p>
            <w:pPr>
              <w:pStyle w:val="Compact"/>
              <w:jc w:val="both"/>
            </w:pPr>
          </w:p>
        </w:tc>
      </w:tr>
      <w:tr>
        <w:trPr>
          <w:cantSplit/>
          <w:trHeight w:val="454"/>
        </w:trPr>
        <w:tc>
          <w:tcPr/>
          <w:p>
            <w:pPr>
              <w:pStyle w:val="Compact"/>
              <w:jc w:val="both"/>
            </w:pPr>
            <w:r>
              <w:t xml:space="preserve">Filtrado/amortiguamiento y fuente de ese dato</w:t>
            </w:r>
          </w:p>
        </w:tc>
        <w:tc>
          <w:tcPr/>
          <w:p>
            <w:pPr>
              <w:pStyle w:val="Compact"/>
              <w:jc w:val="both"/>
            </w:pPr>
          </w:p>
        </w:tc>
        <w:tc>
          <w:tcPr/>
          <w:p>
            <w:pPr>
              <w:pStyle w:val="Compact"/>
              <w:jc w:val="both"/>
            </w:pPr>
          </w:p>
        </w:tc>
      </w:tr>
      <w:tr>
        <w:trPr>
          <w:cantSplit/>
          <w:trHeight w:val="454"/>
        </w:trPr>
        <w:tc>
          <w:tcPr/>
          <w:p>
            <w:pPr>
              <w:pStyle w:val="Compact"/>
              <w:jc w:val="both"/>
            </w:pPr>
            <w:r>
              <w:t xml:space="preserve">Origen de la información: etiqueta, manual, instructor</w:t>
            </w:r>
          </w:p>
        </w:tc>
        <w:tc>
          <w:tcPr/>
          <w:p>
            <w:pPr>
              <w:pStyle w:val="Compact"/>
              <w:jc w:val="both"/>
            </w:pPr>
          </w:p>
        </w:tc>
        <w:tc>
          <w:tcPr/>
          <w:p>
            <w:pPr>
              <w:pStyle w:val="Compact"/>
              <w:jc w:val="both"/>
            </w:pPr>
          </w:p>
        </w:tc>
      </w:tr>
    </w:tbl>
    <w:p>
      <w:pPr>
        <w:pStyle w:val="BodyText"/>
        <w:spacing w:before="160"/>
        <w:jc w:val="both"/>
      </w:pPr>
      <w:r>
        <w:rPr>
          <w:b/>
          <w:bCs/>
        </w:rPr>
        <w:t xml:space="preserve">Equipo de lectura:</w:t>
      </w:r>
      <w:r>
        <w:t xml:space="preserve"> </w:t>
      </w:r>
      <w:r>
        <w:t xml:space="preserve">modelo/ID Biostat ______</w:t>
      </w:r>
      <w:r>
        <w:t xml:space="preserve"> </w:t>
      </w:r>
      <w:r>
        <w:rPr>
          <w:b/>
          <w:bCs/>
        </w:rPr>
        <w:t xml:space="preserve">Archivo de registro:</w:t>
      </w:r>
      <w:r>
        <w:t xml:space="preserve"> </w:t>
      </w:r>
      <w:r>
        <w:t xml:space="preserve">______</w:t>
      </w:r>
      <w:r>
        <w:t xml:space="preserve"> </w:t>
      </w:r>
      <w:r>
        <w:rPr>
          <w:b/>
          <w:bCs/>
        </w:rPr>
        <w:t xml:space="preserve">Intervalo real:</w:t>
      </w:r>
      <w:r>
        <w:t xml:space="preserve"> </w:t>
      </w:r>
      <w:r>
        <w:t xml:space="preserve">______ s</w:t>
      </w:r>
    </w:p>
    <w:bookmarkEnd w:id="43"/>
    <w:bookmarkStart w:id="44" w:name="soluciones-y-condiciones"/>
    <w:p>
      <w:pPr>
        <w:pStyle w:val="Heading2"/>
        <w:jc w:val="both"/>
      </w:pPr>
      <w:r>
        <w:t xml:space="preserve">Soluciones y condiciones</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1584"/>
        <w:gridCol w:w="1584"/>
        <w:gridCol w:w="1584"/>
        <w:gridCol w:w="1584"/>
        <w:gridCol w:w="1584"/>
      </w:tblGrid>
      <w:tr>
        <w:trPr>
          <w:cantSplit/>
          <w:tblHeader/>
        </w:trPr>
        <w:tc>
          <w:tcPr>
            <w:shd w:val="clear" w:color="auto" w:fill="4E2891"/>
          </w:tcPr>
          <w:p>
            <w:pPr>
              <w:pStyle w:val="Compact"/>
              <w:keepNext/>
              <w:jc w:val="both"/>
            </w:pPr>
            <w:r>
              <w:rPr>
                <w:b/>
                <w:color w:val="FFFFFF"/>
              </w:rPr>
              <w:t xml:space="preserve">Medio</w:t>
            </w:r>
          </w:p>
        </w:tc>
        <w:tc>
          <w:tcPr>
            <w:shd w:val="clear" w:color="auto" w:fill="4E2891"/>
          </w:tcPr>
          <w:p>
            <w:pPr>
              <w:pStyle w:val="Compact"/>
              <w:keepNext/>
              <w:jc w:val="both"/>
            </w:pPr>
            <w:r>
              <w:rPr>
                <w:b/>
                <w:color w:val="FFFFFF"/>
              </w:rPr>
              <w:t xml:space="preserve">Identificación/lote</w:t>
            </w:r>
          </w:p>
        </w:tc>
        <w:tc>
          <w:tcPr>
            <w:shd w:val="clear" w:color="auto" w:fill="4E2891"/>
          </w:tcPr>
          <w:p>
            <w:pPr>
              <w:pStyle w:val="Compact"/>
              <w:keepNext/>
              <w:jc w:val="both"/>
            </w:pPr>
            <w:r>
              <w:rPr>
                <w:b/>
                <w:color w:val="FFFFFF"/>
              </w:rPr>
              <w:t xml:space="preserve">Valor nominal o gas</w:t>
            </w:r>
          </w:p>
        </w:tc>
        <w:tc>
          <w:tcPr>
            <w:shd w:val="clear" w:color="auto" w:fill="4E2891"/>
          </w:tcPr>
          <w:p>
            <w:pPr>
              <w:pStyle w:val="Compact"/>
              <w:keepNext/>
              <w:jc w:val="both"/>
            </w:pPr>
            <w:r>
              <w:rPr>
                <w:b/>
                <w:color w:val="FFFFFF"/>
              </w:rPr>
              <w:t xml:space="preserve">Temperatura [°C]</w:t>
            </w:r>
          </w:p>
        </w:tc>
        <w:tc>
          <w:tcPr>
            <w:shd w:val="clear" w:color="auto" w:fill="4E2891"/>
          </w:tcPr>
          <w:p>
            <w:pPr>
              <w:pStyle w:val="Compact"/>
              <w:keepNext/>
              <w:jc w:val="both"/>
            </w:pPr>
            <w:r>
              <w:rPr>
                <w:b/>
                <w:color w:val="FFFFFF"/>
              </w:rPr>
              <w:t xml:space="preserve">Agitación y caudal/ajuste</w:t>
            </w:r>
          </w:p>
        </w:tc>
      </w:tr>
      <w:tr>
        <w:trPr>
          <w:cantSplit/>
          <w:trHeight w:val="454"/>
        </w:trPr>
        <w:tc>
          <w:tcPr/>
          <w:p>
            <w:pPr>
              <w:pStyle w:val="Compact"/>
              <w:keepNext/>
              <w:jc w:val="both"/>
            </w:pPr>
            <w:r>
              <w:t xml:space="preserve">Buffer A</w:t>
            </w:r>
          </w:p>
        </w:tc>
        <w:tc>
          <w:tcPr/>
          <w:p>
            <w:pPr>
              <w:pStyle w:val="Compact"/>
              <w:keepNext/>
              <w:jc w:val="both"/>
            </w:pPr>
          </w:p>
        </w:tc>
        <w:tc>
          <w:tcPr/>
          <w:p>
            <w:pPr>
              <w:pStyle w:val="Compact"/>
              <w:keepNext/>
              <w:jc w:val="both"/>
            </w:pPr>
            <w:r>
              <w:t xml:space="preserve">pH 3</w:t>
            </w:r>
          </w:p>
        </w:tc>
        <w:tc>
          <w:tcPr/>
          <w:p>
            <w:pPr>
              <w:pStyle w:val="Compact"/>
              <w:keepNext/>
              <w:jc w:val="both"/>
            </w:pPr>
          </w:p>
        </w:tc>
        <w:tc>
          <w:tcPr/>
          <w:p>
            <w:pPr>
              <w:pStyle w:val="Compact"/>
              <w:keepNext/>
              <w:jc w:val="both"/>
            </w:pPr>
          </w:p>
        </w:tc>
      </w:tr>
      <w:tr>
        <w:trPr>
          <w:cantSplit/>
          <w:trHeight w:val="454"/>
        </w:trPr>
        <w:tc>
          <w:tcPr/>
          <w:p>
            <w:pPr>
              <w:pStyle w:val="Compact"/>
              <w:keepNext/>
              <w:jc w:val="both"/>
            </w:pPr>
            <w:r>
              <w:t xml:space="preserve">Buffer B</w:t>
            </w:r>
          </w:p>
        </w:tc>
        <w:tc>
          <w:tcPr/>
          <w:p>
            <w:pPr>
              <w:pStyle w:val="Compact"/>
              <w:keepNext/>
              <w:jc w:val="both"/>
            </w:pPr>
          </w:p>
        </w:tc>
        <w:tc>
          <w:tcPr/>
          <w:p>
            <w:pPr>
              <w:pStyle w:val="Compact"/>
              <w:keepNext/>
              <w:jc w:val="both"/>
            </w:pPr>
            <w:r>
              <w:t xml:space="preserve">pH 10</w:t>
            </w:r>
          </w:p>
        </w:tc>
        <w:tc>
          <w:tcPr/>
          <w:p>
            <w:pPr>
              <w:pStyle w:val="Compact"/>
              <w:keepNext/>
              <w:jc w:val="both"/>
            </w:pPr>
          </w:p>
        </w:tc>
        <w:tc>
          <w:tcPr/>
          <w:p>
            <w:pPr>
              <w:pStyle w:val="Compact"/>
              <w:keepNext/>
              <w:jc w:val="both"/>
            </w:pPr>
          </w:p>
        </w:tc>
      </w:tr>
      <w:tr>
        <w:trPr>
          <w:cantSplit/>
          <w:trHeight w:val="454"/>
        </w:trPr>
        <w:tc>
          <w:tcPr/>
          <w:p>
            <w:pPr>
              <w:pStyle w:val="Compact"/>
              <w:keepNext/>
              <w:jc w:val="both"/>
            </w:pPr>
            <w:r>
              <w:t xml:space="preserve">Agua con aire</w:t>
            </w:r>
          </w:p>
        </w:tc>
        <w:tc>
          <w:tcPr/>
          <w:p>
            <w:pPr>
              <w:pStyle w:val="Compact"/>
              <w:keepNext/>
              <w:jc w:val="both"/>
            </w:pPr>
          </w:p>
        </w:tc>
        <w:tc>
          <w:tcPr/>
          <w:p>
            <w:pPr>
              <w:pStyle w:val="Compact"/>
              <w:keepNext/>
              <w:jc w:val="both"/>
            </w:pPr>
            <w:r>
              <w:t xml:space="preserve">Aire</w:t>
            </w:r>
          </w:p>
        </w:tc>
        <w:tc>
          <w:tcPr/>
          <w:p>
            <w:pPr>
              <w:pStyle w:val="Compact"/>
              <w:keepNext/>
              <w:jc w:val="both"/>
            </w:pPr>
          </w:p>
        </w:tc>
        <w:tc>
          <w:tcPr/>
          <w:p>
            <w:pPr>
              <w:pStyle w:val="Compact"/>
              <w:keepNext/>
              <w:jc w:val="both"/>
            </w:pPr>
          </w:p>
        </w:tc>
      </w:tr>
      <w:tr>
        <w:trPr>
          <w:cantSplit/>
          <w:trHeight w:val="454"/>
        </w:trPr>
        <w:tc>
          <w:tcPr/>
          <w:p>
            <w:pPr>
              <w:pStyle w:val="Compact"/>
              <w:jc w:val="both"/>
            </w:pPr>
            <w:r>
              <w:t xml:space="preserve">Agua con N₂</w:t>
            </w:r>
          </w:p>
        </w:tc>
        <w:tc>
          <w:tcPr/>
          <w:p>
            <w:pPr>
              <w:pStyle w:val="Compact"/>
              <w:jc w:val="both"/>
            </w:pPr>
          </w:p>
        </w:tc>
        <w:tc>
          <w:tcPr/>
          <w:p>
            <w:pPr>
              <w:pStyle w:val="Compact"/>
              <w:jc w:val="both"/>
            </w:pPr>
            <w:r>
              <w:t xml:space="preserve">N₂</w:t>
            </w:r>
          </w:p>
        </w:tc>
        <w:tc>
          <w:tcPr/>
          <w:p>
            <w:pPr>
              <w:pStyle w:val="Compact"/>
              <w:jc w:val="both"/>
            </w:pPr>
          </w:p>
        </w:tc>
        <w:tc>
          <w:tcPr/>
          <w:p>
            <w:pPr>
              <w:pStyle w:val="Compact"/>
              <w:jc w:val="both"/>
            </w:pPr>
          </w:p>
        </w:tc>
      </w:tr>
    </w:tbl>
    <w:p>
      <w:pPr>
        <w:pStyle w:val="BodyText"/>
        <w:spacing w:before="160"/>
        <w:jc w:val="both"/>
      </w:pPr>
      <w:r>
        <w:rPr>
          <w:b/>
          <w:bCs/>
        </w:rPr>
        <w:t xml:space="preserve">Acondicionamiento previo y técnica de transferencia de pH:</w:t>
      </w:r>
      <w:r>
        <w:t xml:space="preserve"> </w:t>
      </w:r>
      <w:r>
        <w:t xml:space="preserve">______</w:t>
      </w:r>
      <w:r>
        <w:t xml:space="preserve"> </w:t>
      </w:r>
      <w:r>
        <w:rPr>
          <w:b/>
          <w:bCs/>
        </w:rPr>
        <w:t xml:space="preserve">Observaciones del montaje:</w:t>
      </w:r>
      <w:r>
        <w:t xml:space="preserve"> </w:t>
      </w:r>
      <w:r>
        <w:t xml:space="preserve">______</w:t>
      </w:r>
    </w:p>
    <w:bookmarkEnd w:id="44"/>
    <w:bookmarkStart w:id="45" w:name="registro-individual-de-transferencia"/>
    <w:p>
      <w:pPr>
        <w:pStyle w:val="Heading2"/>
        <w:jc w:val="both"/>
      </w:pPr>
      <w:r>
        <w:t xml:space="preserve">Registro individual de transferencia</w:t>
      </w:r>
    </w:p>
    <w:p>
      <w:pPr>
        <w:pStyle w:val="FirstParagraph"/>
        <w:jc w:val="both"/>
      </w:pPr>
      <w:r>
        <w:t xml:space="preserve">Copiar o imprimir este bloque cuatro veces: pH 3 → 10, pH 10 → 3, O₂ aire → N₂ y O₂ N₂ → aire.</w:t>
      </w:r>
    </w:p>
    <w:p>
      <w:pPr>
        <w:pStyle w:val="BodyText"/>
        <w:jc w:val="both"/>
      </w:pPr>
      <w:r>
        <w:rPr>
          <w:b/>
          <w:bCs/>
        </w:rPr>
        <w:t xml:space="preserve">ID de sonda:</w:t>
      </w:r>
      <w:r>
        <w:t xml:space="preserve"> </w:t>
      </w:r>
      <w:r>
        <w:t xml:space="preserve">______</w:t>
      </w:r>
      <w:r>
        <w:t xml:space="preserve"> </w:t>
      </w:r>
      <w:r>
        <w:rPr>
          <w:b/>
          <w:bCs/>
        </w:rPr>
        <w:t xml:space="preserve">Dirección:</w:t>
      </w:r>
      <w:r>
        <w:t xml:space="preserve"> </w:t>
      </w:r>
      <w:r>
        <w:t xml:space="preserve">______</w:t>
      </w:r>
      <w:r>
        <w:t xml:space="preserve"> </w:t>
      </w:r>
      <w:r>
        <w:rPr>
          <w:b/>
          <w:bCs/>
        </w:rPr>
        <w:t xml:space="preserve">t₀ (hora del archivo):</w:t>
      </w:r>
      <w:r>
        <w:t xml:space="preserve"> </w:t>
      </w:r>
      <w:r>
        <w:t xml:space="preserve">______</w:t>
      </w:r>
    </w:p>
    <w:p>
      <w:pPr>
        <w:pStyle w:val="BodyText"/>
        <w:jc w:val="both"/>
      </w:pPr>
      <w:r>
        <w:rPr>
          <w:b/>
          <w:bCs/>
        </w:rPr>
        <w:t xml:space="preserve">Duración de tránsito:</w:t>
      </w:r>
      <w:r>
        <w:t xml:space="preserve"> </w:t>
      </w:r>
      <w:r>
        <w:t xml:space="preserve">______ s</w:t>
      </w:r>
      <w:r>
        <w:t xml:space="preserve"> </w:t>
      </w:r>
      <w:r>
        <w:rPr>
          <w:b/>
          <w:bCs/>
        </w:rPr>
        <w:t xml:space="preserve">Ventana inicial:</w:t>
      </w:r>
      <w:r>
        <w:t xml:space="preserve"> </w:t>
      </w:r>
      <w:r>
        <w:t xml:space="preserve">______ a ______</w:t>
      </w:r>
      <w:r>
        <w:t xml:space="preserve"> </w:t>
      </w:r>
      <w:r>
        <w:rPr>
          <w:b/>
          <w:bCs/>
        </w:rPr>
        <w:t xml:space="preserve">Ventana final:</w:t>
      </w:r>
      <w:r>
        <w:t xml:space="preserve"> </w:t>
      </w:r>
      <w:r>
        <w:t xml:space="preserve">______ a ______</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CellMar>
          <w:top w:w="50" w:type="dxa"/>
          <w:left w:w="100" w:type="dxa"/>
          <w:bottom w:w="50" w:type="dxa"/>
          <w:right w:w="100" w:type="dxa"/>
        </w:tblCellMar>
        <w:tblLook w:firstRow="1" w:lastRow="0" w:firstColumn="0" w:lastColumn="0" w:noHBand="0" w:noVBand="0" w:val="0020"/>
      </w:tblPr>
      <w:tblGrid>
        <w:gridCol w:w="1980"/>
        <w:gridCol w:w="1980"/>
        <w:gridCol w:w="1980"/>
        <w:gridCol w:w="1980"/>
      </w:tblGrid>
      <w:tr>
        <w:trPr>
          <w:cantSplit/>
          <w:tblHeader/>
        </w:trPr>
        <w:tc>
          <w:tcPr>
            <w:shd w:val="clear" w:color="auto" w:fill="4E2891"/>
          </w:tcPr>
          <w:p>
            <w:pPr>
              <w:pStyle w:val="Compact"/>
              <w:jc w:val="both"/>
            </w:pPr>
            <w:r>
              <w:rPr>
                <w:b/>
                <w:color w:val="FFFFFF"/>
              </w:rPr>
              <w:t xml:space="preserve">Tiempo desde t₀ [s]</w:t>
            </w:r>
          </w:p>
        </w:tc>
        <w:tc>
          <w:tcPr>
            <w:shd w:val="clear" w:color="auto" w:fill="4E2891"/>
          </w:tcPr>
          <w:p>
            <w:pPr>
              <w:pStyle w:val="Compact"/>
              <w:jc w:val="both"/>
            </w:pPr>
            <w:r>
              <w:rPr>
                <w:b/>
                <w:color w:val="FFFFFF"/>
              </w:rPr>
              <w:t xml:space="preserve">Lectura</w:t>
            </w:r>
          </w:p>
        </w:tc>
        <w:tc>
          <w:tcPr>
            <w:shd w:val="clear" w:color="auto" w:fill="4E2891"/>
          </w:tcPr>
          <w:p>
            <w:pPr>
              <w:pStyle w:val="Compact"/>
              <w:jc w:val="both"/>
            </w:pPr>
            <w:r>
              <w:rPr>
                <w:b/>
                <w:color w:val="FFFFFF"/>
              </w:rPr>
              <w:t xml:space="preserve">Tiempo desde t₀ [s]</w:t>
            </w:r>
          </w:p>
        </w:tc>
        <w:tc>
          <w:tcPr>
            <w:shd w:val="clear" w:color="auto" w:fill="4E2891"/>
          </w:tcPr>
          <w:p>
            <w:pPr>
              <w:pStyle w:val="Compact"/>
              <w:jc w:val="both"/>
            </w:pPr>
            <w:r>
              <w:rPr>
                <w:b/>
                <w:color w:val="FFFFFF"/>
              </w:rPr>
              <w:t xml:space="preserve">Lectura</w:t>
            </w:r>
          </w:p>
        </w:tc>
      </w:tr>
      <w:tr>
        <w:trPr>
          <w:cantSplit/>
          <w:trHeight w:val="454"/>
        </w:trPr>
        <w:tc>
          <w:tcPr/>
          <w:p>
            <w:pPr>
              <w:pStyle w:val="Compact"/>
              <w:jc w:val="both"/>
            </w:pPr>
            <w:r>
              <w:t xml:space="preserve">−30</w:t>
            </w:r>
          </w:p>
        </w:tc>
        <w:tc>
          <w:tcPr/>
          <w:p>
            <w:pPr>
              <w:pStyle w:val="Compact"/>
              <w:jc w:val="both"/>
            </w:pPr>
          </w:p>
        </w:tc>
        <w:tc>
          <w:tcPr/>
          <w:p>
            <w:pPr>
              <w:pStyle w:val="Compact"/>
              <w:jc w:val="both"/>
            </w:pPr>
            <w:r>
              <w:t xml:space="preserve">15</w:t>
            </w:r>
          </w:p>
        </w:tc>
        <w:tc>
          <w:tcPr/>
          <w:p>
            <w:pPr>
              <w:pStyle w:val="Compact"/>
              <w:jc w:val="both"/>
            </w:pPr>
          </w:p>
        </w:tc>
      </w:tr>
      <w:tr>
        <w:trPr>
          <w:cantSplit/>
          <w:trHeight w:val="454"/>
        </w:trPr>
        <w:tc>
          <w:tcPr/>
          <w:p>
            <w:pPr>
              <w:pStyle w:val="Compact"/>
              <w:jc w:val="both"/>
            </w:pPr>
            <w:r>
              <w:t xml:space="preserve">−15</w:t>
            </w:r>
          </w:p>
        </w:tc>
        <w:tc>
          <w:tcPr/>
          <w:p>
            <w:pPr>
              <w:pStyle w:val="Compact"/>
              <w:jc w:val="both"/>
            </w:pPr>
          </w:p>
        </w:tc>
        <w:tc>
          <w:tcPr/>
          <w:p>
            <w:pPr>
              <w:pStyle w:val="Compact"/>
              <w:jc w:val="both"/>
            </w:pPr>
            <w:r>
              <w:t xml:space="preserve">20</w:t>
            </w:r>
          </w:p>
        </w:tc>
        <w:tc>
          <w:tcPr/>
          <w:p>
            <w:pPr>
              <w:pStyle w:val="Compact"/>
              <w:jc w:val="both"/>
            </w:pPr>
          </w:p>
        </w:tc>
      </w:tr>
      <w:tr>
        <w:trPr>
          <w:cantSplit/>
          <w:trHeight w:val="454"/>
        </w:trPr>
        <w:tc>
          <w:tcPr/>
          <w:p>
            <w:pPr>
              <w:pStyle w:val="Compact"/>
              <w:jc w:val="both"/>
            </w:pPr>
            <w:r>
              <w:t xml:space="preserve">0</w:t>
            </w:r>
          </w:p>
        </w:tc>
        <w:tc>
          <w:tcPr/>
          <w:p>
            <w:pPr>
              <w:pStyle w:val="Compact"/>
              <w:jc w:val="both"/>
            </w:pPr>
          </w:p>
        </w:tc>
        <w:tc>
          <w:tcPr/>
          <w:p>
            <w:pPr>
              <w:pStyle w:val="Compact"/>
              <w:jc w:val="both"/>
            </w:pPr>
            <w:r>
              <w:t xml:space="preserve">30</w:t>
            </w:r>
          </w:p>
        </w:tc>
        <w:tc>
          <w:tcPr/>
          <w:p>
            <w:pPr>
              <w:pStyle w:val="Compact"/>
              <w:jc w:val="both"/>
            </w:pPr>
          </w:p>
        </w:tc>
      </w:tr>
      <w:tr>
        <w:trPr>
          <w:cantSplit/>
          <w:trHeight w:val="454"/>
        </w:trPr>
        <w:tc>
          <w:tcPr/>
          <w:p>
            <w:pPr>
              <w:pStyle w:val="Compact"/>
              <w:jc w:val="both"/>
            </w:pPr>
            <w:r>
              <w:t xml:space="preserve">1</w:t>
            </w:r>
          </w:p>
        </w:tc>
        <w:tc>
          <w:tcPr/>
          <w:p>
            <w:pPr>
              <w:pStyle w:val="Compact"/>
              <w:jc w:val="both"/>
            </w:pPr>
          </w:p>
        </w:tc>
        <w:tc>
          <w:tcPr/>
          <w:p>
            <w:pPr>
              <w:pStyle w:val="Compact"/>
              <w:jc w:val="both"/>
            </w:pPr>
            <w:r>
              <w:t xml:space="preserve">45</w:t>
            </w:r>
          </w:p>
        </w:tc>
        <w:tc>
          <w:tcPr/>
          <w:p>
            <w:pPr>
              <w:pStyle w:val="Compact"/>
              <w:jc w:val="both"/>
            </w:pPr>
          </w:p>
        </w:tc>
      </w:tr>
      <w:tr>
        <w:trPr>
          <w:cantSplit/>
          <w:trHeight w:val="454"/>
        </w:trPr>
        <w:tc>
          <w:tcPr/>
          <w:p>
            <w:pPr>
              <w:pStyle w:val="Compact"/>
              <w:jc w:val="both"/>
            </w:pPr>
            <w:r>
              <w:t xml:space="preserve">2</w:t>
            </w:r>
          </w:p>
        </w:tc>
        <w:tc>
          <w:tcPr/>
          <w:p>
            <w:pPr>
              <w:pStyle w:val="Compact"/>
              <w:jc w:val="both"/>
            </w:pPr>
          </w:p>
        </w:tc>
        <w:tc>
          <w:tcPr/>
          <w:p>
            <w:pPr>
              <w:pStyle w:val="Compact"/>
              <w:jc w:val="both"/>
            </w:pPr>
            <w:r>
              <w:t xml:space="preserve">60</w:t>
            </w:r>
          </w:p>
        </w:tc>
        <w:tc>
          <w:tcPr/>
          <w:p>
            <w:pPr>
              <w:pStyle w:val="Compact"/>
              <w:jc w:val="both"/>
            </w:pPr>
          </w:p>
        </w:tc>
      </w:tr>
      <w:tr>
        <w:trPr>
          <w:cantSplit/>
          <w:trHeight w:val="454"/>
        </w:trPr>
        <w:tc>
          <w:tcPr/>
          <w:p>
            <w:pPr>
              <w:pStyle w:val="Compact"/>
              <w:jc w:val="both"/>
            </w:pPr>
            <w:r>
              <w:t xml:space="preserve">3</w:t>
            </w:r>
          </w:p>
        </w:tc>
        <w:tc>
          <w:tcPr/>
          <w:p>
            <w:pPr>
              <w:pStyle w:val="Compact"/>
              <w:jc w:val="both"/>
            </w:pPr>
          </w:p>
        </w:tc>
        <w:tc>
          <w:tcPr/>
          <w:p>
            <w:pPr>
              <w:pStyle w:val="Compact"/>
              <w:jc w:val="both"/>
            </w:pPr>
            <w:r>
              <w:t xml:space="preserve">90</w:t>
            </w:r>
          </w:p>
        </w:tc>
        <w:tc>
          <w:tcPr/>
          <w:p>
            <w:pPr>
              <w:pStyle w:val="Compact"/>
              <w:jc w:val="both"/>
            </w:pPr>
          </w:p>
        </w:tc>
      </w:tr>
      <w:tr>
        <w:trPr>
          <w:cantSplit/>
          <w:trHeight w:val="454"/>
        </w:trPr>
        <w:tc>
          <w:tcPr/>
          <w:p>
            <w:pPr>
              <w:pStyle w:val="Compact"/>
              <w:jc w:val="both"/>
            </w:pPr>
            <w:r>
              <w:t xml:space="preserve">5</w:t>
            </w:r>
          </w:p>
        </w:tc>
        <w:tc>
          <w:tcPr/>
          <w:p>
            <w:pPr>
              <w:pStyle w:val="Compact"/>
              <w:jc w:val="both"/>
            </w:pPr>
          </w:p>
        </w:tc>
        <w:tc>
          <w:tcPr/>
          <w:p>
            <w:pPr>
              <w:pStyle w:val="Compact"/>
              <w:jc w:val="both"/>
            </w:pPr>
            <w:r>
              <w:t xml:space="preserve">120</w:t>
            </w:r>
          </w:p>
        </w:tc>
        <w:tc>
          <w:tcPr/>
          <w:p>
            <w:pPr>
              <w:pStyle w:val="Compact"/>
              <w:jc w:val="both"/>
            </w:pPr>
          </w:p>
        </w:tc>
      </w:tr>
      <w:tr>
        <w:trPr>
          <w:cantSplit/>
          <w:trHeight w:val="454"/>
        </w:trPr>
        <w:tc>
          <w:tcPr/>
          <w:p>
            <w:pPr>
              <w:pStyle w:val="Compact"/>
              <w:jc w:val="both"/>
            </w:pPr>
            <w:r>
              <w:t xml:space="preserve">8</w:t>
            </w:r>
          </w:p>
        </w:tc>
        <w:tc>
          <w:tcPr/>
          <w:p>
            <w:pPr>
              <w:pStyle w:val="Compact"/>
              <w:jc w:val="both"/>
            </w:pPr>
          </w:p>
        </w:tc>
        <w:tc>
          <w:tcPr/>
          <w:p>
            <w:pPr>
              <w:pStyle w:val="Compact"/>
              <w:jc w:val="both"/>
            </w:pPr>
            <w:r>
              <w:t xml:space="preserve">180</w:t>
            </w:r>
          </w:p>
        </w:tc>
        <w:tc>
          <w:tcPr/>
          <w:p>
            <w:pPr>
              <w:pStyle w:val="Compact"/>
              <w:jc w:val="both"/>
            </w:pPr>
          </w:p>
        </w:tc>
      </w:tr>
      <w:tr>
        <w:trPr>
          <w:cantSplit/>
          <w:trHeight w:val="454"/>
        </w:trPr>
        <w:tc>
          <w:tcPr/>
          <w:p>
            <w:pPr>
              <w:pStyle w:val="Compact"/>
              <w:jc w:val="both"/>
            </w:pPr>
            <w:r>
              <w:t xml:space="preserve">10</w:t>
            </w:r>
          </w:p>
        </w:tc>
        <w:tc>
          <w:tcPr/>
          <w:p>
            <w:pPr>
              <w:pStyle w:val="Compact"/>
              <w:jc w:val="both"/>
            </w:pPr>
          </w:p>
        </w:tc>
        <w:tc>
          <w:tcPr/>
          <w:p>
            <w:pPr>
              <w:pStyle w:val="Compact"/>
              <w:jc w:val="both"/>
            </w:pPr>
            <w:r>
              <w:t xml:space="preserve">240</w:t>
            </w:r>
          </w:p>
        </w:tc>
        <w:tc>
          <w:tcPr/>
          <w:p>
            <w:pPr>
              <w:pStyle w:val="Compact"/>
              <w:jc w:val="both"/>
            </w:pPr>
          </w:p>
        </w:tc>
      </w:tr>
    </w:tbl>
    <w:p>
      <w:pPr>
        <w:pStyle w:val="BodyText"/>
        <w:spacing w:before="160"/>
        <w:jc w:val="both"/>
      </w:pPr>
      <w:r>
        <w:t xml:space="preserve">Esta tabla resume puntos del registro; conservar el archivo digital completo. Anotar unidades y no redondear los tiempos a estas filas para localizar un cruce.</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1320"/>
        <w:gridCol w:w="1320"/>
        <w:gridCol w:w="1320"/>
        <w:gridCol w:w="1320"/>
        <w:gridCol w:w="1320"/>
        <w:gridCol w:w="1320"/>
      </w:tblGrid>
      <w:tr>
        <w:trPr>
          <w:cantSplit/>
          <w:tblHeader/>
        </w:trPr>
        <w:tc>
          <w:tcPr>
            <w:shd w:val="clear" w:color="auto" w:fill="4E2891"/>
          </w:tcPr>
          <w:p>
            <w:pPr>
              <w:pStyle w:val="Compact"/>
              <w:keepNext/>
              <w:jc w:val="both"/>
            </w:pPr>
            <w:r>
              <w:rPr>
                <w:b/>
                <w:color w:val="FFFFFF"/>
              </w:rPr>
              <w:t xml:space="preserve">y₀</w:t>
            </w:r>
          </w:p>
        </w:tc>
        <w:tc>
          <w:tcPr>
            <w:shd w:val="clear" w:color="auto" w:fill="4E2891"/>
          </w:tcPr>
          <w:p>
            <w:pPr>
              <w:pStyle w:val="Compact"/>
              <w:keepNext/>
              <w:jc w:val="both"/>
            </w:pPr>
            <w:r>
              <w:rPr>
                <w:b/>
                <w:color w:val="FFFFFF"/>
              </w:rPr>
              <w:t xml:space="preserve">y_f</w:t>
            </w:r>
          </w:p>
        </w:tc>
        <w:tc>
          <w:tcPr>
            <w:shd w:val="clear" w:color="auto" w:fill="4E2891"/>
          </w:tcPr>
          <w:p>
            <w:pPr>
              <w:pStyle w:val="Compact"/>
              <w:keepNext/>
              <w:jc w:val="both"/>
            </w:pPr>
            <w:r>
              <w:rPr>
                <w:b/>
                <w:color w:val="FFFFFF"/>
              </w:rPr>
              <w:t xml:space="preserve">y₁₀</w:t>
            </w:r>
          </w:p>
        </w:tc>
        <w:tc>
          <w:tcPr>
            <w:shd w:val="clear" w:color="auto" w:fill="4E2891"/>
          </w:tcPr>
          <w:p>
            <w:pPr>
              <w:pStyle w:val="Compact"/>
              <w:keepNext/>
              <w:jc w:val="both"/>
            </w:pPr>
            <w:r>
              <w:rPr>
                <w:b/>
                <w:color w:val="FFFFFF"/>
              </w:rPr>
              <w:t xml:space="preserve">y₉₀</w:t>
            </w:r>
          </w:p>
        </w:tc>
        <w:tc>
          <w:tcPr>
            <w:shd w:val="clear" w:color="auto" w:fill="4E2891"/>
          </w:tcPr>
          <w:p>
            <w:pPr>
              <w:pStyle w:val="Compact"/>
              <w:keepNext/>
              <w:jc w:val="both"/>
            </w:pPr>
            <w:r>
              <w:rPr>
                <w:b/>
                <w:color w:val="FFFFFF"/>
              </w:rPr>
              <w:t xml:space="preserve">Banda final inferior–superior</w:t>
            </w:r>
          </w:p>
        </w:tc>
        <w:tc>
          <w:tcPr>
            <w:shd w:val="clear" w:color="auto" w:fill="4E2891"/>
          </w:tcPr>
          <w:p>
            <w:pPr>
              <w:pStyle w:val="Compact"/>
              <w:keepNext/>
              <w:jc w:val="both"/>
            </w:pPr>
            <w:r>
              <w:rPr>
                <w:b/>
                <w:color w:val="FFFFFF"/>
              </w:rPr>
              <w:t xml:space="preserve">Duración registrada</w:t>
            </w:r>
          </w:p>
        </w:tc>
      </w:tr>
      <w:tr>
        <w:trPr>
          <w:cantSplit/>
          <w:trHeight w:val="454"/>
        </w:trPr>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c>
          <w:tcPr/>
          <w:p>
            <w:pPr>
              <w:pStyle w:val="Compact"/>
              <w:jc w:val="both"/>
            </w:pPr>
          </w:p>
        </w:tc>
      </w:tr>
    </w:tbl>
    <w:bookmarkEnd w:id="45"/>
    <w:bookmarkStart w:id="46" w:name="resultados-de-las-cuatro-transferencias"/>
    <w:p>
      <w:pPr>
        <w:pStyle w:val="Heading2"/>
        <w:jc w:val="both"/>
      </w:pPr>
      <w:r>
        <w:t xml:space="preserve">Resultados de las cuatro transferencias</w:t>
      </w:r>
    </w:p>
    <w:tbl>
      <w:tblPr>
        <w:tblStyle w:val="Table"/>
        <w:tblW w:type="pct" w:w="5000"/>
        <w:jc w:val="center"/>
        <w:tblBorders>
          <w:top w:val="single" w:sz="4" w:space="0" w:color="B7AFC6"/>
          <w:left w:val="single" w:sz="4" w:space="0" w:color="B7AFC6"/>
          <w:bottom w:val="single" w:sz="4" w:space="0" w:color="B7AFC6"/>
          <w:right w:val="single" w:sz="4" w:space="0" w:color="B7AFC6"/>
          <w:insideH w:val="single" w:sz="4" w:space="0" w:color="B7AFC6"/>
          <w:insideV w:val="single" w:sz="4" w:space="0" w:color="B7AFC6"/>
        </w:tblBorders>
        <w:tblLayout w:type="fixed"/>
        <w:tblCellMar>
          <w:top w:w="50" w:type="dxa"/>
          <w:left w:w="100" w:type="dxa"/>
          <w:bottom w:w="50" w:type="dxa"/>
          <w:right w:w="100" w:type="dxa"/>
        </w:tblCellMar>
        <w:tblLook w:firstRow="1" w:lastRow="0" w:firstColumn="0" w:lastColumn="0" w:noHBand="0" w:noVBand="0" w:val="0020"/>
      </w:tblPr>
      <w:tblGrid>
        <w:gridCol w:w="1584"/>
        <w:gridCol w:w="1584"/>
        <w:gridCol w:w="1584"/>
        <w:gridCol w:w="1584"/>
        <w:gridCol w:w="1584"/>
      </w:tblGrid>
      <w:tr>
        <w:trPr>
          <w:cantSplit/>
          <w:tblHeader/>
        </w:trPr>
        <w:tc>
          <w:tcPr>
            <w:shd w:val="clear" w:color="auto" w:fill="4E2891"/>
          </w:tcPr>
          <w:p>
            <w:pPr>
              <w:pStyle w:val="Compact"/>
              <w:keepNext/>
              <w:jc w:val="both"/>
            </w:pPr>
            <w:r>
              <w:rPr>
                <w:b/>
                <w:color w:val="FFFFFF"/>
              </w:rPr>
              <w:t xml:space="preserve">Ensayo e ID de sonda</w:t>
            </w:r>
          </w:p>
        </w:tc>
        <w:tc>
          <w:tcPr>
            <w:shd w:val="clear" w:color="auto" w:fill="4E2891"/>
          </w:tcPr>
          <w:p>
            <w:pPr>
              <w:pStyle w:val="Compact"/>
              <w:keepNext/>
              <w:jc w:val="both"/>
            </w:pPr>
            <w:r>
              <w:rPr>
                <w:b/>
                <w:color w:val="FFFFFF"/>
              </w:rPr>
              <w:t xml:space="preserve">t₁₀ [s]</w:t>
            </w:r>
          </w:p>
        </w:tc>
        <w:tc>
          <w:tcPr>
            <w:shd w:val="clear" w:color="auto" w:fill="4E2891"/>
          </w:tcPr>
          <w:p>
            <w:pPr>
              <w:pStyle w:val="Compact"/>
              <w:keepNext/>
              <w:jc w:val="both"/>
            </w:pPr>
            <w:r>
              <w:rPr>
                <w:b/>
                <w:color w:val="FFFFFF"/>
              </w:rPr>
              <w:t xml:space="preserve">t₉₀ [s]</w:t>
            </w:r>
          </w:p>
        </w:tc>
        <w:tc>
          <w:tcPr>
            <w:shd w:val="clear" w:color="auto" w:fill="4E2891"/>
          </w:tcPr>
          <w:p>
            <w:pPr>
              <w:pStyle w:val="Compact"/>
              <w:keepNext/>
              <w:jc w:val="both"/>
            </w:pPr>
            <w:r>
              <w:rPr>
                <w:b/>
                <w:color w:val="FFFFFF"/>
              </w:rPr>
              <w:t xml:space="preserve">t₁₀–₉₀ [s]</w:t>
            </w:r>
          </w:p>
        </w:tc>
        <w:tc>
          <w:tcPr>
            <w:shd w:val="clear" w:color="auto" w:fill="4E2891"/>
          </w:tcPr>
          <w:p>
            <w:pPr>
              <w:pStyle w:val="Compact"/>
              <w:keepNext/>
              <w:jc w:val="both"/>
            </w:pPr>
            <w:r>
              <w:rPr>
                <w:b/>
                <w:color w:val="FFFFFF"/>
              </w:rPr>
              <w:t xml:space="preserve">Estabilización [s] o motivo de no cálculo</w:t>
            </w:r>
          </w:p>
        </w:tc>
      </w:tr>
      <w:tr>
        <w:trPr>
          <w:cantSplit/>
          <w:trHeight w:val="454"/>
        </w:trPr>
        <w:tc>
          <w:tcPr/>
          <w:p>
            <w:pPr>
              <w:pStyle w:val="Compact"/>
              <w:keepNext/>
              <w:jc w:val="both"/>
            </w:pPr>
            <w:r>
              <w:t xml:space="preserve">pH 3 → 10 / ID: ______</w:t>
            </w:r>
          </w:p>
        </w:tc>
        <w:tc>
          <w:tcPr/>
          <w:p>
            <w:pPr>
              <w:pStyle w:val="Compact"/>
              <w:keepNext/>
              <w:jc w:val="both"/>
            </w:pPr>
          </w:p>
        </w:tc>
        <w:tc>
          <w:tcPr/>
          <w:p>
            <w:pPr>
              <w:pStyle w:val="Compact"/>
              <w:keepNext/>
              <w:jc w:val="both"/>
            </w:pPr>
          </w:p>
        </w:tc>
        <w:tc>
          <w:tcPr/>
          <w:p>
            <w:pPr>
              <w:pStyle w:val="Compact"/>
              <w:keepNext/>
              <w:jc w:val="both"/>
            </w:pPr>
          </w:p>
        </w:tc>
        <w:tc>
          <w:tcPr/>
          <w:p>
            <w:pPr>
              <w:pStyle w:val="Compact"/>
              <w:keepNext/>
              <w:jc w:val="both"/>
            </w:pPr>
          </w:p>
        </w:tc>
      </w:tr>
      <w:tr>
        <w:trPr>
          <w:cantSplit/>
          <w:trHeight w:val="454"/>
        </w:trPr>
        <w:tc>
          <w:tcPr/>
          <w:p>
            <w:pPr>
              <w:pStyle w:val="Compact"/>
              <w:keepNext/>
              <w:jc w:val="both"/>
            </w:pPr>
            <w:r>
              <w:t xml:space="preserve">pH 10 → 3 / ID: ______</w:t>
            </w:r>
          </w:p>
        </w:tc>
        <w:tc>
          <w:tcPr/>
          <w:p>
            <w:pPr>
              <w:pStyle w:val="Compact"/>
              <w:keepNext/>
              <w:jc w:val="both"/>
            </w:pPr>
          </w:p>
        </w:tc>
        <w:tc>
          <w:tcPr/>
          <w:p>
            <w:pPr>
              <w:pStyle w:val="Compact"/>
              <w:keepNext/>
              <w:jc w:val="both"/>
            </w:pPr>
          </w:p>
        </w:tc>
        <w:tc>
          <w:tcPr/>
          <w:p>
            <w:pPr>
              <w:pStyle w:val="Compact"/>
              <w:keepNext/>
              <w:jc w:val="both"/>
            </w:pPr>
          </w:p>
        </w:tc>
        <w:tc>
          <w:tcPr/>
          <w:p>
            <w:pPr>
              <w:pStyle w:val="Compact"/>
              <w:keepNext/>
              <w:jc w:val="both"/>
            </w:pPr>
          </w:p>
        </w:tc>
      </w:tr>
      <w:tr>
        <w:trPr>
          <w:cantSplit/>
          <w:trHeight w:val="454"/>
        </w:trPr>
        <w:tc>
          <w:tcPr/>
          <w:p>
            <w:pPr>
              <w:pStyle w:val="Compact"/>
              <w:keepNext/>
              <w:jc w:val="both"/>
            </w:pPr>
            <w:r>
              <w:t xml:space="preserve">O₂ aire → N₂ / ID: ______</w:t>
            </w:r>
          </w:p>
        </w:tc>
        <w:tc>
          <w:tcPr/>
          <w:p>
            <w:pPr>
              <w:pStyle w:val="Compact"/>
              <w:keepNext/>
              <w:jc w:val="both"/>
            </w:pPr>
          </w:p>
        </w:tc>
        <w:tc>
          <w:tcPr/>
          <w:p>
            <w:pPr>
              <w:pStyle w:val="Compact"/>
              <w:keepNext/>
              <w:jc w:val="both"/>
            </w:pPr>
          </w:p>
        </w:tc>
        <w:tc>
          <w:tcPr/>
          <w:p>
            <w:pPr>
              <w:pStyle w:val="Compact"/>
              <w:keepNext/>
              <w:jc w:val="both"/>
            </w:pPr>
          </w:p>
        </w:tc>
        <w:tc>
          <w:tcPr/>
          <w:p>
            <w:pPr>
              <w:pStyle w:val="Compact"/>
              <w:keepNext/>
              <w:jc w:val="both"/>
            </w:pPr>
          </w:p>
        </w:tc>
      </w:tr>
      <w:tr>
        <w:trPr>
          <w:cantSplit/>
          <w:trHeight w:val="454"/>
        </w:trPr>
        <w:tc>
          <w:tcPr/>
          <w:p>
            <w:pPr>
              <w:pStyle w:val="Compact"/>
              <w:jc w:val="both"/>
            </w:pPr>
            <w:r>
              <w:t xml:space="preserve">O₂ N₂ → aire / ID: ______</w:t>
            </w:r>
          </w:p>
        </w:tc>
        <w:tc>
          <w:tcPr/>
          <w:p>
            <w:pPr>
              <w:pStyle w:val="Compact"/>
              <w:jc w:val="both"/>
            </w:pPr>
          </w:p>
        </w:tc>
        <w:tc>
          <w:tcPr/>
          <w:p>
            <w:pPr>
              <w:pStyle w:val="Compact"/>
              <w:jc w:val="both"/>
            </w:pPr>
          </w:p>
        </w:tc>
        <w:tc>
          <w:tcPr/>
          <w:p>
            <w:pPr>
              <w:pStyle w:val="Compact"/>
              <w:jc w:val="both"/>
            </w:pPr>
          </w:p>
        </w:tc>
        <w:tc>
          <w:tcPr/>
          <w:p>
            <w:pPr>
              <w:pStyle w:val="Compact"/>
              <w:jc w:val="both"/>
            </w:pPr>
          </w:p>
        </w:tc>
      </w:tr>
    </w:tbl>
    <w:p>
      <w:pPr>
        <w:pStyle w:val="BodyText"/>
        <w:spacing w:before="160"/>
        <w:jc w:val="both"/>
      </w:pPr>
      <w:r>
        <w:rPr>
          <w:b/>
          <w:bCs/>
        </w:rPr>
        <w:t xml:space="preserve">Incidentes, incertidumbre de t₀, datos faltantes e interpretación:</w:t>
      </w:r>
      <w:r>
        <w:t xml:space="preserve"> </w:t>
      </w:r>
      <w:r>
        <w:t xml:space="preserve">____________________</w:t>
      </w:r>
    </w:p>
    <w:bookmarkEnd w:id="46"/>
    <w:bookmarkEnd w:id="47"/>
    <w:bookmarkStart w:id="50" w:name="alcance-del-tiempo-de-respuesta-medido"/>
    <w:p>
      <w:pPr>
        <w:pStyle w:val="Heading1"/>
        <w:jc w:val="both"/>
      </w:pPr>
      <w:r>
        <w:t xml:space="preserve">Alcance del tiempo de respuesta medido</w:t>
      </w:r>
    </w:p>
    <w:p>
      <w:pPr>
        <w:pStyle w:val="FirstParagraph"/>
        <w:jc w:val="both"/>
      </w:pPr>
      <w:r>
        <w:t xml:space="preserve">El resultado incluye la</w:t>
      </w:r>
      <w:r>
        <w:t xml:space="preserve"> </w:t>
      </w:r>
      <w:r>
        <w:rPr>
          <w:b/>
          <w:bCs/>
        </w:rPr>
        <w:t xml:space="preserve">sonda, la película de líquido junto a ella, el procedimiento de transferencia y la adquisición/filtrado de Biostat</w:t>
      </w:r>
      <w:r>
        <w:t xml:space="preserve">. Es un tiempo de respuesta observado del sistema de medición en las condiciones registradas. Una comparación con un fabricante requiere identificar modelo, tecnología, definición del tiempo (t₉₀, t₉₈, etc.), temperatura y condiciones de su ensayo.</w:t>
      </w:r>
    </w:p>
    <w:p>
      <w:pPr>
        <w:pStyle w:val="BodyText"/>
        <w:jc w:val="both"/>
      </w:pPr>
      <w:r>
        <w:t xml:space="preserve">Referencias de preparación de Hamilton:</w:t>
      </w:r>
      <w:r>
        <w:t xml:space="preserve"> </w:t>
      </w:r>
      <w:hyperlink r:id="rId48">
        <w:r>
          <w:rPr>
            <w:rStyle w:val="Hyperlink"/>
          </w:rPr>
          <w:t xml:space="preserve">respuesta de pH</w:t>
        </w:r>
      </w:hyperlink>
      <w:r>
        <w:t xml:space="preserve"> </w:t>
      </w:r>
      <w:r>
        <w:t xml:space="preserve">y</w:t>
      </w:r>
      <w:r>
        <w:t xml:space="preserve"> </w:t>
      </w:r>
      <w:hyperlink r:id="rId49">
        <w:r>
          <w:rPr>
            <w:rStyle w:val="Hyperlink"/>
          </w:rPr>
          <w:t xml:space="preserve">referencias de oxígeno</w:t>
        </w:r>
      </w:hyperlink>
      <w:r>
        <w:t xml:space="preserve">. No identifican las sondas del taller ni sustituyen sus manuales.</w:t>
      </w:r>
    </w:p>
    <w:bookmarkEnd w:id="50"/>
    <w:sectPr>
      <w:headerReference w:type="default" r:id="rId9"/>
      <w:footerReference w:type="default" r:id="rId11"/>
      <w:footnotePr>
        <w:numRestart w:val="eachSect"/>
      </w:footnotePr>
      <w:pgSz w:w="12240" w:h="15840"/>
      <w:pgMar w:left="1418" w:right="1418" w:top="1418" w:bottom="1418"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C2B4E0" w:sz="6" w:space="6"/>
      </w:pBdr>
      <w:tabs>
        <w:tab w:val="right" w:pos="9404"/>
      </w:tabs>
    </w:pPr>
    <w:r>
      <w:rPr>
        <w:color w:val="7A6B95"/>
        <w:sz w:val="16"/>
        <w:szCs w:val="16"/>
      </w:rPr>
      <w:t xml:space="preserve">XI SLATCC 2026 · 2–5 de noviembre de 2026 · Cuernavaca</w:t>
    </w:r>
    <w:r>
      <w:rPr>
        <w:color w:val="7A6B95"/>
        <w:sz w:val="16"/>
        <w:szCs w:val="16"/>
      </w:rPr>
      <w:t xml:space="preserve">	</w:t>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color="C2B4E0" w:sz="6" w:space="6"/>
      </w:pBdr>
      <w:tabs>
        <w:tab w:val="right" w:pos="9404"/>
      </w:tabs>
    </w:pPr>
    <w:r>
      <w:drawing>
        <wp:inline distT="0" distB="0" distL="0" distR="0">
          <wp:extent cx="12668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66825" cy="381000"/>
                  </a:xfrm>
                  <a:prstGeom prst="rect">
                    <a:avLst/>
                  </a:prstGeom>
                </pic:spPr>
              </pic:pic>
            </a:graphicData>
          </a:graphic>
        </wp:inline>
      </w:drawing>
    </w:r>
    <w:r>
      <w:t xml:space="preserve">	</w:t>
    </w:r>
    <w:r>
      <w:drawing>
        <wp:inline distT="0" distB="0" distL="0" distR="0">
          <wp:extent cx="1276350" cy="30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276350" cy="304800"/>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color w:val="1F1A2B"/>
      <w:sz w:val="22"/>
    </w:rPr>
  </w:style>
  <w:style w:styleId="BodyText" w:type="paragraph">
    <w:name w:val="Body Text"/>
    <w:basedOn w:val="Normal"/>
    <w:link w:val="BodyTextChar"/>
    <w:qFormat/>
    <w:pPr>
      <w:spacing w:after="120" w:before="0" w:line="276" w:lineRule="auto"/>
    </w:pPr>
    <w:rPr>
      <w:rFonts w:ascii="Arial" w:hAnsi="Arial" w:cs="Arial" w:eastAsia="Arial"/>
      <w:color w:val="1F1A2B"/>
      <w:sz w:val="22"/>
    </w:rPr>
  </w:style>
  <w:style w:customStyle="1" w:styleId="FirstParagraph" w:type="paragraph">
    <w:name w:val="First Paragraph"/>
    <w:basedOn w:val="BodyText"/>
    <w:next w:val="BodyText"/>
    <w:qFormat/>
    <w:pPr>
      <w:spacing w:before="0" w:after="120" w:line="276" w:lineRule="auto"/>
    </w:pPr>
    <w:rPr>
      <w:rFonts w:ascii="Arial" w:hAnsi="Arial" w:cs="Arial" w:eastAsia="Arial"/>
      <w:color w:val="1F1A2B"/>
      <w:sz w:val="22"/>
    </w:rPr>
  </w:style>
  <w:style w:customStyle="1" w:styleId="Compact" w:type="paragraph">
    <w:name w:val="Compact"/>
    <w:basedOn w:val="BodyText"/>
    <w:qFormat/>
    <w:pPr>
      <w:spacing w:after="20" w:before="20" w:line="240" w:lineRule="auto"/>
    </w:pPr>
    <w:rPr>
      <w:rFonts w:ascii="Arial" w:hAnsi="Arial" w:cs="Arial" w:eastAsia="Arial"/>
      <w:color w:val="1F1A2B"/>
      <w:sz w:val="22"/>
    </w:rPr>
  </w:style>
  <w:style w:styleId="Title" w:type="paragraph">
    <w:name w:val="Title"/>
    <w:basedOn w:val="Normal"/>
    <w:next w:val="BodyText"/>
    <w:link w:val="TitleChar"/>
    <w:uiPriority w:val="10"/>
    <w:qFormat/>
    <w:rsid w:val="00A10FD9"/>
    <w:pPr>
      <w:spacing w:after="80" w:line="240" w:lineRule="auto" w:before="0"/>
      <w:contextualSpacing/>
      <w:jc w:val="left"/>
    </w:pPr>
    <w:rPr>
      <w:rFonts w:cstheme="majorBidi" w:ascii="Arial" w:hAnsi="Arial" w:cs="Arial" w:eastAsia="Arial"/>
      <w:b/>
      <w:i w:val="0"/>
      <w:color w:val="4E2891"/>
      <w:sz w:val="44"/>
      <w:szCs w:val="56"/>
    </w:rPr>
  </w:style>
  <w:style w:customStyle="1" w:styleId="TitleChar" w:type="character">
    <w:name w:val="Title Char"/>
    <w:basedOn w:val="DefaultParagraphFont"/>
    <w:link w:val="Title"/>
    <w:uiPriority w:val="10"/>
    <w:rsid w:val="00A10FD9"/>
    <w:rPr>
      <w:rFonts w:cstheme="majorBidi" w:ascii="Arial" w:hAnsi="Arial" w:cs="Arial" w:eastAsia="Arial"/>
      <w:sz w:val="56"/>
      <w:szCs w:val="56"/>
    </w:rPr>
  </w:style>
  <w:style w:styleId="Subtitle" w:type="paragraph">
    <w:name w:val="Subtitle"/>
    <w:basedOn w:val="Title"/>
    <w:next w:val="BodyText"/>
    <w:link w:val="SubtitleChar"/>
    <w:uiPriority w:val="11"/>
    <w:qFormat/>
    <w:rsid w:val="00A10FD9"/>
    <w:pPr>
      <w:numPr>
        <w:ilvl w:val="1"/>
      </w:numPr>
    </w:pPr>
    <w:rPr>
      <w:rFonts w:cstheme="majorBidi" w:ascii="Arial" w:hAnsi="Arial" w:cs="Arial" w:eastAsia="Arial"/>
      <w:spacing w:val="15"/>
      <w:sz w:val="28"/>
      <w:szCs w:val="28"/>
    </w:rPr>
  </w:style>
  <w:style w:customStyle="1" w:styleId="SubtitleChar" w:type="character">
    <w:name w:val="Subtitle Char"/>
    <w:basedOn w:val="DefaultParagraphFont"/>
    <w:link w:val="Subtitle"/>
    <w:uiPriority w:val="11"/>
    <w:rsid w:val="00A10FD9"/>
    <w:rPr>
      <w:rFonts w:cstheme="majorBidi" w:ascii="Arial" w:hAnsi="Arial" w:cs="Arial" w:eastAsia="Arial"/>
      <w:color w:themeColor="text1" w:themeTint="A6" w:val="595959"/>
      <w:spacing w:val="15"/>
      <w:sz w:val="28"/>
      <w:szCs w:val="28"/>
    </w:rPr>
  </w:style>
  <w:style w:customStyle="1" w:styleId="Author" w:type="paragraph">
    <w:name w:val="Author"/>
    <w:basedOn w:val="Title"/>
    <w:next w:val="BodyText"/>
    <w:qFormat/>
    <w:pPr>
      <w:keepNext/>
      <w:keepLines/>
    </w:pPr>
    <w:rPr>
      <w:rFonts w:ascii="Arial" w:hAnsi="Arial" w:cs="Arial" w:eastAsia="Arial"/>
      <w:sz w:val="24"/>
      <w:szCs w:val="24"/>
    </w:rPr>
  </w:style>
  <w:style w:styleId="Date" w:type="paragraph">
    <w:name w:val="Date"/>
    <w:basedOn w:val="Title"/>
    <w:next w:val="BodyText"/>
    <w:qFormat/>
    <w:pPr>
      <w:keepNext/>
      <w:keepLines/>
    </w:pPr>
    <w:rPr>
      <w:rFonts w:ascii="Arial" w:hAnsi="Arial" w:cs="Arial" w:eastAsia="Arial"/>
      <w:sz w:val="24"/>
      <w:szCs w:val="24"/>
    </w:rPr>
  </w:style>
  <w:style w:customStyle="1" w:styleId="AbstractTitle" w:type="paragraph">
    <w:name w:val="Abstract Title"/>
    <w:basedOn w:val="Normal"/>
    <w:next w:val="Abstract"/>
    <w:qFormat/>
    <w:pPr>
      <w:keepNext/>
      <w:keepLines/>
      <w:spacing w:after="0" w:before="300"/>
      <w:jc w:val="center"/>
    </w:pPr>
    <w:rPr>
      <w:rFonts w:ascii="Arial" w:hAnsi="Arial" w:cs="Arial" w:eastAsia="Arial"/>
      <w:b/>
      <w:sz w:val="20"/>
      <w:szCs w:val="20"/>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link w:val="Heading1Char"/>
    <w:uiPriority w:val="9"/>
    <w:qFormat/>
    <w:rsid w:val="00A10FD9"/>
    <w:pPr>
      <w:keepNext/>
      <w:keepLines/>
      <w:spacing w:after="120" w:before="320"/>
      <w:jc w:val="left"/>
      <w:outlineLvl w:val="0"/>
    </w:pPr>
    <w:rPr>
      <w:rFonts w:cstheme="majorBidi" w:ascii="Arial" w:hAnsi="Arial" w:cs="Arial" w:eastAsia="Arial"/>
      <w:b/>
      <w:i w:val="0"/>
      <w:color w:val="4E2891"/>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40"/>
      <w:jc w:val="left"/>
      <w:outlineLvl w:val="1"/>
    </w:pPr>
    <w:rPr>
      <w:rFonts w:cstheme="majorBidi" w:ascii="Arial" w:hAnsi="Arial" w:cs="Arial" w:eastAsia="Arial"/>
      <w:b/>
      <w:i w:val="0"/>
      <w:color w:val="BD2874"/>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cstheme="majorBidi" w:ascii="Arial" w:hAnsi="Arial" w:cs="Arial" w:eastAsia="Arial"/>
      <w:b/>
      <w:i w:val="0"/>
      <w:color w:val="4E289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Arial" w:hAnsi="Arial" w:cs="Arial" w:eastAsia="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Arial" w:hAnsi="Arial" w:cs="Arial" w:eastAsia="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Arial" w:hAnsi="Arial" w:cs="Arial" w:eastAsia="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Arial" w:hAnsi="Arial" w:cs="Arial" w:eastAsia="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Arial" w:hAnsi="Arial" w:cs="Arial" w:eastAsia="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Arial" w:hAnsi="Arial" w:cs="Arial" w:eastAsia="Arial"/>
      <w:color w:themeColor="text1" w:themeTint="D8" w:val="272727"/>
    </w:rPr>
  </w:style>
  <w:style w:customStyle="1" w:styleId="Heading1Char" w:type="character">
    <w:name w:val="Heading 1 Char"/>
    <w:basedOn w:val="DefaultParagraphFont"/>
    <w:link w:val="Heading1"/>
    <w:uiPriority w:val="9"/>
    <w:rsid w:val="00A10FD9"/>
    <w:rPr>
      <w:rFonts w:cstheme="majorBidi" w:ascii="Arial" w:hAnsi="Arial" w:cs="Arial" w:eastAsia="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Arial" w:hAnsi="Arial" w:cs="Arial" w:eastAsia="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Arial" w:hAnsi="Arial" w:cs="Arial" w:eastAsia="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Arial" w:hAnsi="Arial" w:cs="Arial" w:eastAsia="Arial"/>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Arial" w:hAnsi="Arial" w:cs="Arial" w:eastAsia="Arial"/>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Arial" w:hAnsi="Arial" w:cs="Arial" w:eastAsia="Arial"/>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Arial" w:hAnsi="Arial" w:cs="Arial" w:eastAsia="Arial"/>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Arial" w:hAnsi="Arial" w:cs="Arial" w:eastAsia="Arial"/>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Arial" w:hAnsi="Arial" w:cs="Arial" w:eastAsia="Arial"/>
      <w:color w:themeColor="text1" w:themeTint="D8" w:val="272727"/>
    </w:rPr>
  </w:style>
  <w:style w:styleId="BlockText" w:type="paragraph">
    <w:name w:val="Block Text"/>
    <w:basedOn w:val="BodyText"/>
    <w:next w:val="BodyText"/>
    <w:uiPriority w:val="9"/>
    <w:unhideWhenUsed/>
    <w:qFormat/>
    <w:pPr>
      <w:pBdr>
        <w:left w:val="single" w:sz="18" w:space="8" w:color="BD2874"/>
      </w:pBdr>
      <w:spacing w:after="80" w:before="80"/>
      <w:ind w:firstLine="0" w:left="283" w:right="480"/>
    </w:pPr>
    <w:rPr>
      <w:rFonts w:ascii="Arial" w:hAnsi="Arial" w:cs="Arial" w:eastAsia="Arial"/>
      <w:i w:val="0"/>
      <w:color w:val="4A3A68"/>
      <w:sz w:val="22"/>
    </w:rPr>
  </w:style>
  <w:style w:styleId="FootnoteText" w:type="paragraph">
    <w:name w:val="Footnote Text"/>
    <w:basedOn w:val="Normal"/>
    <w:next w:val="FootnoteText"/>
    <w:uiPriority w:val="9"/>
    <w:unhideWhenUsed/>
    <w:qFormat/>
    <w:rPr>
      <w:rFonts w:ascii="Arial" w:hAnsi="Arial" w:cs="Arial" w:eastAsia="Arial"/>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i/>
      <w:color w:val="7A6B95"/>
      <w:sz w:val="18"/>
    </w:rPr>
  </w:style>
  <w:style w:customStyle="1" w:styleId="ImageCaption" w:type="paragraph">
    <w:name w:val="Image Caption"/>
    <w:basedOn w:val="Caption"/>
    <w:rPr>
      <w:rFonts w:ascii="Arial" w:hAnsi="Arial" w:cs="Arial" w:eastAsia="Arial"/>
      <w:i/>
      <w:color w:val="7A6B95"/>
      <w:sz w:val="18"/>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Arial" w:hAnsi="Arial" w:cs="Arial" w:eastAsia="Arial"/>
      <w:b/>
      <w:color w:val="007020"/>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rFonts w:ascii="Arial" w:hAnsi="Arial" w:cs="Arial" w:eastAsia="Arial"/>
      <w:b/>
      <w:color w:val="008000"/>
    </w:rPr>
  </w:style>
  <w:style w:type="character" w:customStyle="1" w:styleId="CommentTok">
    <w:name w:val="CommentTok"/>
    <w:basedOn w:val="VerbatimChar"/>
    <w:rPr>
      <w:rFonts w:ascii="Arial" w:hAnsi="Arial" w:cs="Arial" w:eastAsia="Arial"/>
      <w:i/>
      <w:color w:val="60a0b0"/>
    </w:rPr>
  </w:style>
  <w:style w:type="character" w:customStyle="1" w:styleId="DocumentationTok">
    <w:name w:val="DocumentationTok"/>
    <w:basedOn w:val="VerbatimChar"/>
    <w:rPr>
      <w:rFonts w:ascii="Arial" w:hAnsi="Arial" w:cs="Arial" w:eastAsia="Arial"/>
      <w:i/>
      <w:color w:val="ba2121"/>
    </w:rPr>
  </w:style>
  <w:style w:type="character" w:customStyle="1" w:styleId="AnnotationTok">
    <w:name w:val="AnnotationTok"/>
    <w:basedOn w:val="VerbatimChar"/>
    <w:rPr>
      <w:rFonts w:ascii="Arial" w:hAnsi="Arial" w:cs="Arial" w:eastAsia="Arial"/>
      <w:b/>
      <w:i/>
      <w:color w:val="60a0b0"/>
    </w:rPr>
  </w:style>
  <w:style w:type="character" w:customStyle="1" w:styleId="CommentVarTok">
    <w:name w:val="CommentVarTok"/>
    <w:basedOn w:val="VerbatimChar"/>
    <w:rPr>
      <w:rFonts w:ascii="Arial" w:hAnsi="Arial" w:cs="Arial" w:eastAsia="Arial"/>
      <w:b/>
      <w:i/>
      <w:color w:val="60a0b0"/>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rFonts w:ascii="Arial" w:hAnsi="Arial" w:cs="Arial" w:eastAsia="Arial"/>
      <w:b/>
      <w:color w:val="007020"/>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rFonts w:ascii="Arial" w:hAnsi="Arial" w:cs="Arial" w:eastAsia="Arial"/>
      <w:b/>
      <w:i/>
      <w:color w:val="60a0b0"/>
    </w:rPr>
  </w:style>
  <w:style w:type="character" w:customStyle="1" w:styleId="WarningTok">
    <w:name w:val="WarningTok"/>
    <w:basedOn w:val="VerbatimChar"/>
    <w:rPr>
      <w:rFonts w:ascii="Arial" w:hAnsi="Arial" w:cs="Arial" w:eastAsia="Arial"/>
      <w:b/>
      <w:i/>
      <w:color w:val="60a0b0"/>
    </w:rPr>
  </w:style>
  <w:style w:type="character" w:customStyle="1" w:styleId="AlertTok">
    <w:name w:val="AlertTok"/>
    <w:basedOn w:val="VerbatimChar"/>
    <w:rPr>
      <w:rFonts w:ascii="Arial" w:hAnsi="Arial" w:cs="Arial" w:eastAsia="Arial"/>
      <w:b/>
      <w:color w:val="ff0000"/>
    </w:rPr>
  </w:style>
  <w:style w:type="character" w:customStyle="1" w:styleId="ErrorTok">
    <w:name w:val="ErrorTok"/>
    <w:basedOn w:val="VerbatimChar"/>
    <w:rPr>
      <w:rFonts w:ascii="Arial" w:hAnsi="Arial" w:cs="Arial" w:eastAsia="Arial"/>
      <w:b/>
      <w:color w:val="ff0000"/>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10" Type="http://schemas.openxmlformats.org/officeDocument/2006/relationships/image" Target="media/rId10.png"/><Relationship Id="rId18" Type="http://schemas.openxmlformats.org/officeDocument/2006/relationships/image" Target="media/rId18.jpg"/><Relationship Id="rId21" Type="http://schemas.openxmlformats.org/officeDocument/2006/relationships/image" Target="media/rId21.jpg"/><Relationship Id="rId49" Type="http://schemas.openxmlformats.org/officeDocument/2006/relationships/hyperlink" Target="https://www.hamiltoncompany.com/knowledge-base/article/do-sensor-calibration" TargetMode="External"/><Relationship Id="rId48" Type="http://schemas.openxmlformats.org/officeDocument/2006/relationships/hyperlink" Target="https://www.hamiltoncompany.com/knowledge-base/article/response-time" TargetMode="External"/><Relationship Id="rId9"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49" Type="http://schemas.openxmlformats.org/officeDocument/2006/relationships/hyperlink" Target="https://www.hamiltoncompany.com/knowledge-base/article/do-sensor-calibration" TargetMode="External"/><Relationship Id="rId48" Type="http://schemas.openxmlformats.org/officeDocument/2006/relationships/hyperlink" Target="https://www.hamiltoncompany.com/knowledge-base/article/response-tim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2d2685079f2d65bab66a058cff9ce624d12f2845.png"/><Relationship Id="rId2" Type="http://schemas.openxmlformats.org/officeDocument/2006/relationships/image" Target="media/a4f4a5ba47589821d1a1505255da96e172e363a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Tiempo de respuesta de los sensores de pH y oxígeno disuelto</dc:title>
  <dc:creator/>
  <cp:keywords/>
  <dcterms:created xsi:type="dcterms:W3CDTF">2026-10-24T06:33:51Z</dcterms:created>
  <dcterms:modified xsi:type="dcterms:W3CDTF">2026-10-24T06:33:51Z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Octavio T. Ramírez · Emiliano Balderas · Instituto de Biotecnología, UNAM</vt:lpwstr>
  </property>
</Properties>
</file>