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7"/>
        <w:spacing/>
        <w:ind/>
        <w:rPr>
          <w:lang w:val="es-MX"/>
        </w:rPr>
      </w:pPr>
      <w:r>
        <w:rPr>
          <w:lang w:val="es-MX"/>
        </w:rPr>
        <w:t>Anexo para el instructor: tiempo de respuesta de los sensores de pH y oxígeno disuelto</w:t>
      </w:r>
      <w:r>
        <w:rPr>
          <w:lang w:val="es-MX"/>
        </w:rPr>
      </w:r>
    </w:p>
    <w:p>
      <w:pPr>
        <w:spacing w:after="60"/>
        <w:ind/>
        <w:jc w:val="both"/>
        <w:rPr>
          <w:lang w:val="es-MX"/>
        </w:rPr>
      </w:pPr>
      <w:r>
        <w:rPr>
          <w:color w:val="4a3a68"/>
          <w:sz w:val="24"/>
          <w:szCs w:val="24"/>
          <w:lang w:val="es-MX"/>
        </w:rPr>
        <w:t xml:space="preserve">Octavio T. Ramírez · </w:t>
      </w:r>
      <w:r>
        <w:rPr>
          <w:color w:val="4a3a68"/>
          <w:sz w:val="24"/>
          <w:szCs w:val="24"/>
          <w:lang w:val="es-MX"/>
        </w:rPr>
        <w:t xml:space="preserve">Emiliano Balderas ·</w:t>
      </w:r>
      <w:r/>
      <w:r>
        <w:rPr>
          <w:color w:val="4a3a68"/>
          <w:sz w:val="24"/>
          <w:szCs w:val="24"/>
          <w:lang w:val="es-ES"/>
        </w:rPr>
        <w:t xml:space="preserve"> </w:t>
      </w:r>
      <w:r>
        <w:rPr>
          <w:color w:val="4a3a68"/>
          <w:sz w:val="24"/>
          <w:szCs w:val="24"/>
          <w:lang w:val="es-MX"/>
        </w:rPr>
        <w:t xml:space="preserve">Instituto de Biotecnología, UNAM</w:t>
      </w:r>
      <w:r>
        <w:rPr>
          <w:lang w:val="es-MX"/>
        </w:rPr>
      </w:r>
    </w:p>
    <w:p>
      <w:pPr>
        <w:spacing w:after="360"/>
        <w:ind/>
        <w:jc w:val="both"/>
        <w:rPr>
          <w:lang w:val="es-MX"/>
        </w:rPr>
      </w:pPr>
      <w:r>
        <w:rPr>
          <w:color w:val="7a6b95"/>
          <w:sz w:val="20"/>
          <w:szCs w:val="20"/>
          <w:lang w:val="es-MX"/>
        </w:rPr>
        <w:t xml:space="preserve">CATCC 2026. Curso Latinoamericano de Tecnología de Cultivos Celulares</w:t>
      </w:r>
      <w:r>
        <w:rPr>
          <w:lang w:val="es-MX"/>
        </w:rPr>
      </w:r>
    </w:p>
    <w:p>
      <w:pPr>
        <w:pStyle w:val="747"/>
        <w:spacing/>
        <w:ind/>
        <w:jc w:val="both"/>
        <w:rPr>
          <w:lang w:val="es-MX"/>
        </w:rPr>
      </w:pPr>
      <w:r>
        <w:rPr>
          <w:lang w:val="es-MX" w:bidi="es-MX"/>
        </w:rPr>
      </w:r>
      <w:bookmarkStart w:id="38" w:name="a.-preparar-antes-de-los-equipos"/>
      <w:r>
        <w:rPr>
          <w:lang w:val="es-MX"/>
        </w:rPr>
        <w:t xml:space="preserve">A. Preparación del taller</w:t>
      </w:r>
      <w:r>
        <w:rPr>
          <w:lang w:val="es-MX"/>
        </w:rPr>
      </w:r>
    </w:p>
    <w:p>
      <w:pPr>
        <w:pStyle w:val="735"/>
        <w:spacing/>
        <w:ind/>
        <w:jc w:val="both"/>
        <w:rPr>
          <w:lang w:val="es-MX"/>
        </w:rPr>
      </w:pPr>
      <w:r>
        <w:rPr>
          <w:lang w:val="es-MX"/>
        </w:rPr>
        <w:t xml:space="preserve">Preparar los cuatro medios y verificar las dos sondas con anticipación</w:t>
      </w:r>
      <w:r>
        <w:rPr>
          <w:lang w:val="es-MX"/>
        </w:rPr>
        <w:t xml:space="preserve">. La llegada del nitrógeno no debe ser parte del tiempo de 45 minutos. Probar burbujeo, mezcla, temperatura y adquisición. Tener etiquetas, fichas, calculadora y acceso al registro exportado. Confirmar que las salidas automáticas estén en un estado seguro.</w:t>
      </w:r>
      <w:r>
        <w:rPr>
          <w:lang w:val="es-MX"/>
        </w:rPr>
      </w:r>
    </w:p>
    <w:p>
      <w:pPr>
        <w:pStyle w:val="734"/>
        <w:spacing/>
        <w:ind/>
        <w:jc w:val="both"/>
        <w:rPr>
          <w:lang w:val="es-MX"/>
        </w:rPr>
      </w:pPr>
      <w:r>
        <w:rPr>
          <w:lang w:val="es-MX"/>
        </w:rPr>
        <w:t xml:space="preserve">Los participantes deben identificar las sondas por sí mi</w:t>
      </w:r>
      <w:r>
        <w:rPr>
          <w:lang w:val="es-MX"/>
        </w:rPr>
        <w:t xml:space="preserve">smos. Dejar accesibles las etiquetas y documentos existentes; no proporcionarles un modelo supuesto. Si no es posible identificar la tecnología, el informe puede quedar con “no disponible”, pero debe conservar un ID que permita reconocer la sonda ensayada.</w:t>
      </w:r>
      <w:r>
        <w:rPr>
          <w:lang w:val="es-MX"/>
        </w:rPr>
      </w:r>
    </w:p>
    <w:p>
      <w:pPr>
        <w:pStyle w:val="734"/>
        <w:spacing/>
        <w:ind/>
        <w:jc w:val="both"/>
        <w:rPr>
          <w:lang w:val="es-MX"/>
        </w:rPr>
      </w:pPr>
      <w:r>
        <w:rPr>
          <w:lang w:val="es-MX"/>
        </w:rPr>
        <w:t>Los buffers</w:t>
      </w:r>
      <w:r>
        <w:rPr>
          <w:lang w:val="es-MX"/>
        </w:rPr>
        <w:t xml:space="preserve"> </w:t>
      </w:r>
      <w:r>
        <w:rPr>
          <w:b/>
          <w:bCs/>
          <w:lang w:val="es-MX"/>
        </w:rPr>
        <w:t>pH 3 y pH 10</w:t>
      </w:r>
      <w:r>
        <w:rPr>
          <w:lang w:val="es-MX"/>
        </w:rPr>
        <w:t xml:space="preserve"> </w:t>
      </w:r>
      <w:r>
        <w:rPr>
          <w:lang w:val="es-MX"/>
        </w:rPr>
        <w:t>corresponden al montaje confirmado para el taller. No están confirmados los valores nominales de los buffers del piloto. La lectura histórica no demuestra por sí sola qué buffer se usó.</w:t>
      </w:r>
      <w:bookmarkEnd w:id="38"/>
      <w:r>
        <w:rPr>
          <w:lang w:val="es-MX" w:bidi="es-MX"/>
        </w:rPr>
      </w:r>
      <w:r>
        <w:rPr>
          <w:lang w:val="es-MX"/>
        </w:rPr>
      </w:r>
    </w:p>
    <w:p>
      <w:pPr>
        <w:pStyle w:val="747"/>
        <w:spacing/>
        <w:ind/>
        <w:jc w:val="both"/>
        <w:rPr>
          <w:lang w:val="es-MX"/>
        </w:rPr>
      </w:pPr>
      <w:r>
        <w:rPr>
          <w:lang w:val="es-MX" w:bidi="es-MX"/>
        </w:rPr>
      </w:r>
      <w:bookmarkStart w:id="39" w:name="guion-para-explicar-τ-durante-la-plática"/>
      <w:r>
        <w:rPr>
          <w:lang w:val="es-MX"/>
        </w:rPr>
        <w:t xml:space="preserve">Presentación del modelo de primer orden</w:t>
      </w:r>
      <w:r>
        <w:rPr>
          <w:lang w:val="es-MX"/>
        </w:rPr>
      </w:r>
    </w:p>
    <w:p>
      <w:pPr>
        <w:pStyle w:val="735"/>
        <w:spacing/>
        <w:ind/>
        <w:jc w:val="both"/>
        <w:rPr>
          <w:lang w:val="es-MX"/>
        </w:rPr>
      </w:pPr>
      <w:r>
        <w:rPr>
          <w:lang w:val="es-MX"/>
        </w:rPr>
        <w:t xml:space="preserve">Mostrar el esquema </w:t>
      </w:r>
      <w:r>
        <w:rPr>
          <w:lang w:val="es-MX"/>
        </w:rPr>
        <w:t xml:space="preserve">de respuesta gradual y presentar primero el cambio total entre las dos mesetas. Explicar después la ecuación de primer orden: la señal cambia más rápido cuando está lejos del valor final y se hace más lenta al acercarse. Sustituir un tiempo transcurrido ig</w:t>
      </w:r>
      <w:r>
        <w:rPr>
          <w:lang w:val="es-MX"/>
        </w:rPr>
        <w:t xml:space="preserve">ual a τ en la solución para obtener 1 − e⁻¹ ≈ 0.632. Relacionar luego el 90 % con 2.303 τ y volver a la lectura directa de t₉₀ en la curva experimental. La derivación sirve para entender el modelo; no es un requisito de cálculo diferencial para participar.</w:t>
      </w:r>
      <w:r>
        <w:rPr>
          <w:lang w:val="es-MX"/>
        </w:rPr>
      </w:r>
    </w:p>
    <w:p>
      <w:pPr>
        <w:pStyle w:val="734"/>
        <w:spacing/>
        <w:ind/>
        <w:jc w:val="both"/>
        <w:rPr>
          <w:lang w:val="es-MX"/>
        </w:rPr>
      </w:pPr>
      <w:r>
        <w:rPr>
          <w:lang w:val="es-MX"/>
        </w:rPr>
        <w:t xml:space="preserve">Separar e</w:t>
      </w:r>
      <w:r>
        <w:rPr>
          <w:lang w:val="es-MX"/>
        </w:rPr>
        <w:t xml:space="preserve">l retraso puro de la constante de tiempo. El t₁₀ es un umbral observable y no mide por sí solo ese retraso. Los valores históricos del piloto son aparentes y no demuestran que las sondas sigan un modelo de primer orden; no convertirlos automáticamente a τ.</w:t>
      </w:r>
      <w:bookmarkEnd w:id="39"/>
      <w:r>
        <w:rPr>
          <w:lang w:val="es-MX" w:bidi="es-MX"/>
        </w:rPr>
      </w:r>
      <w:r>
        <w:rPr>
          <w:lang w:val="es-MX"/>
        </w:rPr>
      </w:r>
    </w:p>
    <w:p>
      <w:pPr>
        <w:pStyle w:val="747"/>
        <w:spacing/>
        <w:ind/>
        <w:jc w:val="both"/>
        <w:rPr>
          <w:lang w:val="es-MX"/>
        </w:rPr>
      </w:pPr>
      <w:r>
        <w:rPr>
          <w:lang w:val="es-MX" w:bidi="es-MX"/>
        </w:rPr>
      </w:r>
      <w:bookmarkStart w:id="43" w:name="Xfa0f18e5a18850689e6bcbe98db006f80e1dbe9"/>
      <w:r>
        <w:rPr>
          <w:lang w:val="es-MX"/>
        </w:rPr>
        <w:t xml:space="preserve">B. Registro experimental del 14 de octubre de 2026</w:t>
      </w:r>
      <w:r>
        <w:rPr>
          <w:lang w:val="es-MX"/>
        </w:rPr>
      </w:r>
    </w:p>
    <w:p>
      <w:pPr>
        <w:pStyle w:val="735"/>
        <w:spacing/>
        <w:ind/>
        <w:jc w:val="both"/>
        <w:rPr>
          <w:lang w:val="es-MX"/>
        </w:rPr>
      </w:pPr>
      <w:r>
        <w:rPr>
          <w:rStyle w:val="777"/>
          <w:lang w:val="es-MX"/>
        </w:rPr>
        <w:t xml:space="preserve">B2 Respuesta electrodos.xlsx</w:t>
      </w:r>
      <w:r>
        <w:rPr>
          <w:lang w:val="es-MX"/>
        </w:rPr>
        <w:t xml:space="preserve"> </w:t>
      </w:r>
      <w:r>
        <w:rPr>
          <w:lang w:val="es-MX"/>
        </w:rPr>
        <w:t xml:space="preserve">contiene las hojas</w:t>
      </w:r>
      <w:r>
        <w:rPr>
          <w:lang w:val="es-MX"/>
        </w:rPr>
        <w:t xml:space="preserve"> </w:t>
      </w:r>
      <w:r>
        <w:rPr>
          <w:b/>
          <w:bCs/>
          <w:lang w:val="es-MX"/>
        </w:rPr>
        <w:t xml:space="preserve">pH</w:t>
      </w:r>
      <w:r>
        <w:rPr>
          <w:lang w:val="es-MX"/>
        </w:rPr>
        <w:t xml:space="preserve"> </w:t>
      </w:r>
      <w:r>
        <w:rPr>
          <w:lang w:val="es-MX"/>
        </w:rPr>
        <w:t xml:space="preserve">y</w:t>
      </w:r>
      <w:r>
        <w:rPr>
          <w:lang w:val="es-MX"/>
        </w:rPr>
        <w:t xml:space="preserve"> </w:t>
      </w:r>
      <w:r>
        <w:rPr>
          <w:b/>
          <w:bCs/>
          <w:lang w:val="es-MX"/>
        </w:rPr>
        <w:t xml:space="preserve">OD</w:t>
      </w:r>
      <w:r>
        <w:rPr>
          <w:lang w:val="es-MX"/>
        </w:rPr>
        <w:t xml:space="preserve">, con registros independientes. No sumar sus tiempos ni asumir continuidad entre ellas. La hoja pH abarca unos 142 min y la hoja OD unos 19 min. El intervalo mediano es aproximadamente</w:t>
      </w:r>
      <w:r>
        <w:rPr>
          <w:lang w:val="es-MX"/>
        </w:rPr>
        <w:t xml:space="preserve"> </w:t>
      </w:r>
      <w:r>
        <w:rPr>
          <w:b/>
          <w:bCs/>
          <w:lang w:val="es-MX"/>
        </w:rPr>
        <w:t xml:space="preserve">1.01 s</w:t>
      </w:r>
      <w:r>
        <w:rPr>
          <w:lang w:val="es-MX"/>
        </w:rPr>
        <w:t xml:space="preserve">.</w:t>
      </w:r>
      <w:r>
        <w:rPr>
          <w:lang w:val="es-MX"/>
        </w:rPr>
      </w:r>
    </w:p>
    <w:p>
      <w:pPr>
        <w:pStyle w:val="775"/>
        <w:keepNext w:val="true"/>
        <w:spacing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20549"/>
                <wp:effectExtent l="0" t="0" r="0" b="0"/>
                <wp:docPr id="7" name="Picture" descr="Registros completos de las hojas pH y OD del piloto; cada eje temporal comienza en su propia hoja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Picture" descr="../figuras/02_piloto_completo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8205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6.85pt;height:222.09pt;mso-wrap-distance-left:0.00pt;mso-wrap-distance-top:0.00pt;mso-wrap-distance-right:0.00pt;mso-wrap-distance-bottom:0.00pt;z-index:1;" alt="Registros completos de las hojas pH y OD del piloto; cada eje temporal comienza en su propia hoja" stroked="f" strokeweight="0.75pt">
                <v:imagedata r:id="rId15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Style w:val="773"/>
        <w:keepNext w:val="false"/>
        <w:spacing/>
        <w:ind/>
        <w:jc w:val="center"/>
        <w:rPr>
          <w:lang w:val="es-MX"/>
        </w:rPr>
      </w:pPr>
      <w:r>
        <w:rPr>
          <w:lang w:val="es-MX"/>
        </w:rPr>
        <w:t xml:space="preserve">Registros completos de las hojas pH y OD del piloto; cada eje temporal comienza en su propia hoja</w:t>
      </w:r>
      <w:r>
        <w:rPr>
          <w:lang w:val="es-MX"/>
        </w:rPr>
      </w:r>
    </w:p>
    <w:p>
      <w:pPr>
        <w:pStyle w:val="734"/>
        <w:spacing/>
        <w:ind/>
        <w:jc w:val="both"/>
        <w:rPr>
          <w:lang w:val="es-MX"/>
        </w:rPr>
      </w:pPr>
      <w:r>
        <w:rPr>
          <w:lang w:val="es-MX"/>
        </w:rPr>
        <w:t xml:space="preserve">Se utiliza</w:t>
      </w:r>
      <w:r>
        <w:rPr>
          <w:lang w:val="es-MX"/>
        </w:rPr>
        <w:t xml:space="preserve"> </w:t>
      </w:r>
      <w:r>
        <w:rPr>
          <w:rStyle w:val="777"/>
          <w:lang w:val="es-MX"/>
        </w:rPr>
        <w:t xml:space="preserve">ProcessTime</w:t>
      </w:r>
      <w:r>
        <w:rPr>
          <w:lang w:val="es-MX"/>
        </w:rPr>
        <w:t xml:space="preserve">, expresado originalmente en horas, para reconstruir el tiempo transcurrido con resolución subsegundo. Hay marcas de reloj repetidas al final de las hojas. En pH también</w:t>
      </w:r>
      <w:r>
        <w:rPr>
          <w:lang w:val="es-MX"/>
        </w:rPr>
        <w:t xml:space="preserve"> hay 15 filas con señales faltantes, cinco puntos con ambas señales en cero y un intervalo de unos 17 s sin muestreo; los ceros simultáneos se marcan como posibles artefactos y no se interpretan como transferencias. Los originales se conservan en el Excel.</w:t>
      </w:r>
      <w:r>
        <w:rPr>
          <w:lang w:val="es-MX"/>
        </w:rPr>
      </w:r>
    </w:p>
    <w:p>
      <w:pPr>
        <w:pStyle w:val="734"/>
        <w:spacing/>
        <w:ind/>
        <w:jc w:val="both"/>
        <w:rPr>
          <w:lang w:val="es-MX"/>
        </w:rPr>
      </w:pPr>
      <w:r>
        <w:rPr>
          <w:lang w:val="es-MX"/>
        </w:rPr>
        <w:t xml:space="preserve">El archivo no registra eventos de inmersión, gases, agitación, temperatura de los vasos, identidad de buffers ni modelo/serie de sondas. El setpoint de pH que aparece en la hoja pH no identifica la solución del vaso. Por eso</w:t>
      </w:r>
      <w:r>
        <w:rPr>
          <w:lang w:val="es-MX"/>
        </w:rPr>
        <w:t xml:space="preserve"> </w:t>
      </w:r>
      <w:r>
        <w:rPr>
          <w:b/>
          <w:bCs/>
          <w:lang w:val="es-MX"/>
        </w:rPr>
        <w:t xml:space="preserve">no permite obtener tiempos intrínsecos certificados</w:t>
      </w:r>
      <w:r>
        <w:rPr>
          <w:lang w:val="es-MX"/>
        </w:rPr>
        <w:t xml:space="preserve"> </w:t>
      </w:r>
      <w:r>
        <w:rPr>
          <w:lang w:val="es-MX"/>
        </w:rPr>
        <w:t xml:space="preserve">ni verificar todo el procedimiento propuesto.</w:t>
      </w:r>
      <w:bookmarkEnd w:id="43"/>
      <w:r>
        <w:rPr>
          <w:lang w:val="es-MX" w:bidi="es-MX"/>
        </w:rPr>
      </w:r>
      <w:r>
        <w:rPr>
          <w:lang w:val="es-MX"/>
        </w:rPr>
      </w:r>
    </w:p>
    <w:p>
      <w:pPr>
        <w:pStyle w:val="747"/>
        <w:spacing/>
        <w:ind/>
        <w:jc w:val="both"/>
        <w:rPr>
          <w:lang w:val="es-MX"/>
        </w:rPr>
      </w:pPr>
      <w:r>
        <w:rPr>
          <w:lang w:val="es-MX" w:bidi="es-MX"/>
        </w:rPr>
      </w:r>
      <w:bookmarkStart w:id="47" w:name="c.-qué-tramos-son-útiles-y-cuáles-no"/>
      <w:r>
        <w:rPr>
          <w:lang w:val="es-MX"/>
        </w:rPr>
        <w:t xml:space="preserve">C. Selección e interpretación de los registros</w:t>
      </w:r>
      <w:r>
        <w:rPr>
          <w:lang w:val="es-MX"/>
        </w:rPr>
      </w:r>
    </w:p>
    <w:tbl>
      <w:tblPr>
        <w:tblStyle w:val="768"/>
        <w:jc w:val="center"/>
        <w:tblW w:w="5000" w:type="pct"/>
        <w:tblCellMar>
          <w:left w:w="100" w:type="dxa"/>
          <w:top w:w="50" w:type="dxa"/>
          <w:right w:w="100" w:type="dxa"/>
          <w:bottom w:w="50" w:type="dxa"/>
        </w:tblCellMar>
        <w:tblBorders>
          <w:top w:val="single" w:color="b7afc6" w:sz="4" w:space="0"/>
          <w:left w:val="single" w:color="b7afc6" w:sz="4" w:space="0"/>
          <w:bottom w:val="single" w:color="b7afc6" w:sz="4" w:space="0"/>
          <w:right w:val="single" w:color="b7afc6" w:sz="4" w:space="0"/>
          <w:insideH w:val="single" w:color="b7afc6" w:sz="4" w:space="0"/>
          <w:insideV w:val="single" w:color="b7afc6" w:sz="4" w:space="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antSplit/>
          <w:tblHeader/>
        </w:trPr>
        <w:tc>
          <w:tcPr>
            <w:shd w:val="clear" w:color="auto" w:fill="4e2891"/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b/>
                <w:color w:val="ffffff"/>
                <w:lang w:val="es-MX"/>
              </w:rPr>
              <w:t xml:space="preserve">Tramo observado</w:t>
            </w:r>
            <w:r>
              <w:rPr>
                <w:lang w:val="es-MX"/>
              </w:rPr>
            </w:r>
          </w:p>
        </w:tc>
        <w:tc>
          <w:tcPr>
            <w:shd w:val="clear" w:color="auto" w:fill="4e2891"/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b/>
                <w:color w:val="ffffff"/>
                <w:lang w:val="es-MX"/>
              </w:rPr>
              <w:t xml:space="preserve">Lectura de los datos</w:t>
            </w:r>
            <w:r>
              <w:rPr>
                <w:lang w:val="es-MX"/>
              </w:rPr>
            </w:r>
          </w:p>
        </w:tc>
        <w:tc>
          <w:tcPr>
            <w:shd w:val="clear" w:color="auto" w:fill="4e2891"/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b/>
                <w:color w:val="ffffff"/>
                <w:lang w:val="es-MX"/>
              </w:rPr>
              <w:t xml:space="preserve">Uso en la enseñanza</w:t>
            </w:r>
            <w:r>
              <w:rPr>
                <w:lang w:val="es-MX"/>
              </w:rPr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pH, primer descenso (aprox. 95–160 s)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Cambio en varias etapas antes de acercarse a pH 3.3.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Mostrar por qué una transferencia o entrada mal definida impide fijar un t₀ confiable.</w:t>
            </w:r>
            <w:r>
              <w:rPr>
                <w:lang w:val="es-MX"/>
              </w:rPr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pH, segundo descenso (aprox. 1204 s)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Lectura de alrededor de 6.89 hacia 3.47, con una cola lenta.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Ejemplo exploratorio de t₉₀ y estabilización, declarando el inicio inferido.</w:t>
            </w:r>
            <w:r>
              <w:rPr>
                <w:lang w:val="es-MX"/>
              </w:rPr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pH, ascensos y registro prolongado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Recuperación lenta y deriva; la señal acaba cerca de 7.9 mucho después.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Discutir arrastre, acondicionamiento, cambios de medio y temperatura como posibilidades, no diagnósticos demostrados.</w:t>
            </w:r>
            <w:r>
              <w:rPr>
                <w:lang w:val="es-MX"/>
              </w:rPr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OD, antes de aprox. 836 s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Descensos lentos y variaciones con condiciones de entrada desconocidas.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No atribuirlos automáticamente al tiempo de la sonda ni a un ensayo aire → N₂ bien ejecutado.</w:t>
            </w:r>
            <w:r>
              <w:rPr>
                <w:lang w:val="es-MX"/>
              </w:rPr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736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OD, transición final ascendente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Paso rápido de alrededor de 12.6 a 77.2 % de saturación, con oscilación posterior.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Es el ejemplo más claro para visualizar una respuesta rápida; compatible con pasar de un medio de O₂ bajo a otro mayor.</w:t>
            </w:r>
            <w:r>
              <w:rPr>
                <w:lang w:val="es-MX"/>
              </w:rPr>
            </w:r>
          </w:p>
        </w:tc>
      </w:tr>
    </w:tbl>
    <w:p>
      <w:pPr>
        <w:pStyle w:val="734"/>
        <w:spacing w:before="160"/>
        <w:ind/>
        <w:jc w:val="both"/>
        <w:rPr>
          <w:lang w:val="es-MX"/>
        </w:rPr>
      </w:pPr>
      <w:r>
        <w:rPr>
          <w:lang w:val="es-MX"/>
        </w:rPr>
        <w:t xml:space="preserve">Según el relato de la sesión, el N₂ solo estuvo disponible al final. Esto ayuda a contextualizar el ensayo, pero el archivo</w:t>
      </w:r>
      <w:r>
        <w:rPr>
          <w:lang w:val="es-MX"/>
        </w:rPr>
        <w:t xml:space="preserve"> </w:t>
      </w:r>
      <w:r>
        <w:rPr>
          <w:b/>
          <w:bCs/>
          <w:lang w:val="es-MX"/>
        </w:rPr>
        <w:t xml:space="preserve">no marca el momento de su uso</w:t>
      </w:r>
      <w:r>
        <w:rPr>
          <w:lang w:val="es-MX"/>
        </w:rPr>
        <w:t xml:space="preserve">. La transición final es ascendente: no presentarla como un descenso aire → N₂ ni como una medición independiente de los dos sentidos.</w:t>
      </w:r>
      <w:r>
        <w:rPr>
          <w:lang w:val="es-MX"/>
        </w:rPr>
      </w:r>
    </w:p>
    <w:p>
      <w:pPr>
        <w:pStyle w:val="775"/>
        <w:keepNext w:val="true"/>
        <w:spacing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1837366"/>
                <wp:effectExtent l="0" t="0" r="0" b="0"/>
                <wp:docPr id="8" name="Picture" descr="Hoja OD: intentos previos y transición final; el inicio señalado se infirió de la señal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Picture" descr="../figuras/04_OD_intento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18373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85pt;height:144.67pt;mso-wrap-distance-left:0.00pt;mso-wrap-distance-top:0.00pt;mso-wrap-distance-right:0.00pt;mso-wrap-distance-bottom:0.00pt;z-index:1;" alt="Hoja OD: intentos previos y transición final; el inicio señalado se infirió de la señal" stroked="f" strokeweight="0.75pt">
                <v:imagedata r:id="rId16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Style w:val="773"/>
        <w:keepNext w:val="false"/>
        <w:spacing/>
        <w:ind/>
        <w:jc w:val="center"/>
        <w:rPr>
          <w:lang w:val="es-MX"/>
        </w:rPr>
      </w:pPr>
      <w:r>
        <w:rPr>
          <w:lang w:val="es-MX"/>
        </w:rPr>
        <w:t xml:space="preserve">Hoja OD: intentos previos y transición final; el inicio señalado se infirió de la señal</w:t>
      </w:r>
      <w:bookmarkEnd w:id="47"/>
      <w:r>
        <w:rPr>
          <w:lang w:val="es-MX" w:bidi="es-MX"/>
        </w:rPr>
      </w:r>
      <w:r>
        <w:rPr>
          <w:lang w:val="es-MX"/>
        </w:rPr>
      </w:r>
    </w:p>
    <w:p>
      <w:pPr>
        <w:pStyle w:val="747"/>
        <w:spacing/>
        <w:ind/>
        <w:jc w:val="both"/>
        <w:rPr>
          <w:lang w:val="es-MX"/>
        </w:rPr>
      </w:pPr>
      <w:r>
        <w:rPr>
          <w:lang w:val="es-MX" w:bidi="es-MX"/>
        </w:rPr>
      </w:r>
      <w:bookmarkStart w:id="51" w:name="d.-ejemplos-cuantitativos-exploratorios"/>
      <w:r>
        <w:rPr>
          <w:lang w:val="es-MX"/>
        </w:rPr>
        <w:t xml:space="preserve">D. Ejemplos cuantitativos exploratorios</w:t>
      </w:r>
      <w:r>
        <w:rPr>
          <w:lang w:val="es-MX"/>
        </w:rPr>
      </w:r>
    </w:p>
    <w:p>
      <w:pPr>
        <w:pStyle w:val="735"/>
        <w:spacing/>
        <w:ind/>
        <w:jc w:val="both"/>
        <w:rPr>
          <w:lang w:val="es-MX"/>
        </w:rPr>
      </w:pPr>
      <w:r>
        <w:rPr>
          <w:lang w:val="es-MX"/>
        </w:rPr>
        <w:t xml:space="preserve">Los inicios de esta tabla se</w:t>
      </w:r>
      <w:r>
        <w:rPr>
          <w:lang w:val="es-MX"/>
        </w:rPr>
        <w:t xml:space="preserve"> </w:t>
      </w:r>
      <w:r>
        <w:rPr>
          <w:b/>
          <w:bCs/>
          <w:lang w:val="es-MX"/>
        </w:rPr>
        <w:t xml:space="preserve">infieren de las curvas</w:t>
      </w:r>
      <w:r>
        <w:rPr>
          <w:lang w:val="es-MX"/>
        </w:rPr>
        <w:t xml:space="preserve">, no de una marca de transferencia. Se fijaron en 1204.15 s para el segundo descenso de pH y 836.25 s para el cambio final de OD, medidos desde el inicio de cada hoja. Los decimales localizan la muestra usada: no representan exactitud del evento físico.</w:t>
      </w:r>
      <w:r>
        <w:rPr>
          <w:lang w:val="es-MX"/>
        </w:rPr>
      </w:r>
    </w:p>
    <w:p>
      <w:pPr>
        <w:pStyle w:val="775"/>
        <w:keepNext w:val="true"/>
        <w:spacing/>
        <w:ind/>
        <w:jc w:val="center"/>
        <w:rPr>
          <w:lang w:val="es-MX"/>
        </w:rPr>
      </w:pPr>
      <w:r>
        <w:rPr>
          <w:lang w:val="es-MX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3309090"/>
                <wp:effectExtent l="0" t="0" r="0" b="0"/>
                <wp:docPr id="9" name="Picture" descr="Ventanas seleccionadas del piloto con banda final y t90 aparente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Picture" descr="../figuras/03_piloto_ventanas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40000" cy="3309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85pt;height:260.56pt;mso-wrap-distance-left:0.00pt;mso-wrap-distance-top:0.00pt;mso-wrap-distance-right:0.00pt;mso-wrap-distance-bottom:0.00pt;z-index:1;" alt="Ventanas seleccionadas del piloto con banda final y t90 aparente" stroked="f" strokeweight="0.75pt">
                <v:imagedata r:id="rId17" o:title=""/>
                <o:lock v:ext="edit" rotation="t"/>
              </v:shape>
            </w:pict>
          </mc:Fallback>
        </mc:AlternateContent>
      </w:r>
      <w:r>
        <w:rPr>
          <w:lang w:val="es-MX"/>
        </w:rPr>
      </w:r>
    </w:p>
    <w:p>
      <w:pPr>
        <w:pStyle w:val="773"/>
        <w:keepNext w:val="false"/>
        <w:spacing/>
        <w:ind/>
        <w:jc w:val="center"/>
        <w:rPr>
          <w:lang w:val="es-MX"/>
        </w:rPr>
      </w:pPr>
      <w:r>
        <w:rPr>
          <w:lang w:val="es-MX"/>
        </w:rPr>
        <w:t xml:space="preserve">Ventanas seleccionadas del piloto con banda final y t90 aparente</w:t>
      </w:r>
      <w:r>
        <w:rPr>
          <w:lang w:val="es-MX"/>
        </w:rPr>
      </w:r>
    </w:p>
    <w:tbl>
      <w:tblPr>
        <w:tblStyle w:val="768"/>
        <w:jc w:val="center"/>
        <w:tblW w:w="5000" w:type="pct"/>
        <w:tblCellMar>
          <w:left w:w="100" w:type="dxa"/>
          <w:top w:w="50" w:type="dxa"/>
          <w:right w:w="100" w:type="dxa"/>
          <w:bottom w:w="50" w:type="dxa"/>
        </w:tblCellMar>
        <w:tblBorders>
          <w:top w:val="single" w:color="b7afc6" w:sz="4" w:space="0"/>
          <w:left w:val="single" w:color="b7afc6" w:sz="4" w:space="0"/>
          <w:bottom w:val="single" w:color="b7afc6" w:sz="4" w:space="0"/>
          <w:right w:val="single" w:color="b7afc6" w:sz="4" w:space="0"/>
          <w:insideH w:val="single" w:color="b7afc6" w:sz="4" w:space="0"/>
          <w:insideV w:val="single" w:color="b7afc6" w:sz="4" w:space="0"/>
        </w:tblBorders>
        <w:tblLayout w:type="fixed"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/>
        </w:trPr>
        <w:tc>
          <w:tcPr>
            <w:shd w:val="clear" w:color="auto" w:fill="4e2891"/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b/>
                <w:color w:val="ffffff"/>
                <w:lang w:val="es-MX"/>
              </w:rPr>
              <w:t xml:space="preserve">Ventana ilustrativa</w:t>
            </w:r>
            <w:r>
              <w:rPr>
                <w:lang w:val="es-MX"/>
              </w:rPr>
            </w:r>
          </w:p>
        </w:tc>
        <w:tc>
          <w:tcPr>
            <w:shd w:val="clear" w:color="auto" w:fill="4e2891"/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b/>
                <w:color w:val="ffffff"/>
                <w:lang w:val="es-MX"/>
              </w:rPr>
              <w:t xml:space="preserve">Lectura inicial → final</w:t>
            </w:r>
            <w:r>
              <w:rPr>
                <w:lang w:val="es-MX"/>
              </w:rPr>
            </w:r>
          </w:p>
        </w:tc>
        <w:tc>
          <w:tcPr>
            <w:shd w:val="clear" w:color="auto" w:fill="4e2891"/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b/>
                <w:color w:val="ffffff"/>
                <w:lang w:val="es-MX"/>
              </w:rPr>
              <w:t xml:space="preserve">t₉₀ aparente [s]</w:t>
            </w:r>
            <w:r>
              <w:rPr>
                <w:lang w:val="es-MX"/>
              </w:rPr>
            </w:r>
          </w:p>
        </w:tc>
        <w:tc>
          <w:tcPr>
            <w:shd w:val="clear" w:color="auto" w:fill="4e2891"/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b/>
                <w:color w:val="ffffff"/>
                <w:lang w:val="es-MX"/>
              </w:rPr>
              <w:t xml:space="preserve">t₁₀–₉₀ [s]</w:t>
            </w:r>
            <w:r>
              <w:rPr>
                <w:lang w:val="es-MX"/>
              </w:rPr>
            </w:r>
          </w:p>
        </w:tc>
        <w:tc>
          <w:tcPr>
            <w:shd w:val="clear" w:color="auto" w:fill="4e2891"/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b/>
                <w:color w:val="ffffff"/>
                <w:lang w:val="es-MX"/>
              </w:rPr>
              <w:t xml:space="preserve">Estabilización aparente [s]</w:t>
            </w:r>
            <w:r>
              <w:rPr>
                <w:lang w:val="es-MX"/>
              </w:rPr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pH, segundo descenso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6.89 → 3.47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50.8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50.6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149.2</w:t>
            </w:r>
            <w:r>
              <w:rPr>
                <w:lang w:val="es-MX"/>
              </w:rPr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736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OD, cambio final ascendente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12.64 → 77.22 %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8.3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7.0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40.5</w:t>
            </w:r>
            <w:r>
              <w:rPr>
                <w:lang w:val="es-MX"/>
              </w:rPr>
            </w:r>
          </w:p>
        </w:tc>
      </w:tr>
    </w:tbl>
    <w:p>
      <w:pPr>
        <w:pStyle w:val="734"/>
        <w:spacing w:before="160"/>
        <w:ind/>
        <w:jc w:val="both"/>
        <w:rPr>
          <w:lang w:val="es-MX"/>
        </w:rPr>
      </w:pPr>
      <w:r>
        <w:rPr>
          <w:lang w:val="es-MX"/>
        </w:rPr>
        <w:t xml:space="preserve">La estimación usa medianas en ventanas especificadas en</w:t>
      </w:r>
      <w:r>
        <w:rPr>
          <w:lang w:val="es-MX"/>
        </w:rPr>
        <w:t xml:space="preserve"> </w:t>
      </w:r>
      <w:r>
        <w:rPr>
          <w:rStyle w:val="777"/>
          <w:lang w:val="es-MX"/>
        </w:rPr>
        <w:t xml:space="preserve">ventanas_piloto.json</w:t>
      </w:r>
      <w:r>
        <w:rPr>
          <w:lang w:val="es-MX"/>
        </w:rPr>
        <w:t xml:space="preserve"> </w:t>
      </w:r>
      <w:r>
        <w:rPr>
          <w:lang w:val="es-MX"/>
        </w:rPr>
        <w:t xml:space="preserve">para reducir la influencia de valores aislados; el cálculo manual d</w:t>
      </w:r>
      <w:r>
        <w:rPr>
          <w:lang w:val="es-MX"/>
        </w:rPr>
        <w:t xml:space="preserve">el taller usa promedios de mesetas. Los cruces se interpolan linealmente sin filtrar la señal. La banda es ±5 % del cambio y se exige al menos 30 s dentro de ella y permanencia hasta el final de la ventana. Ver las ventanas, calidad y métricas completas en</w:t>
      </w:r>
      <w:r>
        <w:rPr>
          <w:lang w:val="es-MX"/>
        </w:rPr>
        <w:t xml:space="preserve"> </w:t>
      </w:r>
      <w:r>
        <w:rPr>
          <w:rStyle w:val="777"/>
          <w:lang w:val="es-MX"/>
        </w:rPr>
        <w:t xml:space="preserve">resultados/piloto.json</w:t>
      </w:r>
      <w:r>
        <w:rPr>
          <w:lang w:val="es-MX"/>
        </w:rPr>
        <w:t xml:space="preserve">.</w:t>
      </w:r>
      <w:r>
        <w:rPr>
          <w:lang w:val="es-MX"/>
        </w:rPr>
      </w:r>
    </w:p>
    <w:p>
      <w:pPr>
        <w:pStyle w:val="734"/>
        <w:spacing/>
        <w:ind/>
        <w:jc w:val="both"/>
        <w:rPr>
          <w:lang w:val="es-MX"/>
        </w:rPr>
      </w:pPr>
      <w:r>
        <w:rPr>
          <w:lang w:val="es-MX"/>
        </w:rPr>
        <w:t xml:space="preserve">Estos números dependen del origen inferido, de los niveles elegidos y de la duración de observación.</w:t>
      </w:r>
      <w:r>
        <w:rPr>
          <w:lang w:val="es-MX"/>
        </w:rPr>
        <w:t xml:space="preserve"> </w:t>
      </w:r>
      <w:r>
        <w:rPr>
          <w:b/>
          <w:bCs/>
          <w:lang w:val="es-MX"/>
        </w:rPr>
        <w:t xml:space="preserve">No son metas que los equipos deban reproducir.</w:t>
      </w:r>
      <w:r>
        <w:rPr>
          <w:lang w:val="es-MX"/>
        </w:rPr>
        <w:t xml:space="preserve"> </w:t>
      </w:r>
      <w:r>
        <w:rPr>
          <w:lang w:val="es-MX"/>
        </w:rPr>
        <w:t xml:space="preserve">En particular, el descenso lento previo de OD no es una segunda medición válida de la respuesta inversa. Un registro nuevo con t₀ marcado y medios preparados es el resultado principal del taller.</w:t>
      </w:r>
      <w:bookmarkEnd w:id="51"/>
      <w:r>
        <w:rPr>
          <w:lang w:val="es-MX" w:bidi="es-MX"/>
        </w:rPr>
      </w:r>
      <w:r>
        <w:rPr>
          <w:lang w:val="es-MX"/>
        </w:rPr>
      </w:r>
    </w:p>
    <w:p>
      <w:pPr>
        <w:pStyle w:val="747"/>
        <w:spacing/>
        <w:ind/>
        <w:jc w:val="both"/>
        <w:rPr>
          <w:lang w:val="es-MX"/>
        </w:rPr>
      </w:pPr>
      <w:r>
        <w:rPr>
          <w:lang w:val="es-MX" w:bidi="es-MX"/>
        </w:rPr>
      </w:r>
      <w:bookmarkStart w:id="52" w:name="e.-cómo-evitar-los-problemas-del-piloto"/>
      <w:r>
        <w:rPr>
          <w:lang w:val="es-MX"/>
        </w:rPr>
        <w:t xml:space="preserve">E. Revisión de las condiciones de ensayo</w:t>
      </w:r>
      <w:r>
        <w:rPr>
          <w:lang w:val="es-MX"/>
        </w:rPr>
      </w:r>
    </w:p>
    <w:tbl>
      <w:tblPr>
        <w:tblStyle w:val="768"/>
        <w:jc w:val="center"/>
        <w:tblW w:w="5000" w:type="pct"/>
        <w:tblCellMar>
          <w:left w:w="100" w:type="dxa"/>
          <w:top w:w="50" w:type="dxa"/>
          <w:right w:w="100" w:type="dxa"/>
          <w:bottom w:w="50" w:type="dxa"/>
        </w:tblCellMar>
        <w:tblBorders>
          <w:top w:val="single" w:color="b7afc6" w:sz="4" w:space="0"/>
          <w:left w:val="single" w:color="b7afc6" w:sz="4" w:space="0"/>
          <w:bottom w:val="single" w:color="b7afc6" w:sz="4" w:space="0"/>
          <w:right w:val="single" w:color="b7afc6" w:sz="4" w:space="0"/>
          <w:insideH w:val="single" w:color="b7afc6" w:sz="4" w:space="0"/>
          <w:insideV w:val="single" w:color="b7afc6" w:sz="4" w:space="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cantSplit/>
          <w:tblHeader/>
        </w:trPr>
        <w:tc>
          <w:tcPr>
            <w:shd w:val="clear" w:color="auto" w:fill="4e2891"/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b/>
                <w:color w:val="ffffff"/>
                <w:lang w:val="es-MX"/>
              </w:rPr>
              <w:t xml:space="preserve">Si ocurre esto</w:t>
            </w:r>
            <w:r>
              <w:rPr>
                <w:lang w:val="es-MX"/>
              </w:rPr>
            </w:r>
          </w:p>
        </w:tc>
        <w:tc>
          <w:tcPr>
            <w:shd w:val="clear" w:color="auto" w:fill="4e2891"/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b/>
                <w:color w:val="ffffff"/>
                <w:lang w:val="es-MX"/>
              </w:rPr>
              <w:t xml:space="preserve">Qué revisar o hacer</w:t>
            </w:r>
            <w:r>
              <w:rPr>
                <w:lang w:val="es-MX"/>
              </w:rPr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El medio con N₂ sigue bajando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Prepararlo antes y comprobar meseta; no medir la respuesta mientras el vaso se desoxigena. Si no se logra, declarar montaje no preparado.</w:t>
            </w:r>
            <w:r>
              <w:rPr>
                <w:lang w:val="es-MX"/>
              </w:rPr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El nivel bajo de O₂ queda lejos de cero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Revisar purga, entrada de aire, burbujas, calibración y tiempo de preparación. No forzar el cero ni recalibrar a mitad del ensayo para “corregir” la curva.</w:t>
            </w:r>
            <w:r>
              <w:rPr>
                <w:lang w:val="es-MX"/>
              </w:rPr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La señal cambia por etapas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Revisar tránsito, contacto con otros líquidos, profundidad y burbujas; marcar incidentes. No elegir retrospectivamente el comienzo más conveniente.</w:t>
            </w:r>
            <w:r>
              <w:rPr>
                <w:lang w:val="es-MX"/>
              </w:rPr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El pH deriva sin meseta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Revisar temperatura, buffer, arrastre, hidratación y referencia con el manual de la sonda. No sustituir una meseta ausente por el último dato.</w:t>
            </w:r>
            <w:r>
              <w:rPr>
                <w:lang w:val="es-MX"/>
              </w:rPr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La respuesta parece instantánea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Comprobar intervalo de adquisición y filtrado. Si ocurre entre dos muestras, reportar que no se resuelve con ese registro.</w:t>
            </w:r>
            <w:r>
              <w:rPr>
                <w:lang w:val="es-MX"/>
              </w:rPr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t₉₀ se alcanza, pero la lectura sigue oscilando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keepNext w:val="true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Separar cruce del 90 % y estabilización. Revisar mezcla y burbujas; no suavizar retrospectivamente para conseguir una cifra menor.</w:t>
            </w:r>
            <w:r>
              <w:rPr>
                <w:lang w:val="es-MX"/>
              </w:rPr>
            </w:r>
          </w:p>
        </w:tc>
      </w:tr>
      <w:tr>
        <w:trPr>
          <w:cantSplit/>
        </w:trPr>
        <w:tc>
          <w:tcPr>
            <w:tcBorders/>
          </w:tcPr>
          <w:p>
            <w:pPr>
              <w:pStyle w:val="736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Falta el modelo o el manual</w:t>
            </w:r>
            <w:r>
              <w:rPr>
                <w:lang w:val="es-MX"/>
              </w:rPr>
            </w:r>
          </w:p>
        </w:tc>
        <w:tc>
          <w:tcPr>
            <w:tcBorders/>
          </w:tcPr>
          <w:p>
            <w:pPr>
              <w:pStyle w:val="736"/>
              <w:spacing/>
              <w:ind/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Conservar ID temporal, condiciones y “no disponible”. Comparar sistemas tal como se ensayaron sin exigir un tiempo de ficha técnica.</w:t>
            </w:r>
            <w:r>
              <w:rPr>
                <w:lang w:val="es-MX"/>
              </w:rPr>
            </w:r>
          </w:p>
        </w:tc>
      </w:tr>
    </w:tbl>
    <w:p>
      <w:pPr>
        <w:pStyle w:val="734"/>
        <w:spacing w:before="160"/>
        <w:ind/>
        <w:jc w:val="both"/>
        <w:rPr>
          <w:lang w:val="es-MX"/>
        </w:rPr>
      </w:pPr>
      <w:r>
        <w:rPr>
          <w:lang w:val="es-MX"/>
        </w:rPr>
        <w:t xml:space="preserve">Si no se consiguen las condiciones de O₂, usar el registro histórico como análisis de datos y declarar que no hubo una medición nueva válida. No presentar un cambio de gas en un solo vaso como equivalente al protocolo de transferencia.</w:t>
      </w:r>
      <w:bookmarkEnd w:id="52"/>
      <w:r>
        <w:rPr>
          <w:lang w:val="es-MX" w:bidi="es-MX"/>
        </w:rPr>
      </w:r>
      <w:bookmarkEnd w:id="53"/>
      <w:r>
        <w:rPr>
          <w:lang w:val="es-MX" w:bidi="es-MX"/>
        </w:rPr>
      </w:r>
      <w:r>
        <w:rPr>
          <w:lang w:val="es-MX"/>
        </w:rPr>
      </w:r>
    </w:p>
    <w:p>
      <w:pPr>
        <w:pStyle w:val="746"/>
        <w:spacing/>
        <w:ind/>
        <w:jc w:val="both"/>
        <w:rPr>
          <w:lang w:val="es-MX"/>
        </w:rPr>
      </w:pPr>
      <w:r>
        <w:rPr>
          <w:lang w:val="es-MX" w:bidi="es-MX"/>
        </w:rPr>
      </w:r>
      <w:bookmarkStart w:id="56" w:name="nota-final-qué-tiempo-estamos-midiendo"/>
      <w:r>
        <w:rPr>
          <w:lang w:val="es-MX"/>
        </w:rPr>
        <w:t xml:space="preserve">Alcance del tiempo de respuesta medido</w:t>
      </w:r>
      <w:r>
        <w:rPr>
          <w:lang w:val="es-MX"/>
        </w:rPr>
      </w:r>
    </w:p>
    <w:p>
      <w:pPr>
        <w:pStyle w:val="735"/>
        <w:spacing/>
        <w:ind/>
        <w:jc w:val="both"/>
        <w:rPr>
          <w:lang w:val="es-MX"/>
        </w:rPr>
      </w:pPr>
      <w:r>
        <w:rPr>
          <w:lang w:val="es-MX"/>
        </w:rPr>
        <w:t xml:space="preserve">El resultado incluye la</w:t>
      </w:r>
      <w:r>
        <w:rPr>
          <w:lang w:val="es-MX"/>
        </w:rPr>
        <w:t xml:space="preserve"> </w:t>
      </w:r>
      <w:r>
        <w:rPr>
          <w:b/>
          <w:bCs/>
          <w:lang w:val="es-MX"/>
        </w:rPr>
        <w:t xml:space="preserve">sonda, la película de líquido junto a ella, el procedimiento de transferencia y la adquisición/filtrado de Biostat</w:t>
      </w:r>
      <w:r>
        <w:rPr>
          <w:lang w:val="es-MX"/>
        </w:rPr>
        <w:t xml:space="preserve">. Es un tiempo de respuesta observado del sistema de medición en las condiciones registradas. Una comparación con un fabricante requiere identificar modelo, tecnología, definición del tiempo (t₉₀, t₉₈, etc.), temperatura y condiciones de su ensayo.</w:t>
      </w:r>
      <w:r>
        <w:rPr>
          <w:lang w:val="es-MX"/>
        </w:rPr>
      </w:r>
    </w:p>
    <w:p>
      <w:pPr>
        <w:pStyle w:val="734"/>
        <w:spacing/>
        <w:ind/>
        <w:jc w:val="both"/>
        <w:rPr>
          <w:lang w:val="es-MX"/>
        </w:rPr>
      </w:pPr>
      <w:r>
        <w:rPr>
          <w:lang w:val="es-MX"/>
        </w:rPr>
        <w:t xml:space="preserve">Referencias de preparación de Hamilton:</w:t>
      </w:r>
      <w:r>
        <w:rPr>
          <w:lang w:val="es-MX"/>
        </w:rPr>
        <w:t xml:space="preserve"> </w:t>
      </w:r>
      <w:hyperlink r:id="rId18" w:tooltip="https://www.hamiltoncompany.com/knowledge-base/article/response-time" w:history="1">
        <w:r>
          <w:rPr>
            <w:rStyle w:val="780"/>
            <w:lang w:val="es-MX"/>
          </w:rPr>
          <w:t xml:space="preserve">respuesta de pH</w:t>
        </w:r>
      </w:hyperlink>
      <w:r>
        <w:rPr>
          <w:lang w:val="es-MX"/>
        </w:rPr>
        <w:t xml:space="preserve"> </w:t>
      </w:r>
      <w:r>
        <w:rPr>
          <w:lang w:val="es-MX"/>
        </w:rPr>
        <w:t xml:space="preserve">y</w:t>
      </w:r>
      <w:r>
        <w:rPr>
          <w:lang w:val="es-MX"/>
        </w:rPr>
        <w:t xml:space="preserve"> </w:t>
      </w:r>
      <w:hyperlink r:id="rId19" w:tooltip="https://www.hamiltoncompany.com/knowledge-base/article/do-sensor-calibration" w:history="1">
        <w:r>
          <w:rPr>
            <w:rStyle w:val="780"/>
            <w:lang w:val="es-MX"/>
          </w:rPr>
          <w:t xml:space="preserve">referencias de oxígeno</w:t>
        </w:r>
      </w:hyperlink>
      <w:r>
        <w:rPr>
          <w:lang w:val="es-MX"/>
        </w:rPr>
        <w:t xml:space="preserve">. No identifican las sondas del taller ni sustituyen sus manuales.</w:t>
      </w:r>
      <w:bookmarkEnd w:id="56"/>
      <w:r>
        <w:rPr>
          <w:lang w:val="es-MX" w:bidi="es-MX"/>
        </w:rPr>
      </w:r>
      <w:r>
        <w:rPr>
          <w:lang w:val="es-MX"/>
        </w:rPr>
      </w:r>
    </w:p>
    <w:sectPr>
      <w:headerReference w:type="default" r:id="rId9"/>
      <w:footerReference w:type="default" r:id="rId10"/>
      <w:footnotePr>
        <w:numRestart w:val="eachSect"/>
      </w:footnotePr>
      <w:endnotePr/>
      <w:type w:val="nextPage"/>
      <w:pgSz w:h="15840" w:orient="portrait" w:w="12240"/>
      <w:pgMar w:top="1418" w:right="1418" w:bottom="1418" w:left="1418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c2b4e0" w:sz="6" w:space="6"/>
      </w:pBdr>
      <w:tabs>
        <w:tab w:val="right" w:leader="none" w:pos="9404"/>
      </w:tabs>
      <w:spacing/>
      <w:ind/>
      <w:rPr/>
    </w:pPr>
    <w:r>
      <w:rPr>
        <w:color w:val="7a6b95"/>
        <w:sz w:val="16"/>
        <w:szCs w:val="16"/>
      </w:rPr>
      <w:t xml:space="preserve">XI SLATCC 2026 · 2–5 de noviembre de 2026 · Cuernavaca</w:t>
    </w:r>
    <w:r>
      <w:rPr>
        <w:color w:val="7a6b95"/>
        <w:sz w:val="16"/>
        <w:szCs w:val="16"/>
      </w:rPr>
      <w:tab/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2b4e0" w:sz="6" w:space="6"/>
      </w:pBdr>
      <w:tabs>
        <w:tab w:val="right" w:leader="none" w:pos="9404"/>
      </w:tabs>
      <w:spacing/>
      <w:ind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266825" cy="381000"/>
              <wp:effectExtent l="0" t="0" r="0" b="0"/>
              <wp:docPr id="1" name="" descr="" titl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266825" cy="381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99.75pt;height:30.00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tab/>
    </w:r>
    <w:r>
      <mc:AlternateContent>
        <mc:Choice Requires="wpg">
          <w:drawing>
            <wp:inline xmlns:wp="http://schemas.openxmlformats.org/drawingml/2006/wordprocessingDrawing" distT="0" distB="0" distL="0" distR="0">
              <wp:extent cx="1276350" cy="304800"/>
              <wp:effectExtent l="0" t="0" r="0" b="0"/>
              <wp:docPr id="2" name="" descr="" titl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276350" cy="304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width:100.50pt;height:24.00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733"/>
    <w:next w:val="73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3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3"/>
    <w:next w:val="73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67"/>
    <w:link w:val="176"/>
    <w:uiPriority w:val="99"/>
    <w:pPr>
      <w:pBdr/>
      <w:spacing/>
      <w:ind/>
    </w:pPr>
  </w:style>
  <w:style w:type="paragraph" w:styleId="178">
    <w:name w:val="Footer"/>
    <w:basedOn w:val="73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67"/>
    <w:link w:val="178"/>
    <w:uiPriority w:val="99"/>
    <w:pPr>
      <w:pBdr/>
      <w:spacing/>
      <w:ind/>
    </w:pPr>
  </w:style>
  <w:style w:type="character" w:styleId="182">
    <w:name w:val="Footnote Text Char"/>
    <w:basedOn w:val="767"/>
    <w:link w:val="765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3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3"/>
    <w:next w:val="733"/>
    <w:uiPriority w:val="39"/>
    <w:unhideWhenUsed/>
    <w:pPr>
      <w:pBdr/>
      <w:spacing w:after="100"/>
      <w:ind/>
    </w:pPr>
  </w:style>
  <w:style w:type="paragraph" w:styleId="190">
    <w:name w:val="toc 2"/>
    <w:basedOn w:val="733"/>
    <w:next w:val="733"/>
    <w:uiPriority w:val="39"/>
    <w:unhideWhenUsed/>
    <w:pPr>
      <w:pBdr/>
      <w:spacing w:after="100"/>
      <w:ind w:left="220"/>
    </w:pPr>
  </w:style>
  <w:style w:type="paragraph" w:styleId="191">
    <w:name w:val="toc 3"/>
    <w:basedOn w:val="733"/>
    <w:next w:val="733"/>
    <w:uiPriority w:val="39"/>
    <w:unhideWhenUsed/>
    <w:pPr>
      <w:pBdr/>
      <w:spacing w:after="100"/>
      <w:ind w:left="440"/>
    </w:pPr>
  </w:style>
  <w:style w:type="paragraph" w:styleId="192">
    <w:name w:val="toc 4"/>
    <w:basedOn w:val="733"/>
    <w:next w:val="733"/>
    <w:uiPriority w:val="39"/>
    <w:unhideWhenUsed/>
    <w:pPr>
      <w:pBdr/>
      <w:spacing w:after="100"/>
      <w:ind w:left="660"/>
    </w:pPr>
  </w:style>
  <w:style w:type="paragraph" w:styleId="193">
    <w:name w:val="toc 5"/>
    <w:basedOn w:val="733"/>
    <w:next w:val="733"/>
    <w:uiPriority w:val="39"/>
    <w:unhideWhenUsed/>
    <w:pPr>
      <w:pBdr/>
      <w:spacing w:after="100"/>
      <w:ind w:left="880"/>
    </w:pPr>
  </w:style>
  <w:style w:type="paragraph" w:styleId="194">
    <w:name w:val="toc 6"/>
    <w:basedOn w:val="733"/>
    <w:next w:val="733"/>
    <w:uiPriority w:val="39"/>
    <w:unhideWhenUsed/>
    <w:pPr>
      <w:pBdr/>
      <w:spacing w:after="100"/>
      <w:ind w:left="1100"/>
    </w:pPr>
  </w:style>
  <w:style w:type="paragraph" w:styleId="195">
    <w:name w:val="toc 7"/>
    <w:basedOn w:val="733"/>
    <w:next w:val="733"/>
    <w:uiPriority w:val="39"/>
    <w:unhideWhenUsed/>
    <w:pPr>
      <w:pBdr/>
      <w:spacing w:after="100"/>
      <w:ind w:left="1320"/>
    </w:pPr>
  </w:style>
  <w:style w:type="paragraph" w:styleId="196">
    <w:name w:val="toc 8"/>
    <w:basedOn w:val="733"/>
    <w:next w:val="733"/>
    <w:uiPriority w:val="39"/>
    <w:unhideWhenUsed/>
    <w:pPr>
      <w:pBdr/>
      <w:spacing w:after="100"/>
      <w:ind w:left="1540"/>
    </w:pPr>
  </w:style>
  <w:style w:type="paragraph" w:styleId="197">
    <w:name w:val="toc 9"/>
    <w:basedOn w:val="733"/>
    <w:next w:val="73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33"/>
    <w:next w:val="733"/>
    <w:uiPriority w:val="99"/>
    <w:unhideWhenUsed/>
    <w:pPr>
      <w:pBdr/>
      <w:spacing w:after="0" w:afterAutospacing="0"/>
      <w:ind/>
    </w:pPr>
  </w:style>
  <w:style w:type="paragraph" w:styleId="733" w:default="1">
    <w:name w:val="Normal"/>
    <w:qFormat/>
    <w:pPr>
      <w:pBdr/>
      <w:spacing/>
      <w:ind/>
    </w:pPr>
    <w:rPr>
      <w:rFonts w:ascii="Arial" w:hAnsi="Arial" w:eastAsia="Arial" w:cs="Arial"/>
      <w:color w:val="1f1a2b"/>
      <w:sz w:val="22"/>
    </w:rPr>
  </w:style>
  <w:style w:type="paragraph" w:styleId="734">
    <w:name w:val="Body Text"/>
    <w:basedOn w:val="733"/>
    <w:link w:val="776"/>
    <w:qFormat/>
    <w:pPr>
      <w:pBdr/>
      <w:spacing w:after="120" w:before="0" w:line="276" w:lineRule="auto"/>
      <w:ind/>
    </w:pPr>
    <w:rPr>
      <w:rFonts w:ascii="Arial" w:hAnsi="Arial" w:eastAsia="Arial" w:cs="Arial"/>
      <w:color w:val="1f1a2b"/>
      <w:sz w:val="22"/>
    </w:rPr>
  </w:style>
  <w:style w:type="paragraph" w:styleId="735" w:customStyle="1">
    <w:name w:val="First Paragraph"/>
    <w:basedOn w:val="734"/>
    <w:next w:val="734"/>
    <w:qFormat/>
    <w:pPr>
      <w:pBdr/>
      <w:spacing w:after="120" w:before="0" w:line="276" w:lineRule="auto"/>
      <w:ind/>
    </w:pPr>
    <w:rPr>
      <w:rFonts w:ascii="Arial" w:hAnsi="Arial" w:eastAsia="Arial" w:cs="Arial"/>
      <w:color w:val="1f1a2b"/>
      <w:sz w:val="22"/>
    </w:rPr>
  </w:style>
  <w:style w:type="paragraph" w:styleId="736" w:customStyle="1">
    <w:name w:val="Compact"/>
    <w:basedOn w:val="734"/>
    <w:qFormat/>
    <w:pPr>
      <w:pBdr/>
      <w:spacing w:after="20" w:before="20" w:line="240" w:lineRule="auto"/>
      <w:ind/>
    </w:pPr>
    <w:rPr>
      <w:rFonts w:ascii="Arial" w:hAnsi="Arial" w:eastAsia="Arial" w:cs="Arial"/>
      <w:color w:val="1f1a2b"/>
      <w:sz w:val="22"/>
    </w:rPr>
  </w:style>
  <w:style w:type="paragraph" w:styleId="737">
    <w:name w:val="Title"/>
    <w:basedOn w:val="733"/>
    <w:next w:val="734"/>
    <w:link w:val="738"/>
    <w:uiPriority w:val="10"/>
    <w:qFormat/>
    <w:pPr>
      <w:pBdr/>
      <w:spacing w:after="80" w:before="0" w:line="240" w:lineRule="auto"/>
      <w:ind/>
      <w:contextualSpacing w:val="true"/>
      <w:jc w:val="left"/>
    </w:pPr>
    <w:rPr>
      <w:rFonts w:ascii="Arial" w:hAnsi="Arial" w:eastAsia="Arial" w:cs="Arial" w:cstheme="majorBidi"/>
      <w:b/>
      <w:i w:val="0"/>
      <w:color w:val="4e2891"/>
      <w:sz w:val="44"/>
      <w:szCs w:val="56"/>
    </w:rPr>
  </w:style>
  <w:style w:type="character" w:styleId="738" w:customStyle="1">
    <w:name w:val="Title Char"/>
    <w:basedOn w:val="767"/>
    <w:link w:val="737"/>
    <w:uiPriority w:val="10"/>
    <w:pPr>
      <w:pBdr/>
      <w:spacing/>
      <w:ind/>
    </w:pPr>
    <w:rPr>
      <w:rFonts w:ascii="Arial" w:hAnsi="Arial" w:eastAsia="Arial" w:cs="Arial" w:cstheme="majorBidi"/>
      <w:sz w:val="56"/>
      <w:szCs w:val="56"/>
    </w:rPr>
  </w:style>
  <w:style w:type="paragraph" w:styleId="739">
    <w:name w:val="Subtitle"/>
    <w:basedOn w:val="737"/>
    <w:next w:val="734"/>
    <w:link w:val="740"/>
    <w:uiPriority w:val="11"/>
    <w:qFormat/>
    <w:pPr>
      <w:numPr>
        <w:ilvl w:val="1"/>
      </w:numPr>
      <w:pBdr/>
      <w:spacing/>
      <w:ind/>
    </w:pPr>
    <w:rPr>
      <w:rFonts w:ascii="Arial" w:hAnsi="Arial" w:eastAsia="Arial" w:cs="Arial" w:cstheme="majorBidi"/>
      <w:spacing w:val="15"/>
      <w:sz w:val="28"/>
      <w:szCs w:val="28"/>
    </w:rPr>
  </w:style>
  <w:style w:type="character" w:styleId="740" w:customStyle="1">
    <w:name w:val="Subtitle Char"/>
    <w:basedOn w:val="767"/>
    <w:link w:val="739"/>
    <w:uiPriority w:val="11"/>
    <w:pPr>
      <w:pBdr/>
      <w:spacing/>
      <w:ind/>
    </w:pPr>
    <w:rPr>
      <w:rFonts w:ascii="Arial" w:hAnsi="Arial" w:eastAsia="Arial" w:cs="Arial" w:cstheme="majorBidi"/>
      <w:color w:val="595959" w:themeColor="text1" w:themeTint="A6"/>
      <w:spacing w:val="15"/>
      <w:sz w:val="28"/>
      <w:szCs w:val="28"/>
    </w:rPr>
  </w:style>
  <w:style w:type="paragraph" w:styleId="741" w:customStyle="1">
    <w:name w:val="Author"/>
    <w:basedOn w:val="737"/>
    <w:next w:val="734"/>
    <w:qFormat/>
    <w:pPr>
      <w:keepNext w:val="true"/>
      <w:keepLines w:val="true"/>
      <w:pBdr/>
      <w:spacing/>
      <w:ind/>
    </w:pPr>
    <w:rPr>
      <w:rFonts w:ascii="Arial" w:hAnsi="Arial" w:eastAsia="Arial" w:cs="Arial"/>
      <w:sz w:val="24"/>
      <w:szCs w:val="24"/>
    </w:rPr>
  </w:style>
  <w:style w:type="paragraph" w:styleId="742">
    <w:name w:val="Date"/>
    <w:basedOn w:val="737"/>
    <w:next w:val="734"/>
    <w:qFormat/>
    <w:pPr>
      <w:keepNext w:val="true"/>
      <w:keepLines w:val="true"/>
      <w:pBdr/>
      <w:spacing/>
      <w:ind/>
    </w:pPr>
    <w:rPr>
      <w:rFonts w:ascii="Arial" w:hAnsi="Arial" w:eastAsia="Arial" w:cs="Arial"/>
      <w:sz w:val="24"/>
      <w:szCs w:val="24"/>
    </w:rPr>
  </w:style>
  <w:style w:type="paragraph" w:styleId="743" w:customStyle="1">
    <w:name w:val="Abstract Title"/>
    <w:basedOn w:val="733"/>
    <w:next w:val="744"/>
    <w:qFormat/>
    <w:pPr>
      <w:keepNext w:val="true"/>
      <w:keepLines w:val="true"/>
      <w:pBdr/>
      <w:spacing w:after="0" w:before="300"/>
      <w:ind/>
      <w:jc w:val="center"/>
    </w:pPr>
    <w:rPr>
      <w:rFonts w:ascii="Arial" w:hAnsi="Arial" w:eastAsia="Arial" w:cs="Arial"/>
      <w:b/>
      <w:sz w:val="20"/>
      <w:szCs w:val="20"/>
    </w:rPr>
  </w:style>
  <w:style w:type="paragraph" w:styleId="744" w:customStyle="1">
    <w:name w:val="Abstract"/>
    <w:basedOn w:val="733"/>
    <w:next w:val="734"/>
    <w:qFormat/>
    <w:pPr>
      <w:keepNext w:val="true"/>
      <w:keepLines w:val="true"/>
      <w:pBdr/>
      <w:spacing w:after="300" w:before="100"/>
      <w:ind/>
    </w:pPr>
    <w:rPr>
      <w:rFonts w:ascii="Arial" w:hAnsi="Arial" w:eastAsia="Arial" w:cs="Arial"/>
      <w:sz w:val="20"/>
      <w:szCs w:val="20"/>
    </w:rPr>
  </w:style>
  <w:style w:type="paragraph" w:styleId="745">
    <w:name w:val="Bibliography"/>
    <w:basedOn w:val="733"/>
    <w:next w:val="745"/>
    <w:qFormat/>
    <w:pPr>
      <w:pBdr/>
      <w:spacing/>
      <w:ind/>
    </w:pPr>
    <w:rPr>
      <w:rFonts w:ascii="Arial" w:hAnsi="Arial" w:eastAsia="Arial" w:cs="Arial"/>
    </w:rPr>
  </w:style>
  <w:style w:type="paragraph" w:styleId="746">
    <w:name w:val="Heading 1"/>
    <w:basedOn w:val="733"/>
    <w:next w:val="734"/>
    <w:link w:val="755"/>
    <w:uiPriority w:val="9"/>
    <w:qFormat/>
    <w:pPr>
      <w:keepNext w:val="true"/>
      <w:keepLines w:val="true"/>
      <w:pBdr/>
      <w:spacing w:after="120" w:before="320"/>
      <w:ind/>
      <w:jc w:val="left"/>
      <w:outlineLvl w:val="0"/>
    </w:pPr>
    <w:rPr>
      <w:rFonts w:ascii="Arial" w:hAnsi="Arial" w:eastAsia="Arial" w:cs="Arial" w:cstheme="majorBidi"/>
      <w:b/>
      <w:i w:val="0"/>
      <w:color w:val="4e2891"/>
      <w:sz w:val="30"/>
      <w:szCs w:val="40"/>
    </w:rPr>
  </w:style>
  <w:style w:type="paragraph" w:styleId="747">
    <w:name w:val="Heading 2"/>
    <w:basedOn w:val="733"/>
    <w:next w:val="734"/>
    <w:link w:val="756"/>
    <w:uiPriority w:val="9"/>
    <w:semiHidden/>
    <w:unhideWhenUsed/>
    <w:qFormat/>
    <w:pPr>
      <w:keepNext w:val="true"/>
      <w:keepLines w:val="true"/>
      <w:pBdr/>
      <w:spacing w:after="100" w:before="240"/>
      <w:ind/>
      <w:jc w:val="left"/>
      <w:outlineLvl w:val="1"/>
    </w:pPr>
    <w:rPr>
      <w:rFonts w:ascii="Arial" w:hAnsi="Arial" w:eastAsia="Arial" w:cs="Arial" w:cstheme="majorBidi"/>
      <w:b/>
      <w:i w:val="0"/>
      <w:color w:val="bd2874"/>
      <w:sz w:val="24"/>
      <w:szCs w:val="32"/>
    </w:rPr>
  </w:style>
  <w:style w:type="paragraph" w:styleId="748">
    <w:name w:val="Heading 3"/>
    <w:basedOn w:val="733"/>
    <w:next w:val="734"/>
    <w:link w:val="757"/>
    <w:uiPriority w:val="9"/>
    <w:semiHidden/>
    <w:unhideWhenUsed/>
    <w:qFormat/>
    <w:pPr>
      <w:keepNext w:val="true"/>
      <w:keepLines w:val="true"/>
      <w:pBdr/>
      <w:spacing w:after="80" w:before="200"/>
      <w:ind/>
      <w:jc w:val="left"/>
      <w:outlineLvl w:val="2"/>
    </w:pPr>
    <w:rPr>
      <w:rFonts w:ascii="Arial" w:hAnsi="Arial" w:eastAsia="Arial" w:cs="Arial" w:cstheme="majorBidi"/>
      <w:b/>
      <w:i w:val="0"/>
      <w:color w:val="4e2891"/>
      <w:sz w:val="22"/>
      <w:szCs w:val="28"/>
    </w:rPr>
  </w:style>
  <w:style w:type="paragraph" w:styleId="749">
    <w:name w:val="Heading 4"/>
    <w:basedOn w:val="733"/>
    <w:next w:val="734"/>
    <w:link w:val="75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 w:cstheme="majorBidi"/>
      <w:i/>
      <w:iCs/>
      <w:color w:val="0f4761" w:themeColor="accent1" w:themeShade="BF"/>
    </w:rPr>
  </w:style>
  <w:style w:type="paragraph" w:styleId="750">
    <w:name w:val="Heading 5"/>
    <w:basedOn w:val="733"/>
    <w:next w:val="734"/>
    <w:link w:val="75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 w:cstheme="majorBidi"/>
      <w:color w:val="0f4761" w:themeColor="accent1" w:themeShade="BF"/>
    </w:rPr>
  </w:style>
  <w:style w:type="paragraph" w:styleId="751">
    <w:name w:val="Heading 6"/>
    <w:basedOn w:val="733"/>
    <w:next w:val="734"/>
    <w:link w:val="76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 w:cstheme="majorBidi"/>
      <w:i/>
      <w:iCs/>
      <w:color w:val="595959" w:themeColor="text1" w:themeTint="A6"/>
    </w:rPr>
  </w:style>
  <w:style w:type="paragraph" w:styleId="752">
    <w:name w:val="Heading 7"/>
    <w:basedOn w:val="733"/>
    <w:next w:val="734"/>
    <w:link w:val="76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 w:cstheme="majorBidi"/>
      <w:color w:val="595959" w:themeColor="text1" w:themeTint="A6"/>
    </w:rPr>
  </w:style>
  <w:style w:type="paragraph" w:styleId="753">
    <w:name w:val="Heading 8"/>
    <w:basedOn w:val="733"/>
    <w:next w:val="734"/>
    <w:link w:val="76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 w:cstheme="majorBidi"/>
      <w:i/>
      <w:iCs/>
      <w:color w:val="272727" w:themeColor="text1" w:themeTint="D8"/>
    </w:rPr>
  </w:style>
  <w:style w:type="paragraph" w:styleId="754">
    <w:name w:val="Heading 9"/>
    <w:basedOn w:val="733"/>
    <w:next w:val="734"/>
    <w:link w:val="76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 w:cstheme="majorBidi"/>
      <w:color w:val="272727" w:themeColor="text1" w:themeTint="D8"/>
    </w:rPr>
  </w:style>
  <w:style w:type="character" w:styleId="755" w:customStyle="1">
    <w:name w:val="Heading 1 Char"/>
    <w:basedOn w:val="767"/>
    <w:link w:val="746"/>
    <w:uiPriority w:val="9"/>
    <w:pPr>
      <w:pBdr/>
      <w:spacing/>
      <w:ind/>
    </w:pPr>
    <w:rPr>
      <w:rFonts w:ascii="Arial" w:hAnsi="Arial" w:eastAsia="Arial" w:cs="Arial" w:cstheme="majorBidi"/>
      <w:color w:val="0f4761" w:themeColor="accent1" w:themeShade="BF"/>
      <w:sz w:val="40"/>
      <w:szCs w:val="40"/>
    </w:rPr>
  </w:style>
  <w:style w:type="character" w:styleId="756" w:customStyle="1">
    <w:name w:val="Heading 2 Char"/>
    <w:basedOn w:val="767"/>
    <w:link w:val="747"/>
    <w:uiPriority w:val="9"/>
    <w:semiHidden/>
    <w:pPr>
      <w:pBdr/>
      <w:spacing/>
      <w:ind/>
    </w:pPr>
    <w:rPr>
      <w:rFonts w:ascii="Arial" w:hAnsi="Arial" w:eastAsia="Arial" w:cs="Arial" w:cstheme="majorBidi"/>
      <w:color w:val="0f4761" w:themeColor="accent1" w:themeShade="BF"/>
      <w:sz w:val="32"/>
      <w:szCs w:val="32"/>
    </w:rPr>
  </w:style>
  <w:style w:type="character" w:styleId="757" w:customStyle="1">
    <w:name w:val="Heading 3 Char"/>
    <w:basedOn w:val="767"/>
    <w:link w:val="748"/>
    <w:uiPriority w:val="9"/>
    <w:semiHidden/>
    <w:pPr>
      <w:pBdr/>
      <w:spacing/>
      <w:ind/>
    </w:pPr>
    <w:rPr>
      <w:rFonts w:ascii="Arial" w:hAnsi="Arial" w:eastAsia="Arial" w:cs="Arial" w:cstheme="majorBidi"/>
      <w:color w:val="0f4761" w:themeColor="accent1" w:themeShade="BF"/>
      <w:sz w:val="28"/>
      <w:szCs w:val="28"/>
    </w:rPr>
  </w:style>
  <w:style w:type="character" w:styleId="758" w:customStyle="1">
    <w:name w:val="Heading 4 Char"/>
    <w:basedOn w:val="767"/>
    <w:link w:val="749"/>
    <w:uiPriority w:val="9"/>
    <w:semiHidden/>
    <w:pPr>
      <w:pBdr/>
      <w:spacing/>
      <w:ind/>
    </w:pPr>
    <w:rPr>
      <w:rFonts w:ascii="Arial" w:hAnsi="Arial" w:eastAsia="Arial" w:cs="Arial" w:cstheme="majorBidi"/>
      <w:i/>
      <w:iCs/>
      <w:color w:val="0f4761" w:themeColor="accent1" w:themeShade="BF"/>
    </w:rPr>
  </w:style>
  <w:style w:type="character" w:styleId="759" w:customStyle="1">
    <w:name w:val="Heading 5 Char"/>
    <w:basedOn w:val="767"/>
    <w:link w:val="750"/>
    <w:uiPriority w:val="9"/>
    <w:semiHidden/>
    <w:pPr>
      <w:pBdr/>
      <w:spacing/>
      <w:ind/>
    </w:pPr>
    <w:rPr>
      <w:rFonts w:ascii="Arial" w:hAnsi="Arial" w:eastAsia="Arial" w:cs="Arial" w:cstheme="majorBidi"/>
      <w:color w:val="0f4761" w:themeColor="accent1" w:themeShade="BF"/>
    </w:rPr>
  </w:style>
  <w:style w:type="character" w:styleId="760" w:customStyle="1">
    <w:name w:val="Heading 6 Char"/>
    <w:basedOn w:val="767"/>
    <w:link w:val="751"/>
    <w:uiPriority w:val="9"/>
    <w:semiHidden/>
    <w:pPr>
      <w:pBdr/>
      <w:spacing/>
      <w:ind/>
    </w:pPr>
    <w:rPr>
      <w:rFonts w:ascii="Arial" w:hAnsi="Arial" w:eastAsia="Arial" w:cs="Arial" w:cstheme="majorBidi"/>
      <w:i/>
      <w:iCs/>
      <w:color w:val="595959" w:themeColor="text1" w:themeTint="A6"/>
    </w:rPr>
  </w:style>
  <w:style w:type="character" w:styleId="761" w:customStyle="1">
    <w:name w:val="Heading 7 Char"/>
    <w:basedOn w:val="767"/>
    <w:link w:val="752"/>
    <w:uiPriority w:val="9"/>
    <w:semiHidden/>
    <w:pPr>
      <w:pBdr/>
      <w:spacing/>
      <w:ind/>
    </w:pPr>
    <w:rPr>
      <w:rFonts w:ascii="Arial" w:hAnsi="Arial" w:eastAsia="Arial" w:cs="Arial" w:cstheme="majorBidi"/>
      <w:color w:val="595959" w:themeColor="text1" w:themeTint="A6"/>
    </w:rPr>
  </w:style>
  <w:style w:type="character" w:styleId="762" w:customStyle="1">
    <w:name w:val="Heading 8 Char"/>
    <w:basedOn w:val="767"/>
    <w:link w:val="753"/>
    <w:uiPriority w:val="9"/>
    <w:semiHidden/>
    <w:pPr>
      <w:pBdr/>
      <w:spacing/>
      <w:ind/>
    </w:pPr>
    <w:rPr>
      <w:rFonts w:ascii="Arial" w:hAnsi="Arial" w:eastAsia="Arial" w:cs="Arial" w:cstheme="majorBidi"/>
      <w:i/>
      <w:iCs/>
      <w:color w:val="272727" w:themeColor="text1" w:themeTint="D8"/>
    </w:rPr>
  </w:style>
  <w:style w:type="character" w:styleId="763" w:customStyle="1">
    <w:name w:val="Heading 9 Char"/>
    <w:basedOn w:val="767"/>
    <w:link w:val="754"/>
    <w:uiPriority w:val="9"/>
    <w:semiHidden/>
    <w:pPr>
      <w:pBdr/>
      <w:spacing/>
      <w:ind/>
    </w:pPr>
    <w:rPr>
      <w:rFonts w:ascii="Arial" w:hAnsi="Arial" w:eastAsia="Arial" w:cs="Arial" w:cstheme="majorBidi"/>
      <w:color w:val="272727" w:themeColor="text1" w:themeTint="D8"/>
    </w:rPr>
  </w:style>
  <w:style w:type="paragraph" w:styleId="764">
    <w:name w:val="Block Text"/>
    <w:basedOn w:val="734"/>
    <w:next w:val="734"/>
    <w:uiPriority w:val="9"/>
    <w:unhideWhenUsed/>
    <w:qFormat/>
    <w:pPr>
      <w:pBdr>
        <w:left w:val="single" w:color="bd2874" w:sz="18" w:space="8"/>
      </w:pBdr>
      <w:spacing w:after="80" w:before="80"/>
      <w:ind w:right="480" w:firstLine="0" w:left="283"/>
    </w:pPr>
    <w:rPr>
      <w:rFonts w:ascii="Arial" w:hAnsi="Arial" w:eastAsia="Arial" w:cs="Arial"/>
      <w:i w:val="0"/>
      <w:color w:val="4a3a68"/>
      <w:sz w:val="22"/>
    </w:rPr>
  </w:style>
  <w:style w:type="paragraph" w:styleId="765">
    <w:name w:val="footnote text"/>
    <w:basedOn w:val="733"/>
    <w:next w:val="765"/>
    <w:uiPriority w:val="9"/>
    <w:unhideWhenUsed/>
    <w:qFormat/>
    <w:pPr>
      <w:pBdr/>
      <w:spacing/>
      <w:ind/>
    </w:pPr>
    <w:rPr>
      <w:rFonts w:ascii="Arial" w:hAnsi="Arial" w:eastAsia="Arial" w:cs="Arial"/>
    </w:rPr>
  </w:style>
  <w:style w:type="paragraph" w:styleId="766">
    <w:name w:val="Footnote Block Text"/>
    <w:basedOn w:val="765"/>
    <w:next w:val="765"/>
    <w:uiPriority w:val="9"/>
    <w:unhideWhenUsed/>
    <w:qFormat/>
    <w:pPr>
      <w:pBdr/>
      <w:spacing w:after="100" w:before="100"/>
      <w:ind w:right="480" w:firstLine="0" w:left="480"/>
    </w:pPr>
    <w:rPr>
      <w:rFonts w:ascii="Arial" w:hAnsi="Arial" w:eastAsia="Arial" w:cs="Arial"/>
    </w:rPr>
  </w:style>
  <w:style w:type="character" w:styleId="767" w:default="1">
    <w:name w:val="Default Paragraph Font"/>
    <w:semiHidden/>
    <w:unhideWhenUsed/>
    <w:pPr>
      <w:pBdr/>
      <w:spacing/>
      <w:ind/>
    </w:pPr>
    <w:rPr>
      <w:rFonts w:ascii="Arial" w:hAnsi="Arial" w:eastAsia="Arial" w:cs="Arial"/>
    </w:rPr>
  </w:style>
  <w:style w:type="table" w:styleId="768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69" w:customStyle="1">
    <w:name w:val="Definition Term"/>
    <w:basedOn w:val="733"/>
    <w:next w:val="770"/>
    <w:pPr>
      <w:keepNext w:val="true"/>
      <w:keepLines w:val="true"/>
      <w:pBdr/>
      <w:spacing w:after="0"/>
      <w:ind/>
    </w:pPr>
    <w:rPr>
      <w:rFonts w:ascii="Arial" w:hAnsi="Arial" w:eastAsia="Arial" w:cs="Arial"/>
      <w:b/>
    </w:rPr>
  </w:style>
  <w:style w:type="paragraph" w:styleId="770" w:customStyle="1">
    <w:name w:val="Definition"/>
    <w:basedOn w:val="733"/>
    <w:pPr>
      <w:pBdr/>
      <w:spacing/>
      <w:ind/>
    </w:pPr>
    <w:rPr>
      <w:rFonts w:ascii="Arial" w:hAnsi="Arial" w:eastAsia="Arial" w:cs="Arial"/>
    </w:rPr>
  </w:style>
  <w:style w:type="paragraph" w:styleId="771">
    <w:name w:val="Caption"/>
    <w:basedOn w:val="733"/>
    <w:link w:val="776"/>
    <w:pPr>
      <w:pBdr/>
      <w:spacing w:after="120" w:before="0"/>
      <w:ind/>
    </w:pPr>
    <w:rPr>
      <w:rFonts w:ascii="Arial" w:hAnsi="Arial" w:eastAsia="Arial" w:cs="Arial"/>
      <w:i/>
    </w:rPr>
  </w:style>
  <w:style w:type="paragraph" w:styleId="772" w:customStyle="1">
    <w:name w:val="Table Caption"/>
    <w:basedOn w:val="771"/>
    <w:pPr>
      <w:keepNext w:val="true"/>
      <w:pBdr/>
      <w:spacing/>
      <w:ind/>
    </w:pPr>
    <w:rPr>
      <w:rFonts w:ascii="Arial" w:hAnsi="Arial" w:eastAsia="Arial" w:cs="Arial"/>
      <w:i/>
      <w:color w:val="7a6b95"/>
      <w:sz w:val="18"/>
    </w:rPr>
  </w:style>
  <w:style w:type="paragraph" w:styleId="773" w:customStyle="1">
    <w:name w:val="Image Caption"/>
    <w:basedOn w:val="771"/>
    <w:pPr>
      <w:pBdr/>
      <w:spacing/>
      <w:ind/>
    </w:pPr>
    <w:rPr>
      <w:rFonts w:ascii="Arial" w:hAnsi="Arial" w:eastAsia="Arial" w:cs="Arial"/>
      <w:i/>
      <w:color w:val="7a6b95"/>
      <w:sz w:val="18"/>
    </w:rPr>
  </w:style>
  <w:style w:type="paragraph" w:styleId="774" w:customStyle="1">
    <w:name w:val="Figure"/>
    <w:basedOn w:val="733"/>
    <w:pPr>
      <w:pBdr/>
      <w:spacing/>
      <w:ind/>
    </w:pPr>
    <w:rPr>
      <w:rFonts w:ascii="Arial" w:hAnsi="Arial" w:eastAsia="Arial" w:cs="Arial"/>
    </w:rPr>
  </w:style>
  <w:style w:type="paragraph" w:styleId="775" w:customStyle="1">
    <w:name w:val="Captioned Figure"/>
    <w:basedOn w:val="774"/>
    <w:pPr>
      <w:keepNext w:val="true"/>
      <w:pBdr/>
      <w:spacing/>
      <w:ind/>
    </w:pPr>
    <w:rPr>
      <w:rFonts w:ascii="Arial" w:hAnsi="Arial" w:eastAsia="Arial" w:cs="Arial"/>
    </w:rPr>
  </w:style>
  <w:style w:type="character" w:styleId="776" w:customStyle="1">
    <w:name w:val="Body Text Char"/>
    <w:basedOn w:val="767"/>
    <w:link w:val="734"/>
    <w:pPr>
      <w:pBdr/>
      <w:spacing/>
      <w:ind/>
    </w:pPr>
    <w:rPr>
      <w:rFonts w:ascii="Arial" w:hAnsi="Arial" w:eastAsia="Arial" w:cs="Arial"/>
    </w:rPr>
  </w:style>
  <w:style w:type="character" w:styleId="777" w:customStyle="1">
    <w:name w:val="Verbatim Char"/>
    <w:basedOn w:val="776"/>
    <w:pPr>
      <w:pBdr/>
      <w:spacing/>
      <w:ind/>
    </w:pPr>
    <w:rPr>
      <w:rFonts w:ascii="Consolas" w:hAnsi="Consolas"/>
      <w:sz w:val="22"/>
    </w:rPr>
  </w:style>
  <w:style w:type="character" w:styleId="778" w:customStyle="1">
    <w:name w:val="Section Number"/>
    <w:basedOn w:val="776"/>
    <w:pPr>
      <w:pBdr/>
      <w:spacing/>
      <w:ind/>
    </w:pPr>
    <w:rPr>
      <w:rFonts w:ascii="Arial" w:hAnsi="Arial" w:eastAsia="Arial" w:cs="Arial"/>
    </w:rPr>
  </w:style>
  <w:style w:type="character" w:styleId="779">
    <w:name w:val="footnote reference"/>
    <w:basedOn w:val="776"/>
    <w:pPr>
      <w:pBdr/>
      <w:spacing/>
      <w:ind/>
    </w:pPr>
    <w:rPr>
      <w:rFonts w:ascii="Arial" w:hAnsi="Arial" w:eastAsia="Arial" w:cs="Arial"/>
      <w:vertAlign w:val="superscript"/>
    </w:rPr>
  </w:style>
  <w:style w:type="character" w:styleId="780">
    <w:name w:val="Hyperlink"/>
    <w:basedOn w:val="776"/>
    <w:pPr>
      <w:pBdr/>
      <w:spacing/>
      <w:ind/>
    </w:pPr>
    <w:rPr>
      <w:rFonts w:ascii="Arial" w:hAnsi="Arial" w:eastAsia="Arial" w:cs="Arial"/>
      <w:color w:val="4f81bd" w:themeColor="accent1"/>
    </w:rPr>
  </w:style>
  <w:style w:type="paragraph" w:styleId="781">
    <w:name w:val="TOC Heading"/>
    <w:basedOn w:val="746"/>
    <w:next w:val="734"/>
    <w:uiPriority w:val="39"/>
    <w:unhideWhenUsed/>
    <w:qFormat/>
    <w:pPr>
      <w:pBdr/>
      <w:spacing w:before="240" w:line="259" w:lineRule="auto"/>
      <w:ind/>
      <w:outlineLvl w:val="9"/>
    </w:pPr>
    <w:rPr>
      <w:rFonts w:ascii="Arial" w:hAnsi="Arial" w:eastAsia="Arial" w:cs="Arial" w:cstheme="majorBidi"/>
      <w:b w:val="0"/>
      <w:bCs w:val="0"/>
      <w:color w:val="365f91" w:themeColor="accent1" w:themeShade="BF"/>
    </w:rPr>
  </w:style>
  <w:style w:type="paragraph" w:styleId="782" w:customStyle="1">
    <w:name w:val="Source Code"/>
    <w:basedOn w:val="733"/>
    <w:link w:val="777"/>
    <w:pPr>
      <w:pBdr/>
      <w:spacing/>
      <w:ind/>
    </w:pPr>
  </w:style>
  <w:style w:type="character" w:styleId="783" w:customStyle="1">
    <w:name w:val="KeywordTok"/>
    <w:basedOn w:val="777"/>
    <w:pPr>
      <w:pBdr/>
      <w:spacing/>
      <w:ind/>
    </w:pPr>
    <w:rPr>
      <w:rFonts w:ascii="Arial" w:hAnsi="Arial" w:eastAsia="Arial" w:cs="Arial"/>
      <w:b/>
      <w:color w:val="007020"/>
    </w:rPr>
  </w:style>
  <w:style w:type="character" w:styleId="784" w:customStyle="1">
    <w:name w:val="DataTypeTok"/>
    <w:basedOn w:val="777"/>
    <w:pPr>
      <w:pBdr/>
      <w:spacing/>
      <w:ind/>
    </w:pPr>
    <w:rPr>
      <w:rFonts w:ascii="Arial" w:hAnsi="Arial" w:eastAsia="Arial" w:cs="Arial"/>
      <w:color w:val="902000"/>
    </w:rPr>
  </w:style>
  <w:style w:type="character" w:styleId="785" w:customStyle="1">
    <w:name w:val="DecValTok"/>
    <w:basedOn w:val="777"/>
    <w:pPr>
      <w:pBdr/>
      <w:spacing/>
      <w:ind/>
    </w:pPr>
    <w:rPr>
      <w:rFonts w:ascii="Arial" w:hAnsi="Arial" w:eastAsia="Arial" w:cs="Arial"/>
      <w:color w:val="40a070"/>
    </w:rPr>
  </w:style>
  <w:style w:type="character" w:styleId="786" w:customStyle="1">
    <w:name w:val="BaseNTok"/>
    <w:basedOn w:val="777"/>
    <w:pPr>
      <w:pBdr/>
      <w:spacing/>
      <w:ind/>
    </w:pPr>
    <w:rPr>
      <w:rFonts w:ascii="Arial" w:hAnsi="Arial" w:eastAsia="Arial" w:cs="Arial"/>
      <w:color w:val="40a070"/>
    </w:rPr>
  </w:style>
  <w:style w:type="character" w:styleId="787" w:customStyle="1">
    <w:name w:val="FloatTok"/>
    <w:basedOn w:val="777"/>
    <w:pPr>
      <w:pBdr/>
      <w:spacing/>
      <w:ind/>
    </w:pPr>
    <w:rPr>
      <w:rFonts w:ascii="Arial" w:hAnsi="Arial" w:eastAsia="Arial" w:cs="Arial"/>
      <w:color w:val="40a070"/>
    </w:rPr>
  </w:style>
  <w:style w:type="character" w:styleId="788" w:customStyle="1">
    <w:name w:val="ConstantTok"/>
    <w:basedOn w:val="777"/>
    <w:pPr>
      <w:pBdr/>
      <w:spacing/>
      <w:ind/>
    </w:pPr>
    <w:rPr>
      <w:rFonts w:ascii="Arial" w:hAnsi="Arial" w:eastAsia="Arial" w:cs="Arial"/>
      <w:color w:val="880000"/>
    </w:rPr>
  </w:style>
  <w:style w:type="character" w:styleId="789" w:customStyle="1">
    <w:name w:val="CharTok"/>
    <w:basedOn w:val="777"/>
    <w:pPr>
      <w:pBdr/>
      <w:spacing/>
      <w:ind/>
    </w:pPr>
    <w:rPr>
      <w:rFonts w:ascii="Arial" w:hAnsi="Arial" w:eastAsia="Arial" w:cs="Arial"/>
      <w:color w:val="4070a0"/>
    </w:rPr>
  </w:style>
  <w:style w:type="character" w:styleId="790" w:customStyle="1">
    <w:name w:val="SpecialCharTok"/>
    <w:basedOn w:val="777"/>
    <w:pPr>
      <w:pBdr/>
      <w:spacing/>
      <w:ind/>
    </w:pPr>
    <w:rPr>
      <w:rFonts w:ascii="Arial" w:hAnsi="Arial" w:eastAsia="Arial" w:cs="Arial"/>
      <w:color w:val="4070a0"/>
    </w:rPr>
  </w:style>
  <w:style w:type="character" w:styleId="791" w:customStyle="1">
    <w:name w:val="StringTok"/>
    <w:basedOn w:val="777"/>
    <w:pPr>
      <w:pBdr/>
      <w:spacing/>
      <w:ind/>
    </w:pPr>
    <w:rPr>
      <w:rFonts w:ascii="Arial" w:hAnsi="Arial" w:eastAsia="Arial" w:cs="Arial"/>
      <w:color w:val="4070a0"/>
    </w:rPr>
  </w:style>
  <w:style w:type="character" w:styleId="792" w:customStyle="1">
    <w:name w:val="VerbatimStringTok"/>
    <w:basedOn w:val="777"/>
    <w:pPr>
      <w:pBdr/>
      <w:spacing/>
      <w:ind/>
    </w:pPr>
    <w:rPr>
      <w:rFonts w:ascii="Arial" w:hAnsi="Arial" w:eastAsia="Arial" w:cs="Arial"/>
      <w:color w:val="4070a0"/>
    </w:rPr>
  </w:style>
  <w:style w:type="character" w:styleId="793" w:customStyle="1">
    <w:name w:val="SpecialStringTok"/>
    <w:basedOn w:val="777"/>
    <w:pPr>
      <w:pBdr/>
      <w:spacing/>
      <w:ind/>
    </w:pPr>
    <w:rPr>
      <w:rFonts w:ascii="Arial" w:hAnsi="Arial" w:eastAsia="Arial" w:cs="Arial"/>
      <w:color w:val="bb6688"/>
    </w:rPr>
  </w:style>
  <w:style w:type="character" w:styleId="794" w:customStyle="1">
    <w:name w:val="ImportTok"/>
    <w:basedOn w:val="777"/>
    <w:pPr>
      <w:pBdr/>
      <w:spacing/>
      <w:ind/>
    </w:pPr>
    <w:rPr>
      <w:rFonts w:ascii="Arial" w:hAnsi="Arial" w:eastAsia="Arial" w:cs="Arial"/>
      <w:b/>
      <w:color w:val="008000"/>
    </w:rPr>
  </w:style>
  <w:style w:type="character" w:styleId="795" w:customStyle="1">
    <w:name w:val="CommentTok"/>
    <w:basedOn w:val="777"/>
    <w:pPr>
      <w:pBdr/>
      <w:spacing/>
      <w:ind/>
    </w:pPr>
    <w:rPr>
      <w:rFonts w:ascii="Arial" w:hAnsi="Arial" w:eastAsia="Arial" w:cs="Arial"/>
      <w:i/>
      <w:color w:val="60a0b0"/>
    </w:rPr>
  </w:style>
  <w:style w:type="character" w:styleId="796" w:customStyle="1">
    <w:name w:val="DocumentationTok"/>
    <w:basedOn w:val="777"/>
    <w:pPr>
      <w:pBdr/>
      <w:spacing/>
      <w:ind/>
    </w:pPr>
    <w:rPr>
      <w:rFonts w:ascii="Arial" w:hAnsi="Arial" w:eastAsia="Arial" w:cs="Arial"/>
      <w:i/>
      <w:color w:val="ba2121"/>
    </w:rPr>
  </w:style>
  <w:style w:type="character" w:styleId="797" w:customStyle="1">
    <w:name w:val="AnnotationTok"/>
    <w:basedOn w:val="777"/>
    <w:pPr>
      <w:pBdr/>
      <w:spacing/>
      <w:ind/>
    </w:pPr>
    <w:rPr>
      <w:rFonts w:ascii="Arial" w:hAnsi="Arial" w:eastAsia="Arial" w:cs="Arial"/>
      <w:b/>
      <w:i/>
      <w:color w:val="60a0b0"/>
    </w:rPr>
  </w:style>
  <w:style w:type="character" w:styleId="798" w:customStyle="1">
    <w:name w:val="CommentVarTok"/>
    <w:basedOn w:val="777"/>
    <w:pPr>
      <w:pBdr/>
      <w:spacing/>
      <w:ind/>
    </w:pPr>
    <w:rPr>
      <w:rFonts w:ascii="Arial" w:hAnsi="Arial" w:eastAsia="Arial" w:cs="Arial"/>
      <w:b/>
      <w:i/>
      <w:color w:val="60a0b0"/>
    </w:rPr>
  </w:style>
  <w:style w:type="character" w:styleId="799" w:customStyle="1">
    <w:name w:val="OtherTok"/>
    <w:basedOn w:val="777"/>
    <w:pPr>
      <w:pBdr/>
      <w:spacing/>
      <w:ind/>
    </w:pPr>
    <w:rPr>
      <w:rFonts w:ascii="Arial" w:hAnsi="Arial" w:eastAsia="Arial" w:cs="Arial"/>
      <w:color w:val="007020"/>
    </w:rPr>
  </w:style>
  <w:style w:type="character" w:styleId="800" w:customStyle="1">
    <w:name w:val="FunctionTok"/>
    <w:basedOn w:val="777"/>
    <w:pPr>
      <w:pBdr/>
      <w:spacing/>
      <w:ind/>
    </w:pPr>
    <w:rPr>
      <w:rFonts w:ascii="Arial" w:hAnsi="Arial" w:eastAsia="Arial" w:cs="Arial"/>
      <w:color w:val="06287e"/>
    </w:rPr>
  </w:style>
  <w:style w:type="character" w:styleId="801" w:customStyle="1">
    <w:name w:val="VariableTok"/>
    <w:basedOn w:val="777"/>
    <w:pPr>
      <w:pBdr/>
      <w:spacing/>
      <w:ind/>
    </w:pPr>
    <w:rPr>
      <w:rFonts w:ascii="Arial" w:hAnsi="Arial" w:eastAsia="Arial" w:cs="Arial"/>
      <w:color w:val="19177c"/>
    </w:rPr>
  </w:style>
  <w:style w:type="character" w:styleId="802" w:customStyle="1">
    <w:name w:val="ControlFlowTok"/>
    <w:basedOn w:val="777"/>
    <w:pPr>
      <w:pBdr/>
      <w:spacing/>
      <w:ind/>
    </w:pPr>
    <w:rPr>
      <w:rFonts w:ascii="Arial" w:hAnsi="Arial" w:eastAsia="Arial" w:cs="Arial"/>
      <w:b/>
      <w:color w:val="007020"/>
    </w:rPr>
  </w:style>
  <w:style w:type="character" w:styleId="803" w:customStyle="1">
    <w:name w:val="OperatorTok"/>
    <w:basedOn w:val="777"/>
    <w:pPr>
      <w:pBdr/>
      <w:spacing/>
      <w:ind/>
    </w:pPr>
    <w:rPr>
      <w:rFonts w:ascii="Arial" w:hAnsi="Arial" w:eastAsia="Arial" w:cs="Arial"/>
      <w:color w:val="666666"/>
    </w:rPr>
  </w:style>
  <w:style w:type="character" w:styleId="804" w:customStyle="1">
    <w:name w:val="BuiltInTok"/>
    <w:basedOn w:val="777"/>
    <w:pPr>
      <w:pBdr/>
      <w:spacing/>
      <w:ind/>
    </w:pPr>
    <w:rPr>
      <w:rFonts w:ascii="Arial" w:hAnsi="Arial" w:eastAsia="Arial" w:cs="Arial"/>
      <w:color w:val="008000"/>
    </w:rPr>
  </w:style>
  <w:style w:type="character" w:styleId="805" w:customStyle="1">
    <w:name w:val="ExtensionTok"/>
    <w:basedOn w:val="777"/>
    <w:pPr>
      <w:pBdr/>
      <w:spacing/>
      <w:ind/>
    </w:pPr>
    <w:rPr>
      <w:rFonts w:ascii="Arial" w:hAnsi="Arial" w:eastAsia="Arial" w:cs="Arial"/>
    </w:rPr>
  </w:style>
  <w:style w:type="character" w:styleId="806" w:customStyle="1">
    <w:name w:val="PreprocessorTok"/>
    <w:basedOn w:val="777"/>
    <w:pPr>
      <w:pBdr/>
      <w:spacing/>
      <w:ind/>
    </w:pPr>
    <w:rPr>
      <w:rFonts w:ascii="Arial" w:hAnsi="Arial" w:eastAsia="Arial" w:cs="Arial"/>
      <w:color w:val="bc7a00"/>
    </w:rPr>
  </w:style>
  <w:style w:type="character" w:styleId="807" w:customStyle="1">
    <w:name w:val="AttributeTok"/>
    <w:basedOn w:val="777"/>
    <w:pPr>
      <w:pBdr/>
      <w:spacing/>
      <w:ind/>
    </w:pPr>
    <w:rPr>
      <w:rFonts w:ascii="Arial" w:hAnsi="Arial" w:eastAsia="Arial" w:cs="Arial"/>
      <w:color w:val="7d9029"/>
    </w:rPr>
  </w:style>
  <w:style w:type="character" w:styleId="808" w:customStyle="1">
    <w:name w:val="RegionMarkerTok"/>
    <w:basedOn w:val="777"/>
    <w:pPr>
      <w:pBdr/>
      <w:spacing/>
      <w:ind/>
    </w:pPr>
    <w:rPr>
      <w:rFonts w:ascii="Arial" w:hAnsi="Arial" w:eastAsia="Arial" w:cs="Arial"/>
    </w:rPr>
  </w:style>
  <w:style w:type="character" w:styleId="809" w:customStyle="1">
    <w:name w:val="InformationTok"/>
    <w:basedOn w:val="777"/>
    <w:pPr>
      <w:pBdr/>
      <w:spacing/>
      <w:ind/>
    </w:pPr>
    <w:rPr>
      <w:rFonts w:ascii="Arial" w:hAnsi="Arial" w:eastAsia="Arial" w:cs="Arial"/>
      <w:b/>
      <w:i/>
      <w:color w:val="60a0b0"/>
    </w:rPr>
  </w:style>
  <w:style w:type="character" w:styleId="810" w:customStyle="1">
    <w:name w:val="WarningTok"/>
    <w:basedOn w:val="777"/>
    <w:pPr>
      <w:pBdr/>
      <w:spacing/>
      <w:ind/>
    </w:pPr>
    <w:rPr>
      <w:rFonts w:ascii="Arial" w:hAnsi="Arial" w:eastAsia="Arial" w:cs="Arial"/>
      <w:b/>
      <w:i/>
      <w:color w:val="60a0b0"/>
    </w:rPr>
  </w:style>
  <w:style w:type="character" w:styleId="811" w:customStyle="1">
    <w:name w:val="AlertTok"/>
    <w:basedOn w:val="777"/>
    <w:pPr>
      <w:pBdr/>
      <w:spacing/>
      <w:ind/>
    </w:pPr>
    <w:rPr>
      <w:rFonts w:ascii="Arial" w:hAnsi="Arial" w:eastAsia="Arial" w:cs="Arial"/>
      <w:b/>
      <w:color w:val="ff0000"/>
    </w:rPr>
  </w:style>
  <w:style w:type="character" w:styleId="812" w:customStyle="1">
    <w:name w:val="ErrorTok"/>
    <w:basedOn w:val="777"/>
    <w:pPr>
      <w:pBdr/>
      <w:spacing/>
      <w:ind/>
    </w:pPr>
    <w:rPr>
      <w:rFonts w:ascii="Arial" w:hAnsi="Arial" w:eastAsia="Arial" w:cs="Arial"/>
      <w:b/>
      <w:color w:val="ff0000"/>
    </w:rPr>
  </w:style>
  <w:style w:type="character" w:styleId="813" w:customStyle="1">
    <w:name w:val="NormalTok"/>
    <w:basedOn w:val="777"/>
    <w:pPr>
      <w:pBdr/>
      <w:spacing/>
      <w:ind/>
    </w:pPr>
    <w:rPr>
      <w:rFonts w:ascii="Arial" w:hAnsi="Arial" w:eastAsia="Arial" w:cs="Arial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www.hamiltoncompany.com/knowledge-base/article/response-time" TargetMode="External"/><Relationship Id="rId19" Type="http://schemas.openxmlformats.org/officeDocument/2006/relationships/hyperlink" Target="https://www.hamiltoncompany.com/knowledge-base/article/do-sensor-calibration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Tiempo de respuesta de los sensores de pH y oxígeno disuelto</dc:title>
  <dc:creator/>
  <cp:keywords/>
  <cp:revision>1</cp:revision>
  <dcterms:created xsi:type="dcterms:W3CDTF">2026-10-24T05:35:01Z</dcterms:created>
  <dcterms:modified xsi:type="dcterms:W3CDTF">2026-10-24T05:44:44Z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Emiliano Balderas · Octavio T. Ramírez · Instituto de Biotecnología, UNAM</vt:lpwstr>
  </property>
</Properties>
</file>