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Determinación de kLa en un biorreactor agitado</w:t>
      </w:r>
    </w:p>
    <w:p>
      <w:pPr>
        <w:spacing w:after="60"/>
        <w:jc w:val="both"/>
      </w:pPr>
      <w:r>
        <w:rPr>
          <w:color w:val="4A3A68"/>
          <w:sz w:val="24"/>
          <w:szCs w:val="24"/>
        </w:rPr>
        <w:t xml:space="preserve">Octavio T. Ramírez · Emiliano Balderas · Instituto de Biotecnología, UNAM</w:t>
      </w:r>
    </w:p>
    <w:p>
      <w:pPr>
        <w:spacing w:after="360"/>
        <w:jc w:val="both"/>
      </w:pPr>
      <w:r>
        <w:rPr>
          <w:color w:val="7A6B95"/>
          <w:sz w:val="20"/>
          <w:szCs w:val="20"/>
        </w:rPr>
        <w:t xml:space="preserve">CATCC 2026. Curso Latinoamericano de Tecnología de Cultivos Celulares</w:t>
      </w:r>
    </w:p>
    <w:p>
      <w:pPr>
        <w:pStyle w:val="FirstParagraph"/>
        <w:jc w:val="both"/>
      </w:pPr>
      <w:r>
        <w:rPr>
          <w:b/>
          <w:bCs/>
        </w:rPr>
        <w:t xml:space="preserve">Taller:</w:t>
      </w:r>
      <w:r>
        <w:t xml:space="preserve"> </w:t>
      </w:r>
      <w:r>
        <w:t xml:space="preserve">Transferencia de oxígeno en biorreactores</w:t>
      </w:r>
    </w:p>
    <w:p>
      <w:pPr>
        <w:pStyle w:val="BodyText"/>
        <w:jc w:val="both"/>
      </w:pPr>
      <w:r>
        <w:rPr>
          <w:b/>
          <w:bCs/>
        </w:rPr>
        <w:t xml:space="preserve">Duración:</w:t>
      </w:r>
      <w:r>
        <w:t xml:space="preserve"> </w:t>
      </w:r>
      <w:r>
        <w:t xml:space="preserve">30–45 min por equipo, incluidos registro y cálculos.</w:t>
      </w:r>
    </w:p>
    <w:p>
      <w:pPr>
        <w:pStyle w:val="BodyText"/>
        <w:jc w:val="both"/>
      </w:pPr>
      <w:r>
        <w:rPr>
          <w:b/>
          <w:bCs/>
        </w:rPr>
        <w:t xml:space="preserve">Equipo:</w:t>
      </w:r>
      <w:r>
        <w:t xml:space="preserve"> </w:t>
      </w:r>
      <w:r>
        <w:t xml:space="preserve">reactor Sartorius de 50 L con 30 L de agua. Registrar modelo e identificación disponibles.</w:t>
      </w:r>
    </w:p>
    <w:bookmarkStart w:id="9" w:name="objetivo"/>
    <w:p>
      <w:pPr>
        <w:pStyle w:val="Heading1"/>
        <w:jc w:val="both"/>
      </w:pPr>
      <w:r>
        <w:t xml:space="preserve">1. Objetivo</w:t>
      </w:r>
    </w:p>
    <w:p>
      <w:pPr>
        <w:pStyle w:val="FirstParagraph"/>
        <w:jc w:val="both"/>
      </w:pPr>
      <w:r>
        <w:t xml:space="preserve">Determinar el coeficiente volumétrico de transferencia de oxígeno, kLa, mediante reoxigenación de agua a distintas velocidades de agitación. Cada equipo obtendrá una curva por velocidad, calculará el kLa correspondiente y construirá un barrido de kLa frente a rpm, con el volumen y la aireación constantes.</w:t>
      </w:r>
    </w:p>
    <w:bookmarkEnd w:id="9"/>
    <w:bookmarkStart w:id="12" w:name="fundamento-teórico"/>
    <w:p>
      <w:pPr>
        <w:pStyle w:val="Heading1"/>
        <w:jc w:val="both"/>
      </w:pPr>
      <w:r>
        <w:t xml:space="preserve">2. Fundamento teórico</w:t>
      </w:r>
    </w:p>
    <w:bookmarkStart w:id="10" w:name="qué-es-kla"/>
    <w:p>
      <w:pPr>
        <w:pStyle w:val="Heading2"/>
        <w:jc w:val="both"/>
      </w:pPr>
      <w:r>
        <w:t xml:space="preserve">2.1. ¿Qué es kLa?</w:t>
      </w:r>
    </w:p>
    <w:p>
      <w:pPr>
        <w:pStyle w:val="FirstParagraph"/>
        <w:jc w:val="both"/>
      </w:pPr>
      <w:r>
        <w:t xml:space="preserve">El coeficiente volumétrico de transferencia de oxígeno, kLa, es uno de los parámetros más importantes para caracterizar la transferencia de oxígeno desde la fase gaseosa hacia el medio líquido de un biorreactor.</w:t>
      </w:r>
    </w:p>
    <w:p>
      <w:pPr>
        <w:pStyle w:val="BodyText"/>
        <w:jc w:val="both"/>
      </w:pPr>
      <w:r>
        <w:t xml:space="preserve">El oxígeno debe transferirse desde las burbujas de aire al líquido para estar disponible a las células. Este proceso es particularmente importante en cultivos de células animales, microorganismos y otros sistemas biológicos aerobios.</w:t>
      </w:r>
    </w:p>
    <w:p>
      <w:pPr>
        <w:pStyle w:val="BodyText"/>
        <w:keepNext/>
        <w:jc w:val="both"/>
      </w:pPr>
      <w:r>
        <w:t xml:space="preserve">La velocidad de transferencia de oxígeno se expresa mediante:</w:t>
      </w:r>
    </w:p>
    <w:p>
      <w:pPr>
        <w:pStyle w:val="BodyText"/>
        <w:keepNext w:val="0"/>
        <w:jc w:val="center"/>
      </w:pPr>
      <m:oMathPara>
        <m:oMathParaPr>
          <m:jc m:val="center"/>
        </m:oMathParaPr>
        <m:oMath>
          <m:r>
            <m:rPr>
              <m:sty m:val="p"/>
            </m:rPr>
            <m:t>O</m:t>
          </m:r>
          <m:r>
            <m:rPr>
              <m:sty m:val="p"/>
            </m:rPr>
            <m:t>T</m:t>
          </m:r>
          <m:r>
            <m:rPr>
              <m:sty m:val="p"/>
            </m:rPr>
            <m:t>R</m:t>
          </m:r>
          <m:r>
            <m:rPr>
              <m:sty m:val="p"/>
            </m:rPr>
            <m:t>=</m:t>
          </m:r>
          <m:sSub>
            <m:e>
              <m:r>
                <m:t>k</m:t>
              </m:r>
            </m:e>
            <m:sub>
              <m:r>
                <m:t>L</m:t>
              </m:r>
            </m:sub>
          </m:sSub>
          <m:r>
            <m:t>a</m:t>
          </m:r>
          <m:r>
            <m:t> </m:t>
          </m:r>
          <m:r>
            <m:rPr>
              <m:sty m:val="p"/>
            </m:rPr>
            <m:t>(</m:t>
          </m:r>
          <m:sSup>
            <m:e>
              <m:r>
                <m:t>C</m:t>
              </m:r>
            </m:e>
            <m:sup>
              <m:r>
                <m:rPr>
                  <m:sty m:val="p"/>
                </m:rPr>
                <m:t>*</m:t>
              </m:r>
            </m:sup>
          </m:sSup>
          <m:r>
            <m:rPr>
              <m:sty m:val="p"/>
            </m:rPr>
            <m:t>−</m:t>
          </m:r>
          <m:sSub>
            <m:e>
              <m:r>
                <m:t>C</m:t>
              </m:r>
            </m:e>
            <m:sub>
              <m:r>
                <m:t>L</m:t>
              </m:r>
            </m:sub>
          </m:sSub>
          <m:r>
            <m:rPr>
              <m:sty m:val="p"/>
            </m:rPr>
            <m:t>)</m:t>
          </m:r>
        </m:oMath>
      </m:oMathPara>
    </w:p>
    <w:p>
      <w:pPr>
        <w:pStyle w:val="FirstParagraph"/>
        <w:jc w:val="both"/>
      </w:pPr>
      <w:r>
        <w:t xml:space="preserve">Donde:</w:t>
      </w:r>
    </w:p>
    <w:p>
      <w:pPr>
        <w:pStyle w:val="Compact"/>
        <w:numPr>
          <w:ilvl w:val="0"/>
          <w:numId w:val="1001"/>
        </w:numPr>
        <w:jc w:val="both"/>
      </w:pPr>
      <w:r>
        <w:t xml:space="preserve">OTR: velocidad volumétrica de transferencia de oxígeno, por ejemplo, mg O₂·L⁻¹·h⁻¹.</w:t>
      </w:r>
    </w:p>
    <w:p>
      <w:pPr>
        <w:pStyle w:val="Compact"/>
        <w:numPr>
          <w:ilvl w:val="0"/>
          <w:numId w:val="1001"/>
        </w:numPr>
        <w:jc w:val="both"/>
      </w:pPr>
      <w:r>
        <w:t xml:space="preserve">kLa: coeficiente volumétrico de transferencia, h⁻¹.</w:t>
      </w:r>
    </w:p>
    <w:p>
      <w:pPr>
        <w:pStyle w:val="Compact"/>
        <w:numPr>
          <w:ilvl w:val="0"/>
          <w:numId w:val="1001"/>
        </w:numPr>
        <w:jc w:val="both"/>
      </w:pPr>
      <w:r>
        <w:t xml:space="preserve">C∗: concentración de saturación o concentración de oxígeno disuelto en equilibrio con la fase gaseosa, mg O₂/L.</w:t>
      </w:r>
    </w:p>
    <w:p>
      <w:pPr>
        <w:pStyle w:val="Compact"/>
        <w:numPr>
          <w:ilvl w:val="0"/>
          <w:numId w:val="1001"/>
        </w:numPr>
        <w:jc w:val="both"/>
      </w:pPr>
      <m:oMath>
        <m:sSub>
          <m:e>
            <m:r>
              <m:t>C</m:t>
            </m:r>
          </m:e>
          <m:sub>
            <m:r>
              <m:t>L</m:t>
            </m:r>
          </m:sub>
        </m:sSub>
      </m:oMath>
      <w:r>
        <w:t xml:space="preserve">: concentración instantánea de oxígeno disuelto en el líquido, mg O₂/L.</w:t>
      </w:r>
    </w:p>
    <w:p>
      <w:pPr>
        <w:pStyle w:val="Compact"/>
        <w:numPr>
          <w:ilvl w:val="0"/>
          <w:numId w:val="1001"/>
        </w:numPr>
        <w:jc w:val="both"/>
      </w:pPr>
      <m:oMath>
        <m:sSup>
          <m:e>
            <m:r>
              <m:t>C</m:t>
            </m:r>
          </m:e>
          <m:sup>
            <m:r>
              <m:rPr>
                <m:sty m:val="p"/>
              </m:rPr>
              <m:t>*</m:t>
            </m:r>
          </m:sup>
        </m:sSup>
        <m:r>
          <m:rPr>
            <m:sty m:val="p"/>
          </m:rPr>
          <m:t>−</m:t>
        </m:r>
        <m:sSub>
          <m:e>
            <m:r>
              <m:t>C</m:t>
            </m:r>
          </m:e>
          <m:sub>
            <m:r>
              <m:t>L</m:t>
            </m:r>
          </m:sub>
        </m:sSub>
      </m:oMath>
      <w:r>
        <w:t xml:space="preserve">: fuerza impulsora para la transferencia de oxígeno.</w:t>
      </w:r>
    </w:p>
    <w:p>
      <w:pPr>
        <w:pStyle w:val="FirstParagraph"/>
        <w:keepNext/>
        <w:jc w:val="both"/>
      </w:pPr>
      <w:r>
        <w:t xml:space="preserve">El coeficiente kLa integra dos contribuciones:</w:t>
      </w:r>
    </w:p>
    <w:p>
      <w:pPr>
        <w:pStyle w:val="BodyText"/>
        <w:keepNext w:val="0"/>
        <w:jc w:val="center"/>
      </w:pPr>
      <m:oMathPara>
        <m:oMathParaPr>
          <m:jc m:val="center"/>
        </m:oMathParaPr>
        <m:oMath>
          <m:sSub>
            <m:e>
              <m:r>
                <m:t>k</m:t>
              </m:r>
            </m:e>
            <m:sub>
              <m:r>
                <m:t>L</m:t>
              </m:r>
            </m:sub>
          </m:sSub>
          <m:r>
            <m:t>a</m:t>
          </m:r>
          <m:r>
            <m:rPr>
              <m:sty m:val="p"/>
            </m:rPr>
            <m:t>=</m:t>
          </m:r>
          <m:sSub>
            <m:e>
              <m:r>
                <m:t>k</m:t>
              </m:r>
            </m:e>
            <m:sub>
              <m:r>
                <m:t>L</m:t>
              </m:r>
            </m:sub>
          </m:sSub>
          <m:r>
            <m:rPr>
              <m:sty m:val="p"/>
            </m:rPr>
            <m:t>×</m:t>
          </m:r>
          <m:r>
            <m:t>a</m:t>
          </m:r>
        </m:oMath>
      </m:oMathPara>
    </w:p>
    <w:p>
      <w:pPr>
        <w:pStyle w:val="FirstParagraph"/>
        <w:jc w:val="both"/>
      </w:pPr>
      <w:r>
        <w:t xml:space="preserve">Aquí,</w:t>
      </w:r>
      <w:r>
        <w:t xml:space="preserve"> </w:t>
      </w:r>
      <m:oMath>
        <m:sSub>
          <m:e>
            <m:r>
              <m:t>k</m:t>
            </m:r>
          </m:e>
          <m:sub>
            <m:r>
              <m:t>L</m:t>
            </m:r>
          </m:sub>
        </m:sSub>
      </m:oMath>
      <w:r>
        <w:t xml:space="preserve"> </w:t>
      </w:r>
      <w:r>
        <w:t xml:space="preserve">representa el coeficiente de transferencia de masa en la película líquida y</w:t>
      </w:r>
      <w:r>
        <w:t xml:space="preserve"> </w:t>
      </w:r>
      <m:oMath>
        <m:r>
          <m:t>a</m:t>
        </m:r>
      </m:oMath>
      <w:r>
        <w:t xml:space="preserve"> </w:t>
      </w:r>
      <w:r>
        <w:t xml:space="preserve">es el área interfacial gas-líquido por unidad de volumen de líquido.</w:t>
      </w:r>
    </w:p>
    <w:p>
      <w:pPr>
        <w:pStyle w:val="BodyText"/>
        <w:jc w:val="both"/>
      </w:pPr>
      <w:r>
        <w:t xml:space="preserve">Por tanto, kLa depende tanto de las condiciones hidrodinámicas prevalecientes en el biorreactor como de las propiedades físicas del sistema. No es una constante universal del biorreactor.</w:t>
      </w:r>
    </w:p>
    <w:bookmarkEnd w:id="10"/>
    <w:bookmarkStart w:id="11" w:name="por-qué-es-importante"/>
    <w:p>
      <w:pPr>
        <w:pStyle w:val="Heading2"/>
        <w:jc w:val="both"/>
      </w:pPr>
      <w:r>
        <w:t xml:space="preserve">2.2. ¿Por qué es importante?</w:t>
      </w:r>
    </w:p>
    <w:p>
      <w:pPr>
        <w:pStyle w:val="FirstParagraph"/>
        <w:jc w:val="both"/>
      </w:pPr>
      <w:r>
        <w:t xml:space="preserve">Un valor elevado de kLa generalmente permite transferir más oxígeno al medio cuando existe una diferencia entre la concentración de saturación y la concentración real. Sin embargo, un kLa alto no garantiza por sí solo que las células reciban suficiente oxígeno: también importan la demanda celular, la mezcla, los gradientes locales y la presión parcial del oxígeno.</w:t>
      </w:r>
    </w:p>
    <w:p>
      <w:pPr>
        <w:pStyle w:val="BodyText"/>
        <w:keepNext/>
        <w:jc w:val="both"/>
      </w:pPr>
      <w:r>
        <w:t xml:space="preserve">En un cultivo celular, la velocidad de transferencia debe compararse con la velocidad de consumo de oxígeno (OUR):</w:t>
      </w:r>
    </w:p>
    <w:p>
      <w:pPr>
        <w:pStyle w:val="BodyText"/>
        <w:keepNext w:val="0"/>
        <w:jc w:val="center"/>
      </w:pPr>
      <m:oMathPara>
        <m:oMathParaPr>
          <m:jc m:val="center"/>
        </m:oMathParaPr>
        <m:oMath>
          <m:r>
            <m:rPr>
              <m:sty m:val="p"/>
            </m:rPr>
            <m:t>O</m:t>
          </m:r>
          <m:r>
            <m:rPr>
              <m:sty m:val="p"/>
            </m:rPr>
            <m:t>T</m:t>
          </m:r>
          <m:r>
            <m:rPr>
              <m:sty m:val="p"/>
            </m:rPr>
            <m:t>R</m:t>
          </m:r>
          <m:r>
            <m:rPr>
              <m:sty m:val="p"/>
            </m:rPr>
            <m:t>=</m:t>
          </m:r>
          <m:r>
            <m:rPr>
              <m:sty m:val="p"/>
            </m:rPr>
            <m:t>O</m:t>
          </m:r>
          <m:r>
            <m:rPr>
              <m:sty m:val="p"/>
            </m:rPr>
            <m:t>U</m:t>
          </m:r>
          <m:r>
            <m:rPr>
              <m:sty m:val="p"/>
            </m:rPr>
            <m:t>R</m:t>
          </m:r>
        </m:oMath>
      </m:oMathPara>
    </w:p>
    <w:p>
      <w:pPr>
        <w:pStyle w:val="FirstParagraph"/>
        <w:jc w:val="both"/>
      </w:pPr>
      <w:r>
        <w:t xml:space="preserve">Esta igualdad corresponde al estado estacionario en el balance de oxígeno disuelto, cuando no hay acumulación neta de oxígeno en el líquido, es decir, cuando</w:t>
      </w:r>
      <w:r>
        <w:t xml:space="preserve"> </w:t>
      </w:r>
      <m:oMath>
        <m:sSub>
          <m:e>
            <m:r>
              <m:t>C</m:t>
            </m:r>
          </m:e>
          <m:sub>
            <m:r>
              <m:t>L</m:t>
            </m:r>
          </m:sub>
        </m:sSub>
      </m:oMath>
      <w:r>
        <w:t xml:space="preserve"> </w:t>
      </w:r>
      <w:r>
        <w:t xml:space="preserve">es constante.</w:t>
      </w:r>
    </w:p>
    <w:bookmarkEnd w:id="11"/>
    <w:bookmarkEnd w:id="12"/>
    <w:bookmarkStart w:id="19" w:name="X377e3ac7c270c133a21bcfc881c188d04a38b8a"/>
    <w:p>
      <w:pPr>
        <w:pStyle w:val="Heading1"/>
        <w:jc w:val="both"/>
      </w:pPr>
      <w:r>
        <w:t xml:space="preserve">3. Métodos experimentales para determinar kLa</w:t>
      </w:r>
    </w:p>
    <w:p>
      <w:pPr>
        <w:pStyle w:val="CaptionedFigure"/>
        <w:keepNext/>
        <w:jc w:val="center"/>
      </w:pPr>
      <w:r>
        <w:drawing>
          <wp:inline>
            <wp:extent cx="5040000" cy="3136658"/>
            <wp:effectExtent b="0" l="0" r="0" t="0"/>
            <wp:docPr descr="Diagrama esquemático de un biorreactor agitado." title="" id="14" name="Picture"/>
            <a:graphic>
              <a:graphicData uri="http://schemas.openxmlformats.org/drawingml/2006/picture">
                <pic:pic>
                  <pic:nvPicPr>
                    <pic:cNvPr descr="../figuras/02_biorreactor_esquema.jpeg" id="15" name="Picture"/>
                    <pic:cNvPicPr>
                      <a:picLocks noChangeArrowheads="1" noChangeAspect="1"/>
                    </pic:cNvPicPr>
                  </pic:nvPicPr>
                  <pic:blipFill>
                    <a:blip r:embed="rId13"/>
                    <a:stretch>
                      <a:fillRect/>
                    </a:stretch>
                  </pic:blipFill>
                  <pic:spPr bwMode="auto">
                    <a:xfrm>
                      <a:off x="0" y="0"/>
                      <a:ext cx="5040000" cy="3136658"/>
                    </a:xfrm>
                    <a:prstGeom prst="rect">
                      <a:avLst/>
                    </a:prstGeom>
                    <a:noFill/>
                    <a:ln w="9525">
                      <a:noFill/>
                      <a:headEnd/>
                      <a:tailEnd/>
                    </a:ln>
                  </pic:spPr>
                </pic:pic>
              </a:graphicData>
            </a:graphic>
          </wp:inline>
        </w:drawing>
      </w:r>
    </w:p>
    <w:p>
      <w:pPr>
        <w:pStyle w:val="ImageCaption"/>
        <w:keepNext w:val="0"/>
        <w:jc w:val="center"/>
      </w:pPr>
      <w:r>
        <w:t xml:space="preserve">Diagrama esquemático de un biorreactor agitado.</w:t>
      </w:r>
    </w:p>
    <w:bookmarkStart w:id="16" w:name="método-1.-dinámico-de-reoxigenación"/>
    <w:p>
      <w:pPr>
        <w:pStyle w:val="Heading2"/>
        <w:jc w:val="both"/>
      </w:pPr>
      <w:r>
        <w:t xml:space="preserve">Método 1. Dinámico de reoxigenación</w:t>
      </w:r>
    </w:p>
    <w:p>
      <w:pPr>
        <w:pStyle w:val="FirstParagraph"/>
        <w:jc w:val="both"/>
      </w:pPr>
      <w:r>
        <w:t xml:space="preserve">Primero se desoxigena el medio, después se introduce aire y se registra el incremento del oxígeno disuelto con el tiempo. Todo esto en ausencia de consumo de oxígeno, es decir, en condiciones estériles. En la práctica es adecuado obtener kLa mediante una regresión lineal.</w:t>
      </w:r>
    </w:p>
    <w:bookmarkEnd w:id="16"/>
    <w:bookmarkStart w:id="17" w:name="método-2.-dinámico-en-un-cultivo-activo"/>
    <w:p>
      <w:pPr>
        <w:pStyle w:val="Heading2"/>
        <w:jc w:val="both"/>
      </w:pPr>
      <w:r>
        <w:t xml:space="preserve">Método 2. Dinámico en un cultivo activo</w:t>
      </w:r>
    </w:p>
    <w:p>
      <w:pPr>
        <w:pStyle w:val="FirstParagraph"/>
        <w:jc w:val="both"/>
      </w:pPr>
      <w:r>
        <w:t xml:space="preserve">Se modifica temporalmente la aireación o se interrumpe el suministro de oxígeno y se analiza la respuesta del DO. Se necesita considerar el consumo celular de oxígeno, por lo que el cálculo es más complejo.</w:t>
      </w:r>
    </w:p>
    <w:bookmarkEnd w:id="17"/>
    <w:bookmarkStart w:id="18" w:name="Xcda7534836c623fe236c0d47f739d3539d1938f"/>
    <w:p>
      <w:pPr>
        <w:pStyle w:val="Heading2"/>
        <w:jc w:val="both"/>
      </w:pPr>
      <w:r>
        <w:t xml:space="preserve">Método 3. Balance de oxígeno en fase gaseosa</w:t>
      </w:r>
    </w:p>
    <w:p>
      <w:pPr>
        <w:pStyle w:val="FirstParagraph"/>
        <w:jc w:val="both"/>
      </w:pPr>
      <w:r>
        <w:t xml:space="preserve">Se determina el oxígeno que entra y sale del biorreactor y se calcula la transferencia al líquido. Requiere analizar el gas de salida y corregir los balances por humedad, caudal y composición. El oxígeno que entra se puede determinar con controladores de flujo másico y el de salida mediante sensores paramagnéticos para mediciones en-línea.</w:t>
      </w:r>
    </w:p>
    <w:bookmarkEnd w:id="18"/>
    <w:bookmarkEnd w:id="19"/>
    <w:bookmarkStart w:id="22" w:name="Xcba4fc177cedf54a6b951eb16cc52b24541368b"/>
    <w:p>
      <w:pPr>
        <w:pStyle w:val="Heading1"/>
        <w:jc w:val="both"/>
      </w:pPr>
      <w:r>
        <w:t xml:space="preserve">4. Método dinámico de reoxigenación: ecuaciones y derivación</w:t>
      </w:r>
    </w:p>
    <w:bookmarkStart w:id="20" w:name="balance-de-oxígeno-disuelto"/>
    <w:p>
      <w:pPr>
        <w:pStyle w:val="Heading2"/>
        <w:jc w:val="both"/>
      </w:pPr>
      <w:r>
        <w:t xml:space="preserve">4.1. Balance de oxígeno disuelto</w:t>
      </w:r>
    </w:p>
    <w:p>
      <w:pPr>
        <w:pStyle w:val="FirstParagraph"/>
        <w:keepNext/>
        <w:jc w:val="both"/>
      </w:pPr>
      <w:r>
        <w:t xml:space="preserve">Para un líquido sin células (sin consumo biológico de oxígeno), sin consumo químico de oxígeno y bajo condiciones aproximadamente constantes, el balance de oxígeno es:</w:t>
      </w:r>
    </w:p>
    <w:p>
      <w:pPr>
        <w:pStyle w:val="BodyText"/>
        <w:keepNext w:val="0"/>
        <w:jc w:val="center"/>
      </w:pPr>
      <m:oMathPara>
        <m:oMathParaPr>
          <m:jc m:val="center"/>
        </m:oMathParaPr>
        <m:oMath>
          <m:f>
            <m:fPr>
              <m:type m:val="bar"/>
            </m:fPr>
            <m:num>
              <m:r>
                <m:t>d</m:t>
              </m:r>
              <m:sSub>
                <m:e>
                  <m:r>
                    <m:t>C</m:t>
                  </m:r>
                </m:e>
                <m:sub>
                  <m:r>
                    <m:t>L</m:t>
                  </m:r>
                </m:sub>
              </m:sSub>
            </m:num>
            <m:den>
              <m:r>
                <m:t>d</m:t>
              </m:r>
              <m:r>
                <m:t>t</m:t>
              </m:r>
            </m:den>
          </m:f>
          <m:r>
            <m:rPr>
              <m:sty m:val="p"/>
            </m:rPr>
            <m:t>=</m:t>
          </m:r>
          <m:sSub>
            <m:e>
              <m:r>
                <m:t>k</m:t>
              </m:r>
            </m:e>
            <m:sub>
              <m:r>
                <m:t>L</m:t>
              </m:r>
            </m:sub>
          </m:sSub>
          <m:r>
            <m:t>a</m:t>
          </m:r>
          <m:r>
            <m:t> </m:t>
          </m:r>
          <m:r>
            <m:rPr>
              <m:sty m:val="p"/>
            </m:rPr>
            <m:t>(</m:t>
          </m:r>
          <m:sSup>
            <m:e>
              <m:r>
                <m:t>C</m:t>
              </m:r>
            </m:e>
            <m:sup>
              <m:r>
                <m:rPr>
                  <m:sty m:val="p"/>
                </m:rPr>
                <m:t>*</m:t>
              </m:r>
            </m:sup>
          </m:sSup>
          <m:r>
            <m:rPr>
              <m:sty m:val="p"/>
            </m:rPr>
            <m:t>−</m:t>
          </m:r>
          <m:sSub>
            <m:e>
              <m:r>
                <m:t>C</m:t>
              </m:r>
            </m:e>
            <m:sub>
              <m:r>
                <m:t>L</m:t>
              </m:r>
            </m:sub>
          </m:sSub>
          <m:r>
            <m:rPr>
              <m:sty m:val="p"/>
            </m:rPr>
            <m:t>)</m:t>
          </m:r>
        </m:oMath>
      </m:oMathPara>
    </w:p>
    <w:p>
      <w:pPr>
        <w:pStyle w:val="FirstParagraph"/>
        <w:keepNext/>
        <w:jc w:val="both"/>
      </w:pPr>
      <w:r>
        <w:t xml:space="preserve">Si</w:t>
      </w:r>
      <w:r>
        <w:t xml:space="preserve"> </w:t>
      </w:r>
      <m:oMath>
        <m:sSup>
          <m:e>
            <m:r>
              <m:t>C</m:t>
            </m:r>
          </m:e>
          <m:sup>
            <m:r>
              <m:rPr>
                <m:sty m:val="p"/>
              </m:rPr>
              <m:t>*</m:t>
            </m:r>
          </m:sup>
        </m:sSup>
      </m:oMath>
      <w:r>
        <w:t xml:space="preserve"> </w:t>
      </w:r>
      <w:r>
        <w:t xml:space="preserve">y kLa permanecen constantes durante la medición (por ejemplo, manteniendo la composición de gases de entrada, presión, temperatura, flujo de aireación y agitación constantes), la integración entre el tiempo inicial t = 0, con concentración</w:t>
      </w:r>
      <w:r>
        <w:t xml:space="preserve"> </w:t>
      </w:r>
      <m:oMath>
        <m:sSub>
          <m:e>
            <m:r>
              <m:t>C</m:t>
            </m:r>
          </m:e>
          <m:sub>
            <m:r>
              <m:t>0</m:t>
            </m:r>
          </m:sub>
        </m:sSub>
      </m:oMath>
      <w:r>
        <w:t xml:space="preserve">, y un tiempo t, con concentración</w:t>
      </w:r>
      <w:r>
        <w:t xml:space="preserve"> </w:t>
      </w:r>
      <m:oMath>
        <m:sSub>
          <m:e>
            <m:r>
              <m:t>C</m:t>
            </m:r>
          </m:e>
          <m:sub>
            <m:r>
              <m:t>t</m:t>
            </m:r>
          </m:sub>
        </m:sSub>
      </m:oMath>
      <w:r>
        <w:t xml:space="preserve">, da:</w:t>
      </w:r>
    </w:p>
    <w:p>
      <w:pPr>
        <w:pStyle w:val="BodyText"/>
        <w:keepNext w:val="0"/>
        <w:jc w:val="center"/>
      </w:pPr>
      <m:oMathPara>
        <m:oMathParaPr>
          <m:jc m:val="center"/>
        </m:oMathParaPr>
        <m:oMath>
          <m:r>
            <m:rPr>
              <m:sty m:val="p"/>
            </m:rPr>
            <m:t>ln</m:t>
          </m:r>
          <m:d>
            <m:dPr>
              <m:begChr m:val="("/>
              <m:sepChr m:val=""/>
              <m:endChr m:val=")"/>
              <m:grow/>
            </m:dPr>
            <m:e>
              <m:f>
                <m:fPr>
                  <m:type m:val="bar"/>
                </m:fPr>
                <m:num>
                  <m:sSup>
                    <m:e>
                      <m:r>
                        <m:t>C</m:t>
                      </m:r>
                    </m:e>
                    <m:sup>
                      <m:r>
                        <m:rPr>
                          <m:sty m:val="p"/>
                        </m:rPr>
                        <m:t>*</m:t>
                      </m:r>
                    </m:sup>
                  </m:sSup>
                  <m:r>
                    <m:rPr>
                      <m:sty m:val="p"/>
                    </m:rPr>
                    <m:t>−</m:t>
                  </m:r>
                  <m:sSub>
                    <m:e>
                      <m:r>
                        <m:t>C</m:t>
                      </m:r>
                    </m:e>
                    <m:sub>
                      <m:r>
                        <m:t>0</m:t>
                      </m:r>
                    </m:sub>
                  </m:sSub>
                </m:num>
                <m:den>
                  <m:sSup>
                    <m:e>
                      <m:r>
                        <m:t>C</m:t>
                      </m:r>
                    </m:e>
                    <m:sup>
                      <m:r>
                        <m:rPr>
                          <m:sty m:val="p"/>
                        </m:rPr>
                        <m:t>*</m:t>
                      </m:r>
                    </m:sup>
                  </m:sSup>
                  <m:r>
                    <m:rPr>
                      <m:sty m:val="p"/>
                    </m:rPr>
                    <m:t>−</m:t>
                  </m:r>
                  <m:sSub>
                    <m:e>
                      <m:r>
                        <m:t>C</m:t>
                      </m:r>
                    </m:e>
                    <m:sub>
                      <m:r>
                        <m:t>t</m:t>
                      </m:r>
                    </m:sub>
                  </m:sSub>
                </m:den>
              </m:f>
            </m:e>
          </m:d>
          <m:r>
            <m:rPr>
              <m:sty m:val="p"/>
            </m:rPr>
            <m:t>=</m:t>
          </m:r>
          <m:sSub>
            <m:e>
              <m:r>
                <m:t>k</m:t>
              </m:r>
            </m:e>
            <m:sub>
              <m:r>
                <m:t>L</m:t>
              </m:r>
            </m:sub>
          </m:sSub>
          <m:r>
            <m:t>a</m:t>
          </m:r>
          <m:r>
            <m:t> </m:t>
          </m:r>
          <m:r>
            <m:t>t</m:t>
          </m:r>
        </m:oMath>
      </m:oMathPara>
    </w:p>
    <w:p>
      <w:pPr>
        <w:pStyle w:val="FirstParagraph"/>
        <w:jc w:val="both"/>
      </w:pPr>
      <w:r>
        <w:t xml:space="preserve">Esta ecuación constituye la base del método.</w:t>
      </w:r>
    </w:p>
    <w:bookmarkEnd w:id="20"/>
    <w:bookmarkStart w:id="21" w:name="forma-lineal-para-el-cálculo"/>
    <w:p>
      <w:pPr>
        <w:pStyle w:val="Heading2"/>
        <w:jc w:val="both"/>
      </w:pPr>
      <w:r>
        <w:t xml:space="preserve">4.2. Forma lineal para el cálculo</w:t>
      </w:r>
    </w:p>
    <w:p>
      <w:pPr>
        <w:pStyle w:val="FirstParagraph"/>
        <w:keepNext/>
        <w:jc w:val="both"/>
      </w:pPr>
      <w:r>
        <w:t xml:space="preserve">Definimos la variable transformada:</w:t>
      </w:r>
    </w:p>
    <w:p>
      <w:pPr>
        <w:pStyle w:val="BodyText"/>
        <w:keepNext w:val="0"/>
        <w:jc w:val="center"/>
      </w:pPr>
      <m:oMathPara>
        <m:oMathParaPr>
          <m:jc m:val="center"/>
        </m:oMathParaPr>
        <m:oMath>
          <m:r>
            <m:t>Y</m:t>
          </m:r>
          <m:r>
            <m:rPr>
              <m:sty m:val="p"/>
            </m:rPr>
            <m:t>=</m:t>
          </m:r>
          <m:r>
            <m:rPr>
              <m:sty m:val="p"/>
            </m:rPr>
            <m:t>ln</m:t>
          </m:r>
          <m:d>
            <m:dPr>
              <m:begChr m:val="("/>
              <m:sepChr m:val=""/>
              <m:endChr m:val=")"/>
              <m:grow/>
            </m:dPr>
            <m:e>
              <m:f>
                <m:fPr>
                  <m:type m:val="bar"/>
                </m:fPr>
                <m:num>
                  <m:sSup>
                    <m:e>
                      <m:r>
                        <m:t>C</m:t>
                      </m:r>
                    </m:e>
                    <m:sup>
                      <m:r>
                        <m:rPr>
                          <m:sty m:val="p"/>
                        </m:rPr>
                        <m:t>*</m:t>
                      </m:r>
                    </m:sup>
                  </m:sSup>
                  <m:r>
                    <m:rPr>
                      <m:sty m:val="p"/>
                    </m:rPr>
                    <m:t>−</m:t>
                  </m:r>
                  <m:sSub>
                    <m:e>
                      <m:r>
                        <m:t>C</m:t>
                      </m:r>
                    </m:e>
                    <m:sub>
                      <m:r>
                        <m:t>0</m:t>
                      </m:r>
                    </m:sub>
                  </m:sSub>
                </m:num>
                <m:den>
                  <m:sSup>
                    <m:e>
                      <m:r>
                        <m:t>C</m:t>
                      </m:r>
                    </m:e>
                    <m:sup>
                      <m:r>
                        <m:rPr>
                          <m:sty m:val="p"/>
                        </m:rPr>
                        <m:t>*</m:t>
                      </m:r>
                    </m:sup>
                  </m:sSup>
                  <m:r>
                    <m:rPr>
                      <m:sty m:val="p"/>
                    </m:rPr>
                    <m:t>−</m:t>
                  </m:r>
                  <m:sSub>
                    <m:e>
                      <m:r>
                        <m:t>C</m:t>
                      </m:r>
                    </m:e>
                    <m:sub>
                      <m:r>
                        <m:t>t</m:t>
                      </m:r>
                    </m:sub>
                  </m:sSub>
                </m:den>
              </m:f>
            </m:e>
          </m:d>
        </m:oMath>
      </m:oMathPara>
    </w:p>
    <w:p>
      <w:pPr>
        <w:pStyle w:val="FirstParagraph"/>
        <w:keepNext/>
        <w:jc w:val="both"/>
      </w:pPr>
      <w:r>
        <w:t xml:space="preserve">Al graficar Y contra el tiempo t, se obtiene una recta cuya pendiente es:</w:t>
      </w:r>
    </w:p>
    <w:p>
      <w:pPr>
        <w:pStyle w:val="BodyText"/>
        <w:keepNext w:val="0"/>
        <w:jc w:val="center"/>
      </w:pPr>
      <m:oMathPara>
        <m:oMathParaPr>
          <m:jc m:val="center"/>
        </m:oMathParaPr>
        <m:oMath>
          <m:sSub>
            <m:e>
              <m:r>
                <m:t>k</m:t>
              </m:r>
            </m:e>
            <m:sub>
              <m:r>
                <m:t>L</m:t>
              </m:r>
            </m:sub>
          </m:sSub>
          <m:r>
            <m:t>a</m:t>
          </m:r>
          <m:r>
            <m:rPr>
              <m:sty m:val="p"/>
            </m:rPr>
            <m:t>=</m:t>
          </m:r>
          <m:r>
            <m:rPr>
              <m:nor/>
              <m:sty m:val="p"/>
            </m:rPr>
            <m:t>pendiente</m:t>
          </m:r>
        </m:oMath>
      </m:oMathPara>
    </w:p>
    <w:p>
      <w:pPr>
        <w:pStyle w:val="FirstParagraph"/>
        <w:keepNext/>
        <w:jc w:val="both"/>
      </w:pPr>
      <w:r>
        <w:t xml:space="preserve">Si el tiempo está expresado en minutos, el resultado será min⁻¹. Para convertirlo a h⁻¹:</w:t>
      </w:r>
    </w:p>
    <w:p>
      <w:pPr>
        <w:pStyle w:val="BodyText"/>
        <w:keepNext w:val="0"/>
        <w:jc w:val="center"/>
      </w:pPr>
      <m:oMathPara>
        <m:oMathParaPr>
          <m:jc m:val="center"/>
        </m:oMathParaPr>
        <m:oMath>
          <m:sSub>
            <m:e>
              <m:r>
                <m:t>k</m:t>
              </m:r>
            </m:e>
            <m:sub>
              <m:r>
                <m:t>L</m:t>
              </m:r>
            </m:sub>
          </m:sSub>
          <m:r>
            <m:t>a</m:t>
          </m:r>
          <m:r>
            <m:t> </m:t>
          </m:r>
          <m:r>
            <m:rPr>
              <m:sty m:val="p"/>
            </m:rPr>
            <m:t>[</m:t>
          </m:r>
          <m:sSup>
            <m:e>
              <m:r>
                <m:rPr>
                  <m:sty m:val="p"/>
                </m:rPr>
                <m:t>h</m:t>
              </m:r>
            </m:e>
            <m:sup>
              <m:r>
                <m:rPr>
                  <m:sty m:val="p"/>
                </m:rPr>
                <m:t>−</m:t>
              </m:r>
              <m:r>
                <m:t>1</m:t>
              </m:r>
            </m:sup>
          </m:sSup>
          <m:r>
            <m:rPr>
              <m:sty m:val="p"/>
            </m:rPr>
            <m:t>]</m:t>
          </m:r>
          <m:r>
            <m:rPr>
              <m:sty m:val="p"/>
            </m:rPr>
            <m:t>=</m:t>
          </m:r>
          <m:r>
            <m:t>60</m:t>
          </m:r>
          <m:r>
            <m:t> </m:t>
          </m:r>
          <m:sSub>
            <m:e>
              <m:r>
                <m:t>k</m:t>
              </m:r>
            </m:e>
            <m:sub>
              <m:r>
                <m:t>L</m:t>
              </m:r>
            </m:sub>
          </m:sSub>
          <m:r>
            <m:t>a</m:t>
          </m:r>
          <m:r>
            <m:t> </m:t>
          </m:r>
          <m:r>
            <m:rPr>
              <m:sty m:val="p"/>
            </m:rPr>
            <m:t>[</m:t>
          </m:r>
          <m:sSup>
            <m:e>
              <m:r>
                <m:rPr>
                  <m:sty m:val="p"/>
                </m:rPr>
                <m:t>m</m:t>
              </m:r>
              <m:r>
                <m:rPr>
                  <m:sty m:val="p"/>
                </m:rPr>
                <m:t>i</m:t>
              </m:r>
              <m:r>
                <m:rPr>
                  <m:sty m:val="p"/>
                </m:rPr>
                <m:t>n</m:t>
              </m:r>
            </m:e>
            <m:sup>
              <m:r>
                <m:rPr>
                  <m:sty m:val="p"/>
                </m:rPr>
                <m:t>−</m:t>
              </m:r>
              <m:r>
                <m:t>1</m:t>
              </m:r>
            </m:sup>
          </m:sSup>
          <m:r>
            <m:rPr>
              <m:sty m:val="p"/>
            </m:rPr>
            <m:t>]</m:t>
          </m:r>
        </m:oMath>
      </m:oMathPara>
    </w:p>
    <w:p>
      <w:pPr>
        <w:pStyle w:val="FirstParagraph"/>
        <w:keepNext/>
        <w:jc w:val="both"/>
      </w:pPr>
      <w:r>
        <w:t xml:space="preserve">Alternativa con oxígeno disuelto en porcentaje de saturación: si la lectura de DO es proporcional a la concentración y el 100 % representa la saturación de equilibrio, puede utilizarse directamente:</w:t>
      </w:r>
    </w:p>
    <w:p>
      <w:pPr>
        <w:pStyle w:val="BodyText"/>
        <w:keepNext w:val="0"/>
        <w:jc w:val="center"/>
      </w:pPr>
      <m:oMathPara>
        <m:oMathParaPr>
          <m:jc m:val="center"/>
        </m:oMathParaPr>
        <m:oMath>
          <m:r>
            <m:rPr>
              <m:sty m:val="p"/>
            </m:rPr>
            <m:t>ln</m:t>
          </m:r>
          <m:d>
            <m:dPr>
              <m:begChr m:val="("/>
              <m:sepChr m:val=""/>
              <m:endChr m:val=")"/>
              <m:grow/>
            </m:dPr>
            <m:e>
              <m:f>
                <m:fPr>
                  <m:type m:val="bar"/>
                </m:fPr>
                <m:num>
                  <m:r>
                    <m:t>100</m:t>
                  </m:r>
                  <m:r>
                    <m:rPr>
                      <m:sty m:val="p"/>
                    </m:rPr>
                    <m:t>−</m:t>
                  </m:r>
                  <m:sSub>
                    <m:e>
                      <m:r>
                        <m:t>C</m:t>
                      </m:r>
                    </m:e>
                    <m:sub>
                      <m:r>
                        <m:t>0</m:t>
                      </m:r>
                    </m:sub>
                  </m:sSub>
                </m:num>
                <m:den>
                  <m:r>
                    <m:t>100</m:t>
                  </m:r>
                  <m:r>
                    <m:rPr>
                      <m:sty m:val="p"/>
                    </m:rPr>
                    <m:t>−</m:t>
                  </m:r>
                  <m:sSub>
                    <m:e>
                      <m:r>
                        <m:t>C</m:t>
                      </m:r>
                    </m:e>
                    <m:sub>
                      <m:r>
                        <m:t>t</m:t>
                      </m:r>
                    </m:sub>
                  </m:sSub>
                </m:den>
              </m:f>
            </m:e>
          </m:d>
          <m:r>
            <m:rPr>
              <m:sty m:val="p"/>
            </m:rPr>
            <m:t>=</m:t>
          </m:r>
          <m:sSub>
            <m:e>
              <m:r>
                <m:t>k</m:t>
              </m:r>
            </m:e>
            <m:sub>
              <m:r>
                <m:t>L</m:t>
              </m:r>
            </m:sub>
          </m:sSub>
          <m:r>
            <m:t>a</m:t>
          </m:r>
          <m:r>
            <m:t> </m:t>
          </m:r>
          <m:r>
            <m:t>t</m:t>
          </m:r>
        </m:oMath>
      </m:oMathPara>
    </w:p>
    <w:p>
      <w:pPr>
        <w:pStyle w:val="FirstParagraph"/>
        <w:jc w:val="both"/>
      </w:pPr>
      <w:r>
        <w:t xml:space="preserve">Esta expresión requiere que la saturación de equilibrio corresponda efectivamente al 100 % de la escala utilizada. Si la sonda utiliza otra referencia o cambia la presión, la temperatura o la composición del gas, debe emplearse el valor de equilibrio apropiado.</w:t>
      </w:r>
    </w:p>
    <w:bookmarkEnd w:id="21"/>
    <w:bookmarkEnd w:id="22"/>
    <w:bookmarkStart w:id="30" w:name="protocolo-experimental"/>
    <w:p>
      <w:pPr>
        <w:pStyle w:val="Heading1"/>
        <w:jc w:val="both"/>
      </w:pPr>
      <w:r>
        <w:t xml:space="preserve">5. Protocolo experimental</w:t>
      </w:r>
    </w:p>
    <w:bookmarkStart w:id="26" w:name="condiciones-de-operación"/>
    <w:p>
      <w:pPr>
        <w:pStyle w:val="Heading2"/>
        <w:jc w:val="both"/>
      </w:pPr>
      <w:r>
        <w:t xml:space="preserve">5.1. Condiciones de operación</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3960"/>
        <w:gridCol w:w="3960"/>
      </w:tblGrid>
      <w:tr>
        <w:trPr>
          <w:cantSplit/>
          <w:tblHeader/>
        </w:trPr>
        <w:tc>
          <w:tcPr>
            <w:shd w:val="clear" w:color="auto" w:fill="4E2891"/>
          </w:tcPr>
          <w:p>
            <w:pPr>
              <w:pStyle w:val="Compact"/>
              <w:jc w:val="both"/>
            </w:pPr>
            <w:r>
              <w:rPr>
                <w:b/>
                <w:color w:val="FFFFFF"/>
              </w:rPr>
              <w:t xml:space="preserve">Parámetro</w:t>
            </w:r>
          </w:p>
        </w:tc>
        <w:tc>
          <w:tcPr>
            <w:shd w:val="clear" w:color="auto" w:fill="4E2891"/>
          </w:tcPr>
          <w:p>
            <w:pPr>
              <w:pStyle w:val="Compact"/>
              <w:jc w:val="both"/>
            </w:pPr>
            <w:r>
              <w:rPr>
                <w:b/>
                <w:color w:val="FFFFFF"/>
              </w:rPr>
              <w:t xml:space="preserve">Condición</w:t>
            </w:r>
          </w:p>
        </w:tc>
      </w:tr>
      <w:tr>
        <w:trPr>
          <w:cantSplit/>
        </w:trPr>
        <w:tc>
          <w:tcPr/>
          <w:p>
            <w:pPr>
              <w:pStyle w:val="Compact"/>
              <w:jc w:val="both"/>
            </w:pPr>
            <w:r>
              <w:t xml:space="preserve">Reactor</w:t>
            </w:r>
          </w:p>
        </w:tc>
        <w:tc>
          <w:tcPr/>
          <w:p>
            <w:pPr>
              <w:pStyle w:val="Compact"/>
              <w:jc w:val="both"/>
            </w:pPr>
            <w:r>
              <w:t xml:space="preserve">Sartorius, capacidad nominal de 50 L</w:t>
            </w:r>
          </w:p>
        </w:tc>
      </w:tr>
      <w:tr>
        <w:trPr>
          <w:cantSplit/>
        </w:trPr>
        <w:tc>
          <w:tcPr/>
          <w:p>
            <w:pPr>
              <w:pStyle w:val="Compact"/>
              <w:jc w:val="both"/>
            </w:pPr>
            <w:r>
              <w:t xml:space="preserve">Volumen de trabajo</w:t>
            </w:r>
          </w:p>
        </w:tc>
        <w:tc>
          <w:tcPr/>
          <w:p>
            <w:pPr>
              <w:pStyle w:val="Compact"/>
              <w:jc w:val="both"/>
            </w:pPr>
            <w:r>
              <w:t xml:space="preserve">30 L de agua</w:t>
            </w:r>
          </w:p>
        </w:tc>
      </w:tr>
      <w:tr>
        <w:trPr>
          <w:cantSplit/>
        </w:trPr>
        <w:tc>
          <w:tcPr/>
          <w:p>
            <w:pPr>
              <w:pStyle w:val="Compact"/>
              <w:jc w:val="both"/>
            </w:pPr>
            <w:r>
              <w:t xml:space="preserve">Aireación durante la reoxigenación</w:t>
            </w:r>
          </w:p>
        </w:tc>
        <w:tc>
          <w:tcPr/>
          <w:p>
            <w:pPr>
              <w:pStyle w:val="Compact"/>
              <w:jc w:val="both"/>
            </w:pPr>
            <w:r>
              <w:t xml:space="preserve">0.5 vvm constantes =</w:t>
            </w:r>
            <w:r>
              <w:t xml:space="preserve"> </w:t>
            </w:r>
            <w:r>
              <w:rPr>
                <w:b/>
                <w:bCs/>
              </w:rPr>
              <w:t xml:space="preserve">15 L/min</w:t>
            </w:r>
          </w:p>
        </w:tc>
      </w:tr>
      <w:tr>
        <w:trPr>
          <w:cantSplit/>
        </w:trPr>
        <w:tc>
          <w:tcPr/>
          <w:p>
            <w:pPr>
              <w:pStyle w:val="Compact"/>
              <w:jc w:val="both"/>
            </w:pPr>
            <w:r>
              <w:t xml:space="preserve">Agitación del barrido</w:t>
            </w:r>
          </w:p>
        </w:tc>
        <w:tc>
          <w:tcPr/>
          <w:p>
            <w:pPr>
              <w:pStyle w:val="Compact"/>
              <w:jc w:val="both"/>
            </w:pPr>
            <w:r>
              <w:t xml:space="preserve">200, 400, 600, 800 y 1000 rpm</w:t>
            </w:r>
          </w:p>
        </w:tc>
      </w:tr>
      <w:tr>
        <w:trPr>
          <w:cantSplit/>
        </w:trPr>
        <w:tc>
          <w:tcPr/>
          <w:p>
            <w:pPr>
              <w:pStyle w:val="Compact"/>
              <w:jc w:val="both"/>
            </w:pPr>
            <w:r>
              <w:t xml:space="preserve">Temperatura</w:t>
            </w:r>
          </w:p>
        </w:tc>
        <w:tc>
          <w:tcPr/>
          <w:p>
            <w:pPr>
              <w:pStyle w:val="Compact"/>
              <w:jc w:val="both"/>
            </w:pPr>
            <w:r>
              <w:t xml:space="preserve">Registrar y mantener constante durante el barrido</w:t>
            </w:r>
          </w:p>
        </w:tc>
      </w:tr>
      <w:tr>
        <w:trPr>
          <w:cantSplit/>
        </w:trPr>
        <w:tc>
          <w:tcPr/>
          <w:p>
            <w:pPr>
              <w:pStyle w:val="Compact"/>
              <w:jc w:val="both"/>
            </w:pPr>
            <w:r>
              <w:t xml:space="preserve">Presión</w:t>
            </w:r>
          </w:p>
        </w:tc>
        <w:tc>
          <w:tcPr/>
          <w:p>
            <w:pPr>
              <w:pStyle w:val="Compact"/>
              <w:jc w:val="both"/>
            </w:pPr>
            <w:r>
              <w:t xml:space="preserve">Registrar la disponible y mantener las mismas condiciones de venteo</w:t>
            </w:r>
          </w:p>
        </w:tc>
      </w:tr>
      <w:tr>
        <w:trPr>
          <w:cantSplit/>
        </w:trPr>
        <w:tc>
          <w:tcPr/>
          <w:p>
            <w:pPr>
              <w:pStyle w:val="Compact"/>
              <w:jc w:val="both"/>
            </w:pPr>
            <w:r>
              <w:t xml:space="preserve">Consumo biológico</w:t>
            </w:r>
          </w:p>
        </w:tc>
        <w:tc>
          <w:tcPr/>
          <w:p>
            <w:pPr>
              <w:pStyle w:val="Compact"/>
              <w:jc w:val="both"/>
            </w:pPr>
            <w:r>
              <w:t xml:space="preserve">Sin células</w:t>
            </w:r>
          </w:p>
        </w:tc>
      </w:tr>
      <w:tr>
        <w:trPr>
          <w:cantSplit/>
        </w:trPr>
        <w:tc>
          <w:tcPr/>
          <w:p>
            <w:pPr>
              <w:pStyle w:val="Compact"/>
              <w:jc w:val="both"/>
            </w:pPr>
            <w:r>
              <w:t xml:space="preserve">Control de oxígeno</w:t>
            </w:r>
          </w:p>
        </w:tc>
        <w:tc>
          <w:tcPr/>
          <w:p>
            <w:pPr>
              <w:pStyle w:val="Compact"/>
              <w:jc w:val="both"/>
            </w:pPr>
            <w:r>
              <w:t xml:space="preserve">Desactivado; ninguna cascada debe cambiar rpm o gases</w:t>
            </w:r>
          </w:p>
        </w:tc>
      </w:tr>
      <w:tr>
        <w:trPr>
          <w:cantSplit/>
        </w:trPr>
        <w:tc>
          <w:tcPr/>
          <w:p>
            <w:pPr>
              <w:pStyle w:val="Compact"/>
              <w:jc w:val="both"/>
            </w:pPr>
            <w:r>
              <w:t xml:space="preserve">Registro</w:t>
            </w:r>
          </w:p>
        </w:tc>
        <w:tc>
          <w:tcPr/>
          <w:p>
            <w:pPr>
              <w:pStyle w:val="Compact"/>
              <w:jc w:val="both"/>
            </w:pPr>
            <w:r>
              <w:t xml:space="preserve">Oxígeno, tiempo, rpm, caudal y temperatura; adquisición digital preferentemente cada 1 s</w:t>
            </w:r>
          </w:p>
        </w:tc>
      </w:tr>
    </w:tbl>
    <w:p>
      <w:pPr>
        <w:pStyle w:val="BodyText"/>
        <w:spacing w:before="160"/>
        <w:jc w:val="both"/>
      </w:pPr>
      <w:r>
        <w:t xml:space="preserve">vvm expresa litros de gas por litro de líquido y minuto. El caudal se calcula con los</w:t>
      </w:r>
      <w:r>
        <w:t xml:space="preserve"> </w:t>
      </w:r>
      <w:r>
        <w:rPr>
          <w:b/>
          <w:bCs/>
        </w:rPr>
        <w:t xml:space="preserve">30 L de trabajo</w:t>
      </w:r>
      <w:r>
        <w:t xml:space="preserve">, no con la capacidad nominal:</w:t>
      </w:r>
      <w:r>
        <w:t xml:space="preserve"> </w:t>
      </w:r>
      <m:oMath>
        <m:r>
          <m:t>0.5</m:t>
        </m:r>
        <m:r>
          <m:rPr>
            <m:sty m:val="p"/>
          </m:rPr>
          <m:t>×</m:t>
        </m:r>
        <m:r>
          <m:t>30</m:t>
        </m:r>
        <m:r>
          <m:rPr>
            <m:sty m:val="p"/>
          </m:rPr>
          <m:t>=</m:t>
        </m:r>
        <m:r>
          <m:t>15</m:t>
        </m:r>
      </m:oMath>
      <w:r>
        <w:t xml:space="preserve"> </w:t>
      </w:r>
      <w:r>
        <w:t xml:space="preserve">L/min. Registrar la referencia del caudalímetro o controlador de flujo disponible.</w:t>
      </w:r>
    </w:p>
    <w:p>
      <w:pPr>
        <w:pStyle w:val="BodyText"/>
        <w:jc w:val="both"/>
      </w:pPr>
      <w:r>
        <w:t xml:space="preserve">La secuencia propuesta es ascendente, con una curva independiente en cada nivel. Durante cada reoxigenación las rpm permanecen constantes. No se obtiene un kLa por nivel cambiando las rpm sobre una única curva ni aumentando la agitación cuando el agua ya está saturada.</w:t>
      </w:r>
    </w:p>
    <w:p>
      <w:pPr>
        <w:pStyle w:val="CaptionedFigure"/>
        <w:keepNext/>
        <w:jc w:val="center"/>
      </w:pPr>
      <w:r>
        <w:drawing>
          <wp:inline>
            <wp:extent cx="5040000" cy="1238787"/>
            <wp:effectExtent b="0" l="0" r="0" t="0"/>
            <wp:docPr descr="Secuencia del barrido a volumen y aireación constantes" title="" id="24" name="Picture"/>
            <a:graphic>
              <a:graphicData uri="http://schemas.openxmlformats.org/drawingml/2006/picture">
                <pic:pic>
                  <pic:nvPicPr>
                    <pic:cNvPr descr="../figuras/01_barrido_kLa.png" id="25" name="Picture"/>
                    <pic:cNvPicPr>
                      <a:picLocks noChangeArrowheads="1" noChangeAspect="1"/>
                    </pic:cNvPicPr>
                  </pic:nvPicPr>
                  <pic:blipFill>
                    <a:blip r:embed="rId23"/>
                    <a:stretch>
                      <a:fillRect/>
                    </a:stretch>
                  </pic:blipFill>
                  <pic:spPr bwMode="auto">
                    <a:xfrm>
                      <a:off x="0" y="0"/>
                      <a:ext cx="5040000" cy="1238787"/>
                    </a:xfrm>
                    <a:prstGeom prst="rect">
                      <a:avLst/>
                    </a:prstGeom>
                    <a:noFill/>
                    <a:ln w="9525">
                      <a:noFill/>
                      <a:headEnd/>
                      <a:tailEnd/>
                    </a:ln>
                  </pic:spPr>
                </pic:pic>
              </a:graphicData>
            </a:graphic>
          </wp:inline>
        </w:drawing>
      </w:r>
    </w:p>
    <w:p>
      <w:pPr>
        <w:pStyle w:val="ImageCaption"/>
        <w:keepNext w:val="0"/>
        <w:jc w:val="center"/>
      </w:pPr>
      <w:r>
        <w:t xml:space="preserve">Secuencia del barrido a volumen y aireación constantes</w:t>
      </w:r>
    </w:p>
    <w:bookmarkEnd w:id="26"/>
    <w:bookmarkStart w:id="27" w:name="organización-y-adquisición"/>
    <w:p>
      <w:pPr>
        <w:pStyle w:val="Heading2"/>
        <w:jc w:val="both"/>
      </w:pPr>
      <w:r>
        <w:t xml:space="preserve">5.2. Organización y adquisición</w:t>
      </w:r>
    </w:p>
    <w:p>
      <w:pPr>
        <w:pStyle w:val="FirstParagraph"/>
        <w:jc w:val="both"/>
      </w:pPr>
      <w:r>
        <w:t xml:space="preserve">Distribuir las tareas de operación, tiempo, adquisición, revisión de condiciones, cálculo y verificación. La maniobra de gases se realiza con el instructor.</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3960"/>
        <w:gridCol w:w="3960"/>
      </w:tblGrid>
      <w:tr>
        <w:trPr>
          <w:cantSplit/>
          <w:tblHeader/>
        </w:trPr>
        <w:tc>
          <w:tcPr>
            <w:shd w:val="clear" w:color="auto" w:fill="4E2891"/>
          </w:tcPr>
          <w:p>
            <w:pPr>
              <w:pStyle w:val="Compact"/>
              <w:jc w:val="both"/>
            </w:pPr>
            <w:r>
              <w:rPr>
                <w:b/>
                <w:color w:val="FFFFFF"/>
              </w:rPr>
              <w:t xml:space="preserve">Tiempo orientativo</w:t>
            </w:r>
          </w:p>
        </w:tc>
        <w:tc>
          <w:tcPr>
            <w:shd w:val="clear" w:color="auto" w:fill="4E2891"/>
          </w:tcPr>
          <w:p>
            <w:pPr>
              <w:pStyle w:val="Compact"/>
              <w:jc w:val="both"/>
            </w:pPr>
            <w:r>
              <w:rPr>
                <w:b/>
                <w:color w:val="FFFFFF"/>
              </w:rPr>
              <w:t xml:space="preserve">Actividad</w:t>
            </w:r>
          </w:p>
        </w:tc>
      </w:tr>
      <w:tr>
        <w:trPr>
          <w:cantSplit/>
        </w:trPr>
        <w:tc>
          <w:tcPr/>
          <w:p>
            <w:pPr>
              <w:pStyle w:val="Compact"/>
              <w:jc w:val="both"/>
            </w:pPr>
            <w:r>
              <w:t xml:space="preserve">0–5 min</w:t>
            </w:r>
          </w:p>
        </w:tc>
        <w:tc>
          <w:tcPr/>
          <w:p>
            <w:pPr>
              <w:pStyle w:val="Compact"/>
              <w:jc w:val="both"/>
            </w:pPr>
            <w:r>
              <w:t xml:space="preserve">Identificar equipo y sonda; verificar volumen, aire, temperatura, adquisición y salidas en manual.</w:t>
            </w:r>
          </w:p>
        </w:tc>
      </w:tr>
      <w:tr>
        <w:trPr>
          <w:cantSplit/>
        </w:trPr>
        <w:tc>
          <w:tcPr/>
          <w:p>
            <w:pPr>
              <w:pStyle w:val="Compact"/>
              <w:jc w:val="both"/>
            </w:pPr>
            <w:r>
              <w:t xml:space="preserve">5–30 min</w:t>
            </w:r>
          </w:p>
        </w:tc>
        <w:tc>
          <w:tcPr/>
          <w:p>
            <w:pPr>
              <w:pStyle w:val="Compact"/>
              <w:jc w:val="both"/>
            </w:pPr>
            <w:r>
              <w:t xml:space="preserve">Registrar las cinco curvas, con desoxigenación y reoxigenación en cada velocidad. Calcular conforme se obtienen los registros.</w:t>
            </w:r>
          </w:p>
        </w:tc>
      </w:tr>
      <w:tr>
        <w:trPr>
          <w:cantSplit/>
        </w:trPr>
        <w:tc>
          <w:tcPr/>
          <w:p>
            <w:pPr>
              <w:pStyle w:val="Compact"/>
              <w:jc w:val="both"/>
            </w:pPr>
            <w:r>
              <w:t xml:space="preserve">30–40 min</w:t>
            </w:r>
          </w:p>
        </w:tc>
        <w:tc>
          <w:tcPr/>
          <w:p>
            <w:pPr>
              <w:pStyle w:val="Compact"/>
              <w:jc w:val="both"/>
            </w:pPr>
            <w:r>
              <w:t xml:space="preserve">Revisar mesetas y ajustes, completar la tabla y construir el barrido.</w:t>
            </w:r>
          </w:p>
        </w:tc>
      </w:tr>
      <w:tr>
        <w:trPr>
          <w:cantSplit/>
        </w:trPr>
        <w:tc>
          <w:tcPr/>
          <w:p>
            <w:pPr>
              <w:pStyle w:val="Compact"/>
              <w:jc w:val="both"/>
            </w:pPr>
            <w:r>
              <w:t xml:space="preserve">40–45 min</w:t>
            </w:r>
          </w:p>
        </w:tc>
        <w:tc>
          <w:tcPr/>
          <w:p>
            <w:pPr>
              <w:pStyle w:val="Compact"/>
              <w:jc w:val="both"/>
            </w:pPr>
            <w:r>
              <w:t xml:space="preserve">Comparar resultados y documentar curvas incompletas o incidentes.</w:t>
            </w:r>
          </w:p>
        </w:tc>
      </w:tr>
    </w:tbl>
    <w:p>
      <w:pPr>
        <w:pStyle w:val="BodyText"/>
        <w:spacing w:before="160"/>
        <w:jc w:val="both"/>
      </w:pPr>
      <w:r>
        <w:t xml:space="preserve">La adquisición del barrido se probó en el laboratorio en aproximadamente 30 minutos, según las notas de preparación del taller. Reservar hasta 45 minutos para que cada equipo complete el análisis. Los tiempos por curva dependen de la respuesta observada; no sustituir una meseta ausente por el último dato para cumplir el cronograma.</w:t>
      </w:r>
    </w:p>
    <w:bookmarkEnd w:id="27"/>
    <w:bookmarkStart w:id="28" w:name="cálculo-con-los-registros-del-taller"/>
    <w:p>
      <w:pPr>
        <w:pStyle w:val="Heading2"/>
        <w:jc w:val="both"/>
      </w:pPr>
      <w:r>
        <w:t xml:space="preserve">Cálculo con los registros del taller</w:t>
      </w:r>
    </w:p>
    <w:p>
      <w:pPr>
        <w:pStyle w:val="FirstParagraph"/>
        <w:keepNext/>
        <w:jc w:val="both"/>
      </w:pPr>
      <w:r>
        <w:t xml:space="preserve">En la fórmula con 100 %,</w:t>
      </w:r>
      <w:r>
        <w:t xml:space="preserve"> </w:t>
      </w:r>
      <m:oMath>
        <m:sSub>
          <m:e>
            <m:r>
              <m:t>C</m:t>
            </m:r>
          </m:e>
          <m:sub>
            <m:r>
              <m:t>0</m:t>
            </m:r>
          </m:sub>
        </m:sSub>
      </m:oMath>
      <w:r>
        <w:t xml:space="preserve"> </w:t>
      </w:r>
      <w:r>
        <w:t xml:space="preserve">y</w:t>
      </w:r>
      <w:r>
        <w:t xml:space="preserve"> </w:t>
      </w:r>
      <m:oMath>
        <m:sSub>
          <m:e>
            <m:r>
              <m:t>C</m:t>
            </m:r>
          </m:e>
          <m:sub>
            <m:r>
              <m:t>t</m:t>
            </m:r>
          </m:sub>
        </m:sSub>
      </m:oMath>
      <w:r>
        <w:t xml:space="preserve"> </w:t>
      </w:r>
      <w:r>
        <w:t xml:space="preserve">representan lecturas en porcentaje de saturación. Para el análisis del taller se utilizan</w:t>
      </w:r>
      <w:r>
        <w:t xml:space="preserve"> </w:t>
      </w:r>
      <m:oMath>
        <m:sSub>
          <m:e>
            <m:r>
              <m:t>y</m:t>
            </m:r>
          </m:e>
          <m:sub>
            <m:r>
              <m:t>0</m:t>
            </m:r>
          </m:sub>
        </m:sSub>
      </m:oMath>
      <w:r>
        <w:t xml:space="preserve">,</w:t>
      </w:r>
      <w:r>
        <w:t xml:space="preserve"> </w:t>
      </w:r>
      <m:oMath>
        <m:r>
          <m:t>y</m:t>
        </m:r>
        <m:r>
          <m:rPr>
            <m:sty m:val="p"/>
          </m:rPr>
          <m:t>(</m:t>
        </m:r>
        <m:r>
          <m:t>t</m:t>
        </m:r>
        <m:r>
          <m:rPr>
            <m:sty m:val="p"/>
          </m:rPr>
          <m:t>)</m:t>
        </m:r>
      </m:oMath>
      <w:r>
        <w:t xml:space="preserve"> </w:t>
      </w:r>
      <w:r>
        <w:t xml:space="preserve">y la meseta final observada</w:t>
      </w:r>
      <w:r>
        <w:t xml:space="preserve"> </w:t>
      </w:r>
      <m:oMath>
        <m:sSub>
          <m:e>
            <m:r>
              <m:t>y</m:t>
            </m:r>
          </m:e>
          <m:sub>
            <m:r>
              <m:rPr>
                <m:sty m:val="p"/>
              </m:rPr>
              <m:t>∞</m:t>
            </m:r>
          </m:sub>
        </m:sSub>
      </m:oMath>
      <w:r>
        <w:t xml:space="preserve">, todas en la misma escala:</w:t>
      </w:r>
    </w:p>
    <w:p>
      <w:pPr>
        <w:pStyle w:val="BodyText"/>
        <w:keepNext w:val="0"/>
        <w:jc w:val="center"/>
      </w:pPr>
      <m:oMathPara>
        <m:oMathParaPr>
          <m:jc m:val="center"/>
        </m:oMathParaPr>
        <m:oMath>
          <m:r>
            <m:t>Y</m:t>
          </m:r>
          <m:r>
            <m:rPr>
              <m:sty m:val="p"/>
            </m:rPr>
            <m:t>(</m:t>
          </m:r>
          <m:r>
            <m:t>t</m:t>
          </m:r>
          <m:r>
            <m:rPr>
              <m:sty m:val="p"/>
            </m:rPr>
            <m:t>)</m:t>
          </m:r>
          <m:r>
            <m:rPr>
              <m:sty m:val="p"/>
            </m:rPr>
            <m:t>=</m:t>
          </m:r>
          <m:r>
            <m:rPr>
              <m:sty m:val="p"/>
            </m:rPr>
            <m:t>ln</m:t>
          </m:r>
          <m:d>
            <m:dPr>
              <m:begChr m:val="("/>
              <m:sepChr m:val=""/>
              <m:endChr m:val=")"/>
              <m:grow/>
            </m:dPr>
            <m:e>
              <m:f>
                <m:fPr>
                  <m:type m:val="bar"/>
                </m:fPr>
                <m:num>
                  <m:sSub>
                    <m:e>
                      <m:r>
                        <m:t>y</m:t>
                      </m:r>
                    </m:e>
                    <m:sub>
                      <m:r>
                        <m:rPr>
                          <m:sty m:val="p"/>
                        </m:rPr>
                        <m:t>∞</m:t>
                      </m:r>
                    </m:sub>
                  </m:sSub>
                  <m:r>
                    <m:rPr>
                      <m:sty m:val="p"/>
                    </m:rPr>
                    <m:t>−</m:t>
                  </m:r>
                  <m:sSub>
                    <m:e>
                      <m:r>
                        <m:t>y</m:t>
                      </m:r>
                    </m:e>
                    <m:sub>
                      <m:r>
                        <m:t>0</m:t>
                      </m:r>
                    </m:sub>
                  </m:sSub>
                </m:num>
                <m:den>
                  <m:sSub>
                    <m:e>
                      <m:r>
                        <m:t>y</m:t>
                      </m:r>
                    </m:e>
                    <m:sub>
                      <m:r>
                        <m:rPr>
                          <m:sty m:val="p"/>
                        </m:rPr>
                        <m:t>∞</m:t>
                      </m:r>
                    </m:sub>
                  </m:sSub>
                  <m:r>
                    <m:rPr>
                      <m:sty m:val="p"/>
                    </m:rPr>
                    <m:t>−</m:t>
                  </m:r>
                  <m:r>
                    <m:t>y</m:t>
                  </m:r>
                  <m:r>
                    <m:rPr>
                      <m:sty m:val="p"/>
                    </m:rPr>
                    <m:t>(</m:t>
                  </m:r>
                  <m:r>
                    <m:t>t</m:t>
                  </m:r>
                  <m:r>
                    <m:rPr>
                      <m:sty m:val="p"/>
                    </m:rPr>
                    <m:t>)</m:t>
                  </m:r>
                </m:den>
              </m:f>
            </m:e>
          </m:d>
        </m:oMath>
      </m:oMathPara>
    </w:p>
    <w:p>
      <w:pPr>
        <w:pStyle w:val="FirstParagraph"/>
        <w:keepNext/>
        <w:jc w:val="both"/>
      </w:pPr>
      <w:r>
        <w:t xml:space="preserve">La plantilla utiliza tiempo en segundos, por lo que kLa [h⁻¹] = 3600 × pendiente [s⁻¹]. Ajusta una recta con ordenada libre y selecciona inicialmente el tramo entre el 20 y el 80 % del recorrido:</w:t>
      </w:r>
    </w:p>
    <w:p>
      <w:pPr>
        <w:pStyle w:val="BodyText"/>
        <w:keepNext w:val="0"/>
        <w:jc w:val="center"/>
      </w:pPr>
      <m:oMathPara>
        <m:oMathParaPr>
          <m:jc m:val="center"/>
        </m:oMathParaPr>
        <m:oMath>
          <m:r>
            <m:t>r</m:t>
          </m:r>
          <m:r>
            <m:rPr>
              <m:sty m:val="p"/>
            </m:rPr>
            <m:t>(</m:t>
          </m:r>
          <m:r>
            <m:t>t</m:t>
          </m:r>
          <m:r>
            <m:rPr>
              <m:sty m:val="p"/>
            </m:rPr>
            <m:t>)</m:t>
          </m:r>
          <m:r>
            <m:rPr>
              <m:sty m:val="p"/>
            </m:rPr>
            <m:t>=</m:t>
          </m:r>
          <m:f>
            <m:fPr>
              <m:type m:val="bar"/>
            </m:fPr>
            <m:num>
              <m:r>
                <m:t>y</m:t>
              </m:r>
              <m:r>
                <m:rPr>
                  <m:sty m:val="p"/>
                </m:rPr>
                <m:t>(</m:t>
              </m:r>
              <m:r>
                <m:t>t</m:t>
              </m:r>
              <m:r>
                <m:rPr>
                  <m:sty m:val="p"/>
                </m:rPr>
                <m:t>)</m:t>
              </m:r>
              <m:r>
                <m:rPr>
                  <m:sty m:val="p"/>
                </m:rPr>
                <m:t>−</m:t>
              </m:r>
              <m:sSub>
                <m:e>
                  <m:r>
                    <m:t>y</m:t>
                  </m:r>
                </m:e>
                <m:sub>
                  <m:r>
                    <m:t>0</m:t>
                  </m:r>
                </m:sub>
              </m:sSub>
            </m:num>
            <m:den>
              <m:sSub>
                <m:e>
                  <m:r>
                    <m:t>y</m:t>
                  </m:r>
                </m:e>
                <m:sub>
                  <m:r>
                    <m:rPr>
                      <m:sty m:val="p"/>
                    </m:rPr>
                    <m:t>∞</m:t>
                  </m:r>
                </m:sub>
              </m:sSub>
              <m:r>
                <m:rPr>
                  <m:sty m:val="p"/>
                </m:rPr>
                <m:t>−</m:t>
              </m:r>
              <m:sSub>
                <m:e>
                  <m:r>
                    <m:t>y</m:t>
                  </m:r>
                </m:e>
                <m:sub>
                  <m:r>
                    <m:t>0</m:t>
                  </m:r>
                </m:sub>
              </m:sSub>
            </m:den>
          </m:f>
          <m:r>
            <m:rPr>
              <m:sty m:val="p"/>
            </m:rPr>
            <m:t>,</m:t>
          </m:r>
          <m:r>
            <m:t>  </m:t>
          </m:r>
          <m:r>
            <m:t>0.20</m:t>
          </m:r>
          <m:r>
            <m:rPr>
              <m:sty m:val="p"/>
            </m:rPr>
            <m:t>≤</m:t>
          </m:r>
          <m:r>
            <m:t>r</m:t>
          </m:r>
          <m:r>
            <m:rPr>
              <m:sty m:val="p"/>
            </m:rPr>
            <m:t>(</m:t>
          </m:r>
          <m:r>
            <m:t>t</m:t>
          </m:r>
          <m:r>
            <m:rPr>
              <m:sty m:val="p"/>
            </m:rPr>
            <m:t>)</m:t>
          </m:r>
          <m:r>
            <m:rPr>
              <m:sty m:val="p"/>
            </m:rPr>
            <m:t>≤</m:t>
          </m:r>
          <m:r>
            <m:t>0.80</m:t>
          </m:r>
        </m:oMath>
      </m:oMathPara>
    </w:p>
    <w:p>
      <w:pPr>
        <w:pStyle w:val="FirstParagraph"/>
        <w:jc w:val="both"/>
      </w:pPr>
      <w:r>
        <w:t xml:space="preserve">Estos porcentajes corresponden al cambio entre las mesetas, no necesariamente a 20 y 80 % de saturación. Revisar la linealidad y la suficiencia de las muestras. La transformación requiere</w:t>
      </w:r>
      <w:r>
        <w:t xml:space="preserve"> </w:t>
      </w:r>
      <m:oMath>
        <m:sSub>
          <m:e>
            <m:r>
              <m:t>y</m:t>
            </m:r>
          </m:e>
          <m:sub>
            <m:r>
              <m:rPr>
                <m:sty m:val="p"/>
              </m:rPr>
              <m:t>∞</m:t>
            </m:r>
          </m:sub>
        </m:sSub>
        <m:r>
          <m:rPr>
            <m:sty m:val="p"/>
          </m:rPr>
          <m:t>&gt;</m:t>
        </m:r>
        <m:sSub>
          <m:e>
            <m:r>
              <m:t>y</m:t>
            </m:r>
          </m:e>
          <m:sub>
            <m:r>
              <m:t>0</m:t>
            </m:r>
          </m:sub>
        </m:sSub>
      </m:oMath>
      <w:r>
        <w:t xml:space="preserve"> </w:t>
      </w:r>
      <w:r>
        <w:t xml:space="preserve">y</w:t>
      </w:r>
      <w:r>
        <w:t xml:space="preserve"> </w:t>
      </w:r>
      <m:oMath>
        <m:r>
          <m:t>y</m:t>
        </m:r>
        <m:r>
          <m:rPr>
            <m:sty m:val="p"/>
          </m:rPr>
          <m:t>(</m:t>
        </m:r>
        <m:r>
          <m:t>t</m:t>
        </m:r>
        <m:r>
          <m:rPr>
            <m:sty m:val="p"/>
          </m:rPr>
          <m:t>)</m:t>
        </m:r>
        <m:r>
          <m:rPr>
            <m:sty m:val="p"/>
          </m:rPr>
          <m:t>&lt;</m:t>
        </m:r>
        <m:sSub>
          <m:e>
            <m:r>
              <m:t>y</m:t>
            </m:r>
          </m:e>
          <m:sub>
            <m:r>
              <m:rPr>
                <m:sty m:val="p"/>
              </m:rPr>
              <m:t>∞</m:t>
            </m:r>
          </m:sub>
        </m:sSub>
      </m:oMath>
      <w:r>
        <w:t xml:space="preserve">. No calcular el logaritmo de cero ni de valores negativos.</w:t>
      </w:r>
    </w:p>
    <w:bookmarkEnd w:id="28"/>
    <w:bookmarkStart w:id="29" w:name="procedimiento-por-velocidad"/>
    <w:p>
      <w:pPr>
        <w:pStyle w:val="Heading2"/>
        <w:jc w:val="both"/>
      </w:pPr>
      <w:r>
        <w:t xml:space="preserve">5.3. Procedimiento por velocidad</w:t>
      </w:r>
    </w:p>
    <w:p>
      <w:pPr>
        <w:pStyle w:val="FirstParagraph"/>
        <w:jc w:val="both"/>
      </w:pPr>
      <w:r>
        <w:t xml:space="preserve">El método consiste en reducir el oxígeno disuelto con N₂ y después sustituirlo por aire. Se registra el aumento de oxígeno hasta alcanzar una meseta. La aireación de 0.5 vvm corresponde a la etapa con aire; el nitrógeno se utiliza para preparar cada ensayo y no se mantiene durante la reoxigenación.</w:t>
      </w:r>
    </w:p>
    <w:p>
      <w:pPr>
        <w:pStyle w:val="Compact"/>
        <w:numPr>
          <w:ilvl w:val="0"/>
          <w:numId w:val="1002"/>
        </w:numPr>
        <w:jc w:val="both"/>
      </w:pPr>
      <w:r>
        <w:t xml:space="preserve">Seleccionar las rpm del ensayo y mantenerlas constantes durante la preparación y la reoxigenación. Confirmar que el control de oxígeno no actúe sobre agitación ni gases.</w:t>
      </w:r>
    </w:p>
    <w:p>
      <w:pPr>
        <w:pStyle w:val="Compact"/>
        <w:numPr>
          <w:ilvl w:val="0"/>
          <w:numId w:val="1002"/>
        </w:numPr>
        <w:jc w:val="both"/>
      </w:pPr>
      <w:r>
        <w:t xml:space="preserve">Desoxigenar con N₂ hasta una lectura baja y aproximadamente estable. Una lectura inferior al 10 % de saturación es una referencia operativa; no se requiere forzar el cero. Registrar el nivel alcanzado.</w:t>
      </w:r>
    </w:p>
    <w:p>
      <w:pPr>
        <w:pStyle w:val="Compact"/>
        <w:numPr>
          <w:ilvl w:val="0"/>
          <w:numId w:val="1002"/>
        </w:numPr>
        <w:jc w:val="both"/>
      </w:pPr>
      <w:r>
        <w:t xml:space="preserve">Mantener activo el registro y sustituir N₂ por aire a</w:t>
      </w:r>
      <w:r>
        <w:t xml:space="preserve"> </w:t>
      </w:r>
      <w:r>
        <w:rPr>
          <w:b/>
          <w:bCs/>
        </w:rPr>
        <w:t xml:space="preserve">15 L/min</w:t>
      </w:r>
      <w:r>
        <w:t xml:space="preserve">. Marcar la hora de la maniobra, conservar las rpm y comprobar el caudal real. No mezclar deliberadamente ambos gases durante la reoxigenación.</w:t>
      </w:r>
    </w:p>
    <w:p>
      <w:pPr>
        <w:pStyle w:val="Compact"/>
        <w:numPr>
          <w:ilvl w:val="0"/>
          <w:numId w:val="1002"/>
        </w:numPr>
        <w:jc w:val="both"/>
      </w:pPr>
      <w:r>
        <w:t xml:space="preserve">Registrar el ascenso y continuar hasta una meseta final aproximadamente estable. Conservar el registro completo, incluyendo el cambio de gas. Anotar retrasos de líneas, cambios de presión, burbujas en la sonda o cualquier maniobra adicional.</w:t>
      </w:r>
    </w:p>
    <w:p>
      <w:pPr>
        <w:pStyle w:val="Compact"/>
        <w:numPr>
          <w:ilvl w:val="0"/>
          <w:numId w:val="1002"/>
        </w:numPr>
        <w:jc w:val="both"/>
      </w:pPr>
      <w:r>
        <w:t xml:space="preserve">Estimar</w:t>
      </w:r>
      <w:r>
        <w:t xml:space="preserve"> </w:t>
      </w:r>
      <m:oMath>
        <m:sSub>
          <m:e>
            <m:r>
              <m:t>y</m:t>
            </m:r>
          </m:e>
          <m:sub>
            <m:r>
              <m:t>0</m:t>
            </m:r>
          </m:sub>
        </m:sSub>
      </m:oMath>
      <w:r>
        <w:t xml:space="preserve"> </w:t>
      </w:r>
      <w:r>
        <w:t xml:space="preserve">a partir del tramo bajo previo al cambio y</w:t>
      </w:r>
      <w:r>
        <w:t xml:space="preserve"> </w:t>
      </w:r>
      <m:oMath>
        <m:sSub>
          <m:e>
            <m:r>
              <m:t>y</m:t>
            </m:r>
          </m:e>
          <m:sub>
            <m:r>
              <m:rPr>
                <m:sty m:val="p"/>
              </m:rPr>
              <m:t>∞</m:t>
            </m:r>
          </m:sub>
        </m:sSub>
      </m:oMath>
      <w:r>
        <w:t xml:space="preserve"> </w:t>
      </w:r>
      <w:r>
        <w:t xml:space="preserve">a partir de la meseta final. Anotar los intervalos usados. Trabajar con promedios de varias lecturas, no con un punto aislado.</w:t>
      </w:r>
    </w:p>
    <w:p>
      <w:pPr>
        <w:pStyle w:val="Compact"/>
        <w:numPr>
          <w:ilvl w:val="0"/>
          <w:numId w:val="1002"/>
        </w:numPr>
        <w:jc w:val="both"/>
      </w:pPr>
      <w:r>
        <w:t xml:space="preserve">Calcular el recorrido normalizado y la transformación Y. Seleccionar el tramo de ajuste, obtener pendiente, ordenada al origen y R², y convertir kLa a h⁻¹. Revisar la curva original y los residuos del ajuste.</w:t>
      </w:r>
    </w:p>
    <w:p>
      <w:pPr>
        <w:pStyle w:val="Compact"/>
        <w:numPr>
          <w:ilvl w:val="0"/>
          <w:numId w:val="1002"/>
        </w:numPr>
        <w:jc w:val="both"/>
      </w:pPr>
      <w:r>
        <w:t xml:space="preserve">Cambiar a las siguientes rpm y repetir la secuencia completa. Si una curva no permite estimar el equilibrio o presenta cambios de condiciones, conservarla y anotar el motivo por el que no se calcula kLa.</w:t>
      </w:r>
    </w:p>
    <w:p>
      <w:pPr>
        <w:pStyle w:val="FirstParagraph"/>
        <w:jc w:val="both"/>
      </w:pPr>
      <w:r>
        <w:t xml:space="preserve">Se realizará una curva por nivel como barrido de taller. Si queda tiempo, repetir una condición para examinar reproducibilidad. Una sola curva por nivel no permite estimar la variabilidad entre repeticiones.</w:t>
      </w:r>
    </w:p>
    <w:bookmarkEnd w:id="29"/>
    <w:bookmarkEnd w:id="30"/>
    <w:bookmarkStart w:id="33" w:name="registro-experimental"/>
    <w:p>
      <w:pPr>
        <w:pStyle w:val="Heading1"/>
        <w:pageBreakBefore/>
        <w:jc w:val="both"/>
      </w:pPr>
      <w:r>
        <w:t xml:space="preserve">6. Registro experimental</w:t>
      </w:r>
    </w:p>
    <w:p>
      <w:pPr>
        <w:pStyle w:val="FirstParagraph"/>
        <w:jc w:val="both"/>
      </w:pPr>
      <w:r>
        <w:rPr>
          <w:b/>
          <w:bCs/>
        </w:rPr>
        <w:t xml:space="preserve">Equipo:</w:t>
      </w:r>
      <w:r>
        <w:t xml:space="preserve"> </w:t>
      </w:r>
      <w:r>
        <w:t xml:space="preserve">______</w:t>
      </w:r>
      <w:r>
        <w:t xml:space="preserve"> </w:t>
      </w:r>
      <w:r>
        <w:rPr>
          <w:b/>
          <w:bCs/>
        </w:rPr>
        <w:t xml:space="preserve">Fecha/hora:</w:t>
      </w:r>
      <w:r>
        <w:t xml:space="preserve"> </w:t>
      </w:r>
      <w:r>
        <w:t xml:space="preserve">______</w:t>
      </w:r>
      <w:r>
        <w:t xml:space="preserve"> </w:t>
      </w:r>
      <w:r>
        <w:rPr>
          <w:b/>
          <w:bCs/>
        </w:rPr>
        <w:t xml:space="preserve">Responsable:</w:t>
      </w:r>
      <w:r>
        <w:t xml:space="preserve"> </w:t>
      </w:r>
      <w:r>
        <w:t xml:space="preserve">______</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CellMar>
          <w:top w:w="50" w:type="dxa"/>
          <w:left w:w="100" w:type="dxa"/>
          <w:bottom w:w="50" w:type="dxa"/>
          <w:right w:w="100" w:type="dxa"/>
        </w:tblCellMar>
        <w:tblLook w:firstRow="1" w:lastRow="0" w:firstColumn="0" w:lastColumn="0" w:noHBand="0" w:noVBand="0" w:val="0020"/>
      </w:tblPr>
      <w:tblGrid>
        <w:gridCol w:w="3960"/>
        <w:gridCol w:w="3960"/>
      </w:tblGrid>
      <w:tr>
        <w:trPr>
          <w:cantSplit/>
          <w:tblHeader/>
        </w:trPr>
        <w:tc>
          <w:tcPr>
            <w:shd w:val="clear" w:color="auto" w:fill="4E2891"/>
          </w:tcPr>
          <w:p>
            <w:pPr>
              <w:pStyle w:val="Compact"/>
              <w:jc w:val="both"/>
            </w:pPr>
            <w:r>
              <w:rPr>
                <w:b/>
                <w:color w:val="FFFFFF"/>
              </w:rPr>
              <w:t xml:space="preserve">Información</w:t>
            </w:r>
          </w:p>
        </w:tc>
        <w:tc>
          <w:tcPr>
            <w:shd w:val="clear" w:color="auto" w:fill="4E2891"/>
          </w:tcPr>
          <w:p>
            <w:pPr>
              <w:pStyle w:val="Compact"/>
              <w:jc w:val="both"/>
            </w:pPr>
            <w:r>
              <w:rPr>
                <w:b/>
                <w:color w:val="FFFFFF"/>
              </w:rPr>
              <w:t xml:space="preserve">Registro</w:t>
            </w:r>
          </w:p>
        </w:tc>
      </w:tr>
      <w:tr>
        <w:trPr>
          <w:cantSplit/>
          <w:trHeight w:val="454"/>
        </w:trPr>
        <w:tc>
          <w:tcPr/>
          <w:p>
            <w:pPr>
              <w:pStyle w:val="Compact"/>
              <w:jc w:val="both"/>
            </w:pPr>
            <w:r>
              <w:t xml:space="preserve">Reactor: modelo e ID</w:t>
            </w:r>
          </w:p>
        </w:tc>
        <w:tc>
          <w:tcPr/>
          <w:p>
            <w:pPr>
              <w:pStyle w:val="Compact"/>
              <w:jc w:val="both"/>
            </w:pPr>
          </w:p>
        </w:tc>
      </w:tr>
      <w:tr>
        <w:trPr>
          <w:cantSplit/>
          <w:trHeight w:val="454"/>
        </w:trPr>
        <w:tc>
          <w:tcPr/>
          <w:p>
            <w:pPr>
              <w:pStyle w:val="Compact"/>
              <w:jc w:val="both"/>
            </w:pPr>
            <w:r>
              <w:t xml:space="preserve">Sonda de oxígeno: fabricante, modelo e ID</w:t>
            </w:r>
          </w:p>
        </w:tc>
        <w:tc>
          <w:tcPr/>
          <w:p>
            <w:pPr>
              <w:pStyle w:val="Compact"/>
              <w:jc w:val="both"/>
            </w:pPr>
          </w:p>
        </w:tc>
      </w:tr>
      <w:tr>
        <w:trPr>
          <w:cantSplit/>
          <w:trHeight w:val="454"/>
        </w:trPr>
        <w:tc>
          <w:tcPr/>
          <w:p>
            <w:pPr>
              <w:pStyle w:val="Compact"/>
              <w:jc w:val="both"/>
            </w:pPr>
            <w:r>
              <w:t xml:space="preserve">Calibración, referencia de saturación y filtrado disponibles</w:t>
            </w:r>
          </w:p>
        </w:tc>
        <w:tc>
          <w:tcPr/>
          <w:p>
            <w:pPr>
              <w:pStyle w:val="Compact"/>
              <w:jc w:val="both"/>
            </w:pPr>
          </w:p>
        </w:tc>
      </w:tr>
      <w:tr>
        <w:trPr>
          <w:cantSplit/>
          <w:trHeight w:val="454"/>
        </w:trPr>
        <w:tc>
          <w:tcPr/>
          <w:p>
            <w:pPr>
              <w:pStyle w:val="Compact"/>
              <w:jc w:val="both"/>
            </w:pPr>
            <w:r>
              <w:t xml:space="preserve">Volumen real [L]</w:t>
            </w:r>
          </w:p>
        </w:tc>
        <w:tc>
          <w:tcPr/>
          <w:p>
            <w:pPr>
              <w:pStyle w:val="Compact"/>
              <w:jc w:val="both"/>
            </w:pPr>
          </w:p>
        </w:tc>
      </w:tr>
      <w:tr>
        <w:trPr>
          <w:cantSplit/>
          <w:trHeight w:val="454"/>
        </w:trPr>
        <w:tc>
          <w:tcPr/>
          <w:p>
            <w:pPr>
              <w:pStyle w:val="Compact"/>
              <w:jc w:val="both"/>
            </w:pPr>
            <w:r>
              <w:t xml:space="preserve">Agua: procedencia y adiciones</w:t>
            </w:r>
          </w:p>
        </w:tc>
        <w:tc>
          <w:tcPr/>
          <w:p>
            <w:pPr>
              <w:pStyle w:val="Compact"/>
              <w:jc w:val="both"/>
            </w:pPr>
          </w:p>
        </w:tc>
      </w:tr>
      <w:tr>
        <w:trPr>
          <w:cantSplit/>
          <w:trHeight w:val="454"/>
        </w:trPr>
        <w:tc>
          <w:tcPr/>
          <w:p>
            <w:pPr>
              <w:pStyle w:val="Compact"/>
              <w:jc w:val="both"/>
            </w:pPr>
            <w:r>
              <w:t xml:space="preserve">Temperatura [°C] y presión disponible</w:t>
            </w:r>
          </w:p>
        </w:tc>
        <w:tc>
          <w:tcPr/>
          <w:p>
            <w:pPr>
              <w:pStyle w:val="Compact"/>
              <w:jc w:val="both"/>
            </w:pPr>
          </w:p>
        </w:tc>
      </w:tr>
      <w:tr>
        <w:trPr>
          <w:cantSplit/>
          <w:trHeight w:val="454"/>
        </w:trPr>
        <w:tc>
          <w:tcPr/>
          <w:p>
            <w:pPr>
              <w:pStyle w:val="Compact"/>
              <w:jc w:val="both"/>
            </w:pPr>
            <w:r>
              <w:t xml:space="preserve">Caudal de aire y referencia del instrumento</w:t>
            </w:r>
          </w:p>
        </w:tc>
        <w:tc>
          <w:tcPr/>
          <w:p>
            <w:pPr>
              <w:pStyle w:val="Compact"/>
              <w:jc w:val="both"/>
            </w:pPr>
          </w:p>
        </w:tc>
      </w:tr>
      <w:tr>
        <w:trPr>
          <w:cantSplit/>
          <w:trHeight w:val="454"/>
        </w:trPr>
        <w:tc>
          <w:tcPr/>
          <w:p>
            <w:pPr>
              <w:pStyle w:val="Compact"/>
              <w:jc w:val="both"/>
            </w:pPr>
            <w:r>
              <w:t xml:space="preserve">Impulsor, difusor y posición de sonda disponibles</w:t>
            </w:r>
          </w:p>
        </w:tc>
        <w:tc>
          <w:tcPr/>
          <w:p>
            <w:pPr>
              <w:pStyle w:val="Compact"/>
              <w:jc w:val="both"/>
            </w:pPr>
          </w:p>
        </w:tc>
      </w:tr>
      <w:tr>
        <w:trPr>
          <w:cantSplit/>
          <w:trHeight w:val="454"/>
        </w:trPr>
        <w:tc>
          <w:tcPr/>
          <w:p>
            <w:pPr>
              <w:pStyle w:val="Compact"/>
              <w:jc w:val="both"/>
            </w:pPr>
            <w:r>
              <w:t xml:space="preserve">Archivo y frecuencia real de adquisición</w:t>
            </w:r>
          </w:p>
        </w:tc>
        <w:tc>
          <w:tcPr/>
          <w:p>
            <w:pPr>
              <w:pStyle w:val="Compact"/>
              <w:jc w:val="both"/>
            </w:pPr>
          </w:p>
        </w:tc>
      </w:tr>
    </w:tbl>
    <w:bookmarkStart w:id="31" w:name="registro-individual-de-curva"/>
    <w:p>
      <w:pPr>
        <w:pStyle w:val="Heading2"/>
        <w:jc w:val="both"/>
      </w:pPr>
      <w:r>
        <w:t xml:space="preserve">Registro individual de curva</w:t>
      </w:r>
    </w:p>
    <w:p>
      <w:pPr>
        <w:pStyle w:val="FirstParagraph"/>
        <w:jc w:val="both"/>
      </w:pPr>
      <w:r>
        <w:t xml:space="preserve">Completar este bloque para cada velocidad y conservar el archivo digital completo.</w:t>
      </w:r>
    </w:p>
    <w:p>
      <w:pPr>
        <w:pStyle w:val="BodyText"/>
        <w:jc w:val="both"/>
      </w:pPr>
      <w:r>
        <w:rPr>
          <w:b/>
          <w:bCs/>
        </w:rPr>
        <w:t xml:space="preserve">RPM:</w:t>
      </w:r>
      <w:r>
        <w:t xml:space="preserve"> </w:t>
      </w:r>
      <w:r>
        <w:t xml:space="preserve">______</w:t>
      </w:r>
      <w:r>
        <w:t xml:space="preserve"> </w:t>
      </w:r>
      <w:r>
        <w:rPr>
          <w:b/>
          <w:bCs/>
        </w:rPr>
        <w:t xml:space="preserve">Hora del cambio N₂ → aire:</w:t>
      </w:r>
      <w:r>
        <w:t xml:space="preserve"> </w:t>
      </w:r>
      <w:r>
        <w:t xml:space="preserve">______</w:t>
      </w:r>
      <w:r>
        <w:t xml:space="preserve"> </w:t>
      </w:r>
      <w:r>
        <w:rPr>
          <w:b/>
          <w:bCs/>
        </w:rPr>
        <w:t xml:space="preserve">Aire [L/min]:</w:t>
      </w:r>
      <w:r>
        <w:t xml:space="preserve"> </w:t>
      </w:r>
      <w:r>
        <w:t xml:space="preserve">______</w:t>
      </w:r>
    </w:p>
    <w:p>
      <w:pPr>
        <w:pStyle w:val="BodyText"/>
        <w:jc w:val="both"/>
      </w:pPr>
      <w:r>
        <w:rPr>
          <w:b/>
          <w:bCs/>
        </w:rPr>
        <w:t xml:space="preserve">Intervalo inicial:</w:t>
      </w:r>
      <w:r>
        <w:t xml:space="preserve"> </w:t>
      </w:r>
      <w:r>
        <w:t xml:space="preserve">______</w:t>
      </w:r>
      <w:r>
        <w:t xml:space="preserve"> </w:t>
      </w:r>
      <w:r>
        <w:rPr>
          <w:b/>
          <w:bCs/>
        </w:rPr>
        <w:t xml:space="preserve">y₀:</w:t>
      </w:r>
      <w:r>
        <w:t xml:space="preserve"> </w:t>
      </w:r>
      <w:r>
        <w:t xml:space="preserve">______</w:t>
      </w:r>
      <w:r>
        <w:t xml:space="preserve"> </w:t>
      </w:r>
      <w:r>
        <w:rPr>
          <w:b/>
          <w:bCs/>
        </w:rPr>
        <w:t xml:space="preserve">Intervalo final:</w:t>
      </w:r>
      <w:r>
        <w:t xml:space="preserve"> </w:t>
      </w:r>
      <w:r>
        <w:t xml:space="preserve">______</w:t>
      </w:r>
      <w:r>
        <w:t xml:space="preserve"> </w:t>
      </w:r>
      <w:r>
        <w:rPr>
          <w:b/>
          <w:bCs/>
        </w:rPr>
        <w:t xml:space="preserve">y∞:</w:t>
      </w:r>
      <w:r>
        <w:t xml:space="preserve"> </w:t>
      </w:r>
      <w:r>
        <w:t xml:space="preserve">______</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1584"/>
        <w:gridCol w:w="1584"/>
        <w:gridCol w:w="1584"/>
        <w:gridCol w:w="1584"/>
        <w:gridCol w:w="1584"/>
      </w:tblGrid>
      <w:tr>
        <w:trPr>
          <w:cantSplit/>
          <w:tblHeader/>
        </w:trPr>
        <w:tc>
          <w:tcPr>
            <w:shd w:val="clear" w:color="auto" w:fill="4E2891"/>
          </w:tcPr>
          <w:p>
            <w:pPr>
              <w:pStyle w:val="Compact"/>
              <w:jc w:val="both"/>
            </w:pPr>
            <w:r>
              <w:rPr>
                <w:b/>
                <w:color w:val="FFFFFF"/>
              </w:rPr>
              <w:t xml:space="preserve">Tiempo desde el cambio [s]</w:t>
            </w:r>
          </w:p>
        </w:tc>
        <w:tc>
          <w:tcPr>
            <w:shd w:val="clear" w:color="auto" w:fill="4E2891"/>
          </w:tcPr>
          <w:p>
            <w:pPr>
              <w:pStyle w:val="Compact"/>
              <w:jc w:val="both"/>
            </w:pPr>
            <w:r>
              <w:rPr>
                <w:b/>
                <w:color w:val="FFFFFF"/>
              </w:rPr>
              <w:t xml:space="preserve">Oxígeno [% de saturación]</w:t>
            </w:r>
          </w:p>
        </w:tc>
        <w:tc>
          <w:tcPr>
            <w:shd w:val="clear" w:color="auto" w:fill="4E2891"/>
          </w:tcPr>
          <w:p>
            <w:pPr>
              <w:pStyle w:val="Compact"/>
              <w:jc w:val="both"/>
            </w:pPr>
            <w:r>
              <w:rPr>
                <w:b/>
                <w:color w:val="FFFFFF"/>
              </w:rPr>
              <w:t xml:space="preserve">Recorrido r</w:t>
            </w:r>
          </w:p>
        </w:tc>
        <w:tc>
          <w:tcPr>
            <w:shd w:val="clear" w:color="auto" w:fill="4E2891"/>
          </w:tcPr>
          <w:p>
            <w:pPr>
              <w:pStyle w:val="Compact"/>
              <w:jc w:val="both"/>
            </w:pPr>
            <w:r>
              <w:rPr>
                <w:b/>
                <w:color w:val="FFFFFF"/>
              </w:rPr>
              <w:t xml:space="preserve">Y = ln[(y∞ − y₀)/(y∞ − y)]</w:t>
            </w:r>
          </w:p>
        </w:tc>
        <w:tc>
          <w:tcPr>
            <w:shd w:val="clear" w:color="auto" w:fill="4E2891"/>
          </w:tcPr>
          <w:p>
            <w:pPr>
              <w:pStyle w:val="Compact"/>
              <w:jc w:val="both"/>
            </w:pPr>
            <w:r>
              <w:rPr>
                <w:b/>
                <w:color w:val="FFFFFF"/>
              </w:rPr>
              <w:t xml:space="preserve">Usado en el ajuste</w:t>
            </w: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bl>
    <w:p>
      <w:pPr>
        <w:pStyle w:val="BodyText"/>
        <w:spacing w:before="160"/>
        <w:jc w:val="both"/>
      </w:pPr>
      <w:r>
        <w:rPr>
          <w:b/>
          <w:bCs/>
        </w:rPr>
        <w:t xml:space="preserve">Tramo ajustado [s]:</w:t>
      </w:r>
      <w:r>
        <w:t xml:space="preserve"> </w:t>
      </w:r>
      <w:r>
        <w:t xml:space="preserve">______</w:t>
      </w:r>
      <w:r>
        <w:t xml:space="preserve"> </w:t>
      </w:r>
      <w:r>
        <w:rPr>
          <w:b/>
          <w:bCs/>
        </w:rPr>
        <w:t xml:space="preserve">Número de puntos:</w:t>
      </w:r>
      <w:r>
        <w:t xml:space="preserve"> </w:t>
      </w:r>
      <w:r>
        <w:t xml:space="preserve">______</w:t>
      </w:r>
      <w:r>
        <w:t xml:space="preserve"> </w:t>
      </w:r>
      <w:r>
        <w:rPr>
          <w:b/>
          <w:bCs/>
        </w:rPr>
        <w:t xml:space="preserve">Pendiente [s⁻¹]:</w:t>
      </w:r>
      <w:r>
        <w:t xml:space="preserve"> </w:t>
      </w:r>
      <w:r>
        <w:t xml:space="preserve">______</w:t>
      </w:r>
    </w:p>
    <w:p>
      <w:pPr>
        <w:pStyle w:val="BodyText"/>
        <w:jc w:val="both"/>
      </w:pPr>
      <w:r>
        <w:rPr>
          <w:b/>
          <w:bCs/>
        </w:rPr>
        <w:t xml:space="preserve">kLa [h⁻¹]:</w:t>
      </w:r>
      <w:r>
        <w:t xml:space="preserve"> </w:t>
      </w:r>
      <w:r>
        <w:t xml:space="preserve">______</w:t>
      </w:r>
      <w:r>
        <w:t xml:space="preserve"> </w:t>
      </w:r>
      <w:r>
        <w:rPr>
          <w:b/>
          <w:bCs/>
        </w:rPr>
        <w:t xml:space="preserve">Ordenada al origen:</w:t>
      </w:r>
      <w:r>
        <w:t xml:space="preserve"> </w:t>
      </w:r>
      <w:r>
        <w:t xml:space="preserve">______</w:t>
      </w:r>
      <w:r>
        <w:t xml:space="preserve"> </w:t>
      </w:r>
      <w:r>
        <w:rPr>
          <w:b/>
          <w:bCs/>
        </w:rPr>
        <w:t xml:space="preserve">R²:</w:t>
      </w:r>
      <w:r>
        <w:t xml:space="preserve"> </w:t>
      </w:r>
      <w:r>
        <w:t xml:space="preserve">______</w:t>
      </w:r>
    </w:p>
    <w:p>
      <w:pPr>
        <w:pStyle w:val="BodyText"/>
        <w:jc w:val="both"/>
      </w:pPr>
      <w:r>
        <w:rPr>
          <w:b/>
          <w:bCs/>
        </w:rPr>
        <w:t xml:space="preserve">Incidentes y revisión del ajuste:</w:t>
      </w:r>
      <w:r>
        <w:t xml:space="preserve"> </w:t>
      </w:r>
      <w:r>
        <w:t xml:space="preserve">________________________________________</w:t>
      </w:r>
    </w:p>
    <w:bookmarkEnd w:id="31"/>
    <w:bookmarkStart w:id="32" w:name="resultados-del-barrido"/>
    <w:p>
      <w:pPr>
        <w:pStyle w:val="Heading2"/>
        <w:jc w:val="both"/>
      </w:pPr>
      <w:r>
        <w:t xml:space="preserve">Resultados del barrido</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1131"/>
        <w:gridCol w:w="1131"/>
        <w:gridCol w:w="1131"/>
        <w:gridCol w:w="1131"/>
        <w:gridCol w:w="1131"/>
        <w:gridCol w:w="1131"/>
        <w:gridCol w:w="1131"/>
      </w:tblGrid>
      <w:tr>
        <w:trPr>
          <w:cantSplit/>
          <w:tblHeader/>
        </w:trPr>
        <w:tc>
          <w:tcPr>
            <w:shd w:val="clear" w:color="auto" w:fill="4E2891"/>
          </w:tcPr>
          <w:p>
            <w:pPr>
              <w:pStyle w:val="Compact"/>
              <w:jc w:val="both"/>
            </w:pPr>
            <w:r>
              <w:rPr>
                <w:b/>
                <w:color w:val="FFFFFF"/>
              </w:rPr>
              <w:t xml:space="preserve">RPM</w:t>
            </w:r>
          </w:p>
        </w:tc>
        <w:tc>
          <w:tcPr>
            <w:shd w:val="clear" w:color="auto" w:fill="4E2891"/>
          </w:tcPr>
          <w:p>
            <w:pPr>
              <w:pStyle w:val="Compact"/>
              <w:jc w:val="both"/>
            </w:pPr>
            <w:r>
              <w:rPr>
                <w:b/>
                <w:color w:val="FFFFFF"/>
              </w:rPr>
              <w:t xml:space="preserve">Aire [L/min]</w:t>
            </w:r>
          </w:p>
        </w:tc>
        <w:tc>
          <w:tcPr>
            <w:shd w:val="clear" w:color="auto" w:fill="4E2891"/>
          </w:tcPr>
          <w:p>
            <w:pPr>
              <w:pStyle w:val="Compact"/>
              <w:jc w:val="both"/>
            </w:pPr>
            <w:r>
              <w:rPr>
                <w:b/>
                <w:color w:val="FFFFFF"/>
              </w:rPr>
              <w:t xml:space="preserve">Temperatura [°C]</w:t>
            </w:r>
          </w:p>
        </w:tc>
        <w:tc>
          <w:tcPr>
            <w:shd w:val="clear" w:color="auto" w:fill="4E2891"/>
          </w:tcPr>
          <w:p>
            <w:pPr>
              <w:pStyle w:val="Compact"/>
              <w:jc w:val="both"/>
            </w:pPr>
            <w:r>
              <w:rPr>
                <w:b/>
                <w:color w:val="FFFFFF"/>
              </w:rPr>
              <w:t xml:space="preserve">y₀ / y∞ [%]</w:t>
            </w:r>
          </w:p>
        </w:tc>
        <w:tc>
          <w:tcPr>
            <w:shd w:val="clear" w:color="auto" w:fill="4E2891"/>
          </w:tcPr>
          <w:p>
            <w:pPr>
              <w:pStyle w:val="Compact"/>
              <w:jc w:val="both"/>
            </w:pPr>
            <w:r>
              <w:rPr>
                <w:b/>
                <w:color w:val="FFFFFF"/>
              </w:rPr>
              <w:t xml:space="preserve">Tramo [s]</w:t>
            </w:r>
          </w:p>
        </w:tc>
        <w:tc>
          <w:tcPr>
            <w:shd w:val="clear" w:color="auto" w:fill="4E2891"/>
          </w:tcPr>
          <w:p>
            <w:pPr>
              <w:pStyle w:val="Compact"/>
              <w:jc w:val="both"/>
            </w:pPr>
            <w:r>
              <w:rPr>
                <w:b/>
                <w:color w:val="FFFFFF"/>
              </w:rPr>
              <w:t xml:space="preserve">kLa [h⁻¹]</w:t>
            </w:r>
          </w:p>
        </w:tc>
        <w:tc>
          <w:tcPr>
            <w:shd w:val="clear" w:color="auto" w:fill="4E2891"/>
          </w:tcPr>
          <w:p>
            <w:pPr>
              <w:pStyle w:val="Compact"/>
              <w:jc w:val="both"/>
            </w:pPr>
            <w:r>
              <w:rPr>
                <w:b/>
                <w:color w:val="FFFFFF"/>
              </w:rPr>
              <w:t xml:space="preserve">R² / observaciones</w:t>
            </w:r>
          </w:p>
        </w:tc>
      </w:tr>
      <w:tr>
        <w:trPr>
          <w:cantSplit/>
          <w:trHeight w:val="454"/>
        </w:trPr>
        <w:tc>
          <w:tcPr/>
          <w:p>
            <w:pPr>
              <w:pStyle w:val="Compact"/>
              <w:jc w:val="both"/>
            </w:pPr>
            <w:r>
              <w:t xml:space="preserve">200</w:t>
            </w:r>
          </w:p>
        </w:tc>
        <w:tc>
          <w:tcPr/>
          <w:p>
            <w:pPr>
              <w:pStyle w:val="Compact"/>
              <w:jc w:val="both"/>
            </w:pPr>
            <w:r>
              <w:t xml:space="preserve">15</w:t>
            </w:r>
          </w:p>
        </w:tc>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r>
              <w:t xml:space="preserve">400</w:t>
            </w:r>
          </w:p>
        </w:tc>
        <w:tc>
          <w:tcPr/>
          <w:p>
            <w:pPr>
              <w:pStyle w:val="Compact"/>
              <w:jc w:val="both"/>
            </w:pPr>
            <w:r>
              <w:t xml:space="preserve">15</w:t>
            </w:r>
          </w:p>
        </w:tc>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r>
              <w:t xml:space="preserve">600</w:t>
            </w:r>
          </w:p>
        </w:tc>
        <w:tc>
          <w:tcPr/>
          <w:p>
            <w:pPr>
              <w:pStyle w:val="Compact"/>
              <w:jc w:val="both"/>
            </w:pPr>
            <w:r>
              <w:t xml:space="preserve">15</w:t>
            </w:r>
          </w:p>
        </w:tc>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r>
              <w:t xml:space="preserve">800</w:t>
            </w:r>
          </w:p>
        </w:tc>
        <w:tc>
          <w:tcPr/>
          <w:p>
            <w:pPr>
              <w:pStyle w:val="Compact"/>
              <w:jc w:val="both"/>
            </w:pPr>
            <w:r>
              <w:t xml:space="preserve">15</w:t>
            </w:r>
          </w:p>
        </w:tc>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Height w:val="454"/>
        </w:trPr>
        <w:tc>
          <w:tcPr/>
          <w:p>
            <w:pPr>
              <w:pStyle w:val="Compact"/>
              <w:jc w:val="both"/>
            </w:pPr>
            <w:r>
              <w:t xml:space="preserve">1000</w:t>
            </w:r>
          </w:p>
        </w:tc>
        <w:tc>
          <w:tcPr/>
          <w:p>
            <w:pPr>
              <w:pStyle w:val="Compact"/>
              <w:jc w:val="both"/>
            </w:pPr>
            <w:r>
              <w:t xml:space="preserve">15</w:t>
            </w:r>
          </w:p>
        </w:tc>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bl>
    <w:bookmarkEnd w:id="32"/>
    <w:bookmarkEnd w:id="33"/>
    <w:bookmarkStart w:id="38" w:name="variables-que-afectan-kla"/>
    <w:p>
      <w:pPr>
        <w:pStyle w:val="Heading1"/>
        <w:jc w:val="both"/>
      </w:pPr>
      <w:r>
        <w:t xml:space="preserve">7. Variables que afectan kLa</w:t>
      </w:r>
    </w:p>
    <w:bookmarkStart w:id="34" w:name="agitación"/>
    <w:p>
      <w:pPr>
        <w:pStyle w:val="Heading2"/>
        <w:jc w:val="both"/>
      </w:pPr>
      <w:r>
        <w:t xml:space="preserve">Agitación</w:t>
      </w:r>
    </w:p>
    <w:p>
      <w:pPr>
        <w:pStyle w:val="FirstParagraph"/>
        <w:jc w:val="both"/>
      </w:pPr>
      <w:r>
        <w:t xml:space="preserve">Al aumentar las rpm se favorece la dispersión de burbujas y se renueva la interfase gas–líquido, lo que puede incrementar kLa. El efecto depende de la geometría, la potencia suministrada y el régimen de flujo. El barrido del taller estudia esta variable entre 200 y 1000 rpm.</w:t>
      </w:r>
    </w:p>
    <w:bookmarkEnd w:id="34"/>
    <w:bookmarkStart w:id="35" w:name="caudal-de-aire"/>
    <w:p>
      <w:pPr>
        <w:pStyle w:val="Heading2"/>
        <w:jc w:val="both"/>
      </w:pPr>
      <w:r>
        <w:t xml:space="preserve">Caudal de aire</w:t>
      </w:r>
    </w:p>
    <w:p>
      <w:pPr>
        <w:pStyle w:val="FirstParagraph"/>
        <w:jc w:val="both"/>
      </w:pPr>
      <w:r>
        <w:t xml:space="preserve">Un mayor caudal suele incrementar la retención de gas y el área interfacial, aunque también puede causar coalescencia, inundación del impulsor o cambios en el régimen de dispersión. En este taller se mantiene fijo en 0.5 vvm; no se estudia su efecto de manera independiente.</w:t>
      </w:r>
    </w:p>
    <w:bookmarkEnd w:id="35"/>
    <w:bookmarkStart w:id="36" w:name="geometría-y-volumen-de-trabajo"/>
    <w:p>
      <w:pPr>
        <w:pStyle w:val="Heading2"/>
        <w:jc w:val="both"/>
      </w:pPr>
      <w:r>
        <w:t xml:space="preserve">Geometría y volumen de trabajo</w:t>
      </w:r>
    </w:p>
    <w:p>
      <w:pPr>
        <w:pStyle w:val="FirstParagraph"/>
        <w:jc w:val="both"/>
      </w:pPr>
      <w:r>
        <w:t xml:space="preserve">El diámetro del tanque, el impulsor, el difusor, los deflectores y la altura del líquido modifican la circulación y la dispersión del gas. Por ello, no basta comparar las rpm de dos reactores para concluir que tienen la misma transferencia de oxígeno.</w:t>
      </w:r>
    </w:p>
    <w:bookmarkEnd w:id="36"/>
    <w:bookmarkStart w:id="37" w:name="propiedades-del-medio"/>
    <w:p>
      <w:pPr>
        <w:pStyle w:val="Heading2"/>
        <w:jc w:val="both"/>
      </w:pPr>
      <w:r>
        <w:t xml:space="preserve">Propiedades del medio</w:t>
      </w:r>
    </w:p>
    <w:p>
      <w:pPr>
        <w:pStyle w:val="FirstParagraph"/>
        <w:jc w:val="both"/>
      </w:pPr>
      <w:r>
        <w:t xml:space="preserve">La viscosidad, la tensión superficial, las sales, los antiespumantes y las proteínas pueden modificar la coalescencia de las burbujas y la transferencia de masa. Los resultados del agua no se trasladan directamente a un medio de cultivo.</w:t>
      </w:r>
    </w:p>
    <w:bookmarkEnd w:id="37"/>
    <w:bookmarkEnd w:id="38"/>
    <w:bookmarkStart w:id="39" w:name="fuentes-de-error-y-revisión-del-ajuste"/>
    <w:p>
      <w:pPr>
        <w:pStyle w:val="Heading1"/>
        <w:jc w:val="both"/>
      </w:pPr>
      <w:r>
        <w:t xml:space="preserve">8. Fuentes de error y revisión del ajuste</w:t>
      </w:r>
    </w:p>
    <w:p>
      <w:pPr>
        <w:pStyle w:val="FirstParagraph"/>
        <w:jc w:val="both"/>
      </w:pPr>
      <w:r>
        <w:t xml:space="preserve">La sonda de oxígeno tiene un tiempo de respuesta finito. Si es comparable con el tiempo característico de transferencia</w:t>
      </w:r>
      <w:r>
        <w:t xml:space="preserve"> </w:t>
      </w:r>
      <m:oMath>
        <m:r>
          <m:t>1</m:t>
        </m:r>
        <m:r>
          <m:rPr>
            <m:sty m:val="p"/>
          </m:rPr>
          <m:t>/</m:t>
        </m:r>
        <m:sSub>
          <m:e>
            <m:r>
              <m:t>k</m:t>
            </m:r>
          </m:e>
          <m:sub>
            <m:r>
              <m:t>L</m:t>
            </m:r>
          </m:sub>
        </m:sSub>
        <m:r>
          <m:t>a</m:t>
        </m:r>
      </m:oMath>
      <w:r>
        <w:t xml:space="preserve">, el valor estimado puede resultar sesgado. Esto debe revisarse especialmente en las curvas más rápidas.</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2640"/>
        <w:gridCol w:w="2640"/>
        <w:gridCol w:w="2640"/>
      </w:tblGrid>
      <w:tr>
        <w:trPr>
          <w:cantSplit/>
          <w:tblHeader/>
        </w:trPr>
        <w:tc>
          <w:tcPr>
            <w:shd w:val="clear" w:color="auto" w:fill="4E2891"/>
          </w:tcPr>
          <w:p>
            <w:pPr>
              <w:pStyle w:val="Compact"/>
              <w:jc w:val="both"/>
            </w:pPr>
            <w:r>
              <w:rPr>
                <w:b/>
                <w:color w:val="FFFFFF"/>
              </w:rPr>
              <w:t xml:space="preserve">Observación</w:t>
            </w:r>
          </w:p>
        </w:tc>
        <w:tc>
          <w:tcPr>
            <w:shd w:val="clear" w:color="auto" w:fill="4E2891"/>
          </w:tcPr>
          <w:p>
            <w:pPr>
              <w:pStyle w:val="Compact"/>
              <w:jc w:val="both"/>
            </w:pPr>
            <w:r>
              <w:rPr>
                <w:b/>
                <w:color w:val="FFFFFF"/>
              </w:rPr>
              <w:t xml:space="preserve">Posible causa</w:t>
            </w:r>
          </w:p>
        </w:tc>
        <w:tc>
          <w:tcPr>
            <w:shd w:val="clear" w:color="auto" w:fill="4E2891"/>
          </w:tcPr>
          <w:p>
            <w:pPr>
              <w:pStyle w:val="Compact"/>
              <w:jc w:val="both"/>
            </w:pPr>
            <w:r>
              <w:rPr>
                <w:b/>
                <w:color w:val="FFFFFF"/>
              </w:rPr>
              <w:t xml:space="preserve">Revisión</w:t>
            </w:r>
          </w:p>
        </w:tc>
      </w:tr>
      <w:tr>
        <w:trPr>
          <w:cantSplit/>
        </w:trPr>
        <w:tc>
          <w:tcPr/>
          <w:p>
            <w:pPr>
              <w:pStyle w:val="Compact"/>
              <w:jc w:val="both"/>
            </w:pPr>
            <w:r>
              <w:t xml:space="preserve">Curva muy lenta</w:t>
            </w:r>
          </w:p>
        </w:tc>
        <w:tc>
          <w:tcPr/>
          <w:p>
            <w:pPr>
              <w:pStyle w:val="Compact"/>
              <w:jc w:val="both"/>
            </w:pPr>
            <w:r>
              <w:t xml:space="preserve">Caudal insuficiente, baja agitación o suministro de gas inestable</w:t>
            </w:r>
          </w:p>
        </w:tc>
        <w:tc>
          <w:tcPr/>
          <w:p>
            <w:pPr>
              <w:pStyle w:val="Compact"/>
              <w:jc w:val="both"/>
            </w:pPr>
            <w:r>
              <w:t xml:space="preserve">Comprobar caudal, rpm y difusor.</w:t>
            </w:r>
          </w:p>
        </w:tc>
      </w:tr>
      <w:tr>
        <w:trPr>
          <w:cantSplit/>
        </w:trPr>
        <w:tc>
          <w:tcPr/>
          <w:p>
            <w:pPr>
              <w:pStyle w:val="Compact"/>
              <w:jc w:val="both"/>
            </w:pPr>
            <w:r>
              <w:t xml:space="preserve">Curva irregular</w:t>
            </w:r>
          </w:p>
        </w:tc>
        <w:tc>
          <w:tcPr/>
          <w:p>
            <w:pPr>
              <w:pStyle w:val="Compact"/>
              <w:jc w:val="both"/>
            </w:pPr>
            <w:r>
              <w:t xml:space="preserve">Burbujas en la sonda o mezcla no homogénea</w:t>
            </w:r>
          </w:p>
        </w:tc>
        <w:tc>
          <w:tcPr/>
          <w:p>
            <w:pPr>
              <w:pStyle w:val="Compact"/>
              <w:jc w:val="both"/>
            </w:pPr>
            <w:r>
              <w:t xml:space="preserve">Revisar posición de sonda y dispersión del gas.</w:t>
            </w:r>
          </w:p>
        </w:tc>
      </w:tr>
      <w:tr>
        <w:trPr>
          <w:cantSplit/>
        </w:trPr>
        <w:tc>
          <w:tcPr/>
          <w:p>
            <w:pPr>
              <w:pStyle w:val="Compact"/>
              <w:jc w:val="both"/>
            </w:pPr>
            <w:r>
              <w:t xml:space="preserve">Diferencias entre repeticiones</w:t>
            </w:r>
          </w:p>
        </w:tc>
        <w:tc>
          <w:tcPr/>
          <w:p>
            <w:pPr>
              <w:pStyle w:val="Compact"/>
              <w:jc w:val="both"/>
            </w:pPr>
            <w:r>
              <w:t xml:space="preserve">Cambios de condiciones o de selección del tramo</w:t>
            </w:r>
          </w:p>
        </w:tc>
        <w:tc>
          <w:tcPr/>
          <w:p>
            <w:pPr>
              <w:pStyle w:val="Compact"/>
              <w:jc w:val="both"/>
            </w:pPr>
            <w:r>
              <w:t xml:space="preserve">Comparar temperatura, caudal, mesetas y criterios de ajuste.</w:t>
            </w:r>
          </w:p>
        </w:tc>
      </w:tr>
      <w:tr>
        <w:trPr>
          <w:cantSplit/>
        </w:trPr>
        <w:tc>
          <w:tcPr/>
          <w:p>
            <w:pPr>
              <w:pStyle w:val="Compact"/>
              <w:jc w:val="both"/>
            </w:pPr>
            <w:r>
              <w:t xml:space="preserve">Pendiente negativa o logaritmo indefinido</w:t>
            </w:r>
          </w:p>
        </w:tc>
        <w:tc>
          <w:tcPr/>
          <w:p>
            <w:pPr>
              <w:pStyle w:val="Compact"/>
              <w:jc w:val="both"/>
            </w:pPr>
            <w:r>
              <w:t xml:space="preserve">Transformación o equilibrio mal definidos</w:t>
            </w:r>
          </w:p>
        </w:tc>
        <w:tc>
          <w:tcPr/>
          <w:p>
            <w:pPr>
              <w:pStyle w:val="Compact"/>
              <w:jc w:val="both"/>
            </w:pPr>
            <w:r>
              <w:t xml:space="preserve">Revisar unidades, mesetas y datos de origen.</w:t>
            </w:r>
          </w:p>
        </w:tc>
      </w:tr>
      <w:tr>
        <w:trPr>
          <w:cantSplit/>
        </w:trPr>
        <w:tc>
          <w:tcPr/>
          <w:p>
            <w:pPr>
              <w:pStyle w:val="Compact"/>
              <w:jc w:val="both"/>
            </w:pPr>
            <w:r>
              <w:t xml:space="preserve">Ajuste lineal deficiente</w:t>
            </w:r>
          </w:p>
        </w:tc>
        <w:tc>
          <w:tcPr/>
          <w:p>
            <w:pPr>
              <w:pStyle w:val="Compact"/>
              <w:jc w:val="both"/>
            </w:pPr>
            <w:r>
              <w:t xml:space="preserve">Dinámica de sonda, conmutación de gas o condiciones variables</w:t>
            </w:r>
          </w:p>
        </w:tc>
        <w:tc>
          <w:tcPr/>
          <w:p>
            <w:pPr>
              <w:pStyle w:val="Compact"/>
              <w:jc w:val="both"/>
            </w:pPr>
            <w:r>
              <w:t xml:space="preserve">Revisar el registro completo y el tramo elegido.</w:t>
            </w:r>
          </w:p>
        </w:tc>
      </w:tr>
      <w:tr>
        <w:trPr>
          <w:cantSplit/>
        </w:trPr>
        <w:tc>
          <w:tcPr/>
          <w:p>
            <w:pPr>
              <w:pStyle w:val="Compact"/>
              <w:jc w:val="both"/>
            </w:pPr>
            <w:r>
              <w:t xml:space="preserve">Diferencias entre sondas</w:t>
            </w:r>
          </w:p>
        </w:tc>
        <w:tc>
          <w:tcPr/>
          <w:p>
            <w:pPr>
              <w:pStyle w:val="Compact"/>
              <w:jc w:val="both"/>
            </w:pPr>
            <w:r>
              <w:t xml:space="preserve">Calibración, filtrado o respuesta dinámica diferentes</w:t>
            </w:r>
          </w:p>
        </w:tc>
        <w:tc>
          <w:tcPr/>
          <w:p>
            <w:pPr>
              <w:pStyle w:val="Compact"/>
              <w:jc w:val="both"/>
            </w:pPr>
            <w:r>
              <w:t xml:space="preserve">Comprobar los sistemas de medición antes de comparar.</w:t>
            </w:r>
          </w:p>
        </w:tc>
      </w:tr>
    </w:tbl>
    <w:bookmarkEnd w:id="39"/>
    <w:bookmarkStart w:id="40" w:name="interpretación-y-entrega-de-resultados"/>
    <w:p>
      <w:pPr>
        <w:pStyle w:val="Heading1"/>
        <w:jc w:val="both"/>
      </w:pPr>
      <w:r>
        <w:t xml:space="preserve">9. Interpretación y entrega de resultados</w:t>
      </w:r>
    </w:p>
    <w:p>
      <w:pPr>
        <w:pStyle w:val="FirstParagraph"/>
        <w:jc w:val="both"/>
      </w:pPr>
      <w:r>
        <w:t xml:space="preserve">Para cada velocidad, presentar la curva de oxígeno frente al tiempo y la gráfica de Y con su recta ajustada. Construir después una gráfica de dispersión con</w:t>
      </w:r>
      <w:r>
        <w:t xml:space="preserve"> </w:t>
      </w:r>
      <w:r>
        <w:rPr>
          <w:b/>
          <w:bCs/>
        </w:rPr>
        <w:t xml:space="preserve">rpm en el eje horizontal y kLa [h⁻¹] en el vertical</w:t>
      </w:r>
      <w:r>
        <w:t xml:space="preserve">. Identificar equipo, volumen, caudal y temperatura. Los puntos pueden unirse para facilitar la lectura; esa línea no constituye por sí sola un modelo de predicción.</w:t>
      </w:r>
    </w:p>
    <w:p>
      <w:pPr>
        <w:pStyle w:val="BodyText"/>
        <w:jc w:val="both"/>
      </w:pPr>
      <w:r>
        <w:t xml:space="preserve">La plantilla</w:t>
      </w:r>
      <w:r>
        <w:t xml:space="preserve"> </w:t>
      </w:r>
      <w:r>
        <w:rPr>
          <w:rStyle w:val="VerbatimChar"/>
        </w:rPr>
        <w:t xml:space="preserve">Calculo_kLa.xlsx</w:t>
      </w:r>
      <w:r>
        <w:t xml:space="preserve"> </w:t>
      </w:r>
      <w:r>
        <w:t xml:space="preserve">contiene una hoja por velocidad y un resumen del barrido. Los campos de tiempo y oxígeno se llenan con el registro real; las mesetas inicial y final se introducen después de revisar cada curva. La plantilla utiliza segundos y el intervalo de 20–80 % del recorrido como selección inicial. No contiene datos experimentales ni resultados de referencia.</w:t>
      </w:r>
    </w:p>
    <w:p>
      <w:pPr>
        <w:pStyle w:val="BodyText"/>
        <w:jc w:val="both"/>
      </w:pPr>
      <w:r>
        <w:t xml:space="preserve">Un R² elevado no demuestra por sí solo que la medición sea válida. Revisar también curvatura, residuos, resolución temporal, estabilidad del aire y la temperatura, y respuesta de la sonda. Si la transferencia es tan rápida que la dinámica de la sonda resulta comparable, reportar el resultado como una estimación aparente y discutir la limitación.</w:t>
      </w:r>
    </w:p>
    <w:bookmarkEnd w:id="40"/>
    <w:bookmarkStart w:id="41" w:name="preguntas-para-la-discusión"/>
    <w:p>
      <w:pPr>
        <w:pStyle w:val="Heading1"/>
        <w:jc w:val="both"/>
      </w:pPr>
      <w:r>
        <w:t xml:space="preserve">10. Preguntas para la discusión</w:t>
      </w:r>
    </w:p>
    <w:p>
      <w:pPr>
        <w:pStyle w:val="Compact"/>
        <w:numPr>
          <w:ilvl w:val="0"/>
          <w:numId w:val="1003"/>
        </w:numPr>
        <w:jc w:val="both"/>
      </w:pPr>
      <w:r>
        <w:t xml:space="preserve">¿Cómo cambió kLa con las rpm a caudal y volumen constantes? ¿Qué condiciones podrían explicar una tendencia irregular?</w:t>
      </w:r>
    </w:p>
    <w:p>
      <w:pPr>
        <w:pStyle w:val="Compact"/>
        <w:numPr>
          <w:ilvl w:val="0"/>
          <w:numId w:val="1003"/>
        </w:numPr>
        <w:jc w:val="both"/>
      </w:pPr>
      <w:r>
        <w:t xml:space="preserve">¿Por qué disminuye la velocidad de aumento del oxígeno al acercarse a la saturación?</w:t>
      </w:r>
    </w:p>
    <w:p>
      <w:pPr>
        <w:pStyle w:val="Compact"/>
        <w:numPr>
          <w:ilvl w:val="0"/>
          <w:numId w:val="1003"/>
        </w:numPr>
        <w:jc w:val="both"/>
      </w:pPr>
      <w:r>
        <w:t xml:space="preserve">¿Qué efecto tendría usar 100 % como equilibrio si la meseta observada fuera diferente?</w:t>
      </w:r>
    </w:p>
    <w:p>
      <w:pPr>
        <w:pStyle w:val="Compact"/>
        <w:numPr>
          <w:ilvl w:val="0"/>
          <w:numId w:val="1003"/>
        </w:numPr>
        <w:jc w:val="both"/>
      </w:pPr>
      <w:r>
        <w:t xml:space="preserve">¿Qué limita el cálculo cuando una curva tiene pocos puntos o no llega a una meseta?</w:t>
      </w:r>
    </w:p>
    <w:p>
      <w:pPr>
        <w:pStyle w:val="Compact"/>
        <w:numPr>
          <w:ilvl w:val="0"/>
          <w:numId w:val="1003"/>
        </w:numPr>
        <w:jc w:val="both"/>
      </w:pPr>
      <w:r>
        <w:t xml:space="preserve">¿Por qué no basta comparar las rpm de reactores con distinta geometría o volumen?</w:t>
      </w:r>
    </w:p>
    <w:p>
      <w:pPr>
        <w:pStyle w:val="Compact"/>
        <w:numPr>
          <w:ilvl w:val="0"/>
          <w:numId w:val="1003"/>
        </w:numPr>
        <w:jc w:val="both"/>
      </w:pPr>
      <w:r>
        <w:t xml:space="preserve">¿Cómo cambiaría la interpretación en un medio con proteínas, antiespumante o células que consumen oxígeno?</w:t>
      </w:r>
    </w:p>
    <w:p>
      <w:pPr>
        <w:pStyle w:val="Compact"/>
        <w:numPr>
          <w:ilvl w:val="0"/>
          <w:numId w:val="1003"/>
        </w:numPr>
        <w:jc w:val="both"/>
      </w:pPr>
      <w:r>
        <w:t xml:space="preserve">¿Por qué un kLa alto en agua no demuestra por sí solo que un cultivo CHO tendrá oxígeno suficiente?</w:t>
      </w:r>
    </w:p>
    <w:bookmarkEnd w:id="41"/>
    <w:bookmarkStart w:id="42" w:name="bibliografía-técnica-recomendada"/>
    <w:p>
      <w:pPr>
        <w:pStyle w:val="Heading1"/>
        <w:jc w:val="both"/>
      </w:pPr>
      <w:r>
        <w:t xml:space="preserve">11. Bibliografía técnica recomendada</w:t>
      </w:r>
    </w:p>
    <w:p>
      <w:pPr>
        <w:pStyle w:val="Compact"/>
        <w:numPr>
          <w:ilvl w:val="0"/>
          <w:numId w:val="1004"/>
        </w:numPr>
        <w:jc w:val="both"/>
      </w:pPr>
      <w:r>
        <w:t xml:space="preserve">García-Ochoa, F. y Gómez, E. (2009). Bioreactor scale-up and oxygen transfer rate in microbial processes: An overview.</w:t>
      </w:r>
      <w:r>
        <w:t xml:space="preserve"> </w:t>
      </w:r>
      <w:r>
        <w:rPr>
          <w:i/>
          <w:iCs/>
        </w:rPr>
        <w:t xml:space="preserve">Biotechnology Advances</w:t>
      </w:r>
      <w:r>
        <w:t xml:space="preserve">, 27, 153–176.</w:t>
      </w:r>
    </w:p>
    <w:p>
      <w:pPr>
        <w:pStyle w:val="Compact"/>
        <w:numPr>
          <w:ilvl w:val="0"/>
          <w:numId w:val="1004"/>
        </w:numPr>
        <w:jc w:val="both"/>
      </w:pPr>
      <w:r>
        <w:t xml:space="preserve">van’t Riet, K. (1979). Review of Measuring Methods and Results in Nonviscous Gas-Liquid Mass Transfer in Stirred Vessels.</w:t>
      </w:r>
      <w:r>
        <w:t xml:space="preserve"> </w:t>
      </w:r>
      <w:r>
        <w:rPr>
          <w:i/>
          <w:iCs/>
        </w:rPr>
        <w:t xml:space="preserve">Industrial &amp; Engineering Chemistry Process Design and Development</w:t>
      </w:r>
      <w:r>
        <w:t xml:space="preserve">, 18, 357–364.</w:t>
      </w:r>
    </w:p>
    <w:p>
      <w:pPr>
        <w:pStyle w:val="Compact"/>
        <w:numPr>
          <w:ilvl w:val="0"/>
          <w:numId w:val="1004"/>
        </w:numPr>
        <w:jc w:val="both"/>
      </w:pPr>
      <w:r>
        <w:t xml:space="preserve">Doran, P. M. (2013).</w:t>
      </w:r>
      <w:r>
        <w:t xml:space="preserve"> </w:t>
      </w:r>
      <w:r>
        <w:rPr>
          <w:i/>
          <w:iCs/>
        </w:rPr>
        <w:t xml:space="preserve">Bioprocess Engineering Principles</w:t>
      </w:r>
      <w:r>
        <w:t xml:space="preserve">, 2.ª edición. Academic Press.</w:t>
      </w:r>
    </w:p>
    <w:bookmarkEnd w:id="42"/>
    <w:sectPr>
      <w:headerReference w:type="default" r:id="rId9"/>
      <w:footerReference w:type="default" r:id="rId10"/>
      <w:footnotePr>
        <w:numRestart w:val="eachSect"/>
      </w:footnotePr>
      <w:pgSz w:w="12240" w:h="15840"/>
      <w:pgMar w:left="1418" w:right="1418" w:top="1418" w:bottom="1418"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C2B4E0" w:sz="6" w:space="6"/>
      </w:pBdr>
      <w:tabs>
        <w:tab w:val="right" w:pos="9404"/>
      </w:tabs>
    </w:pPr>
    <w:r>
      <w:rPr>
        <w:color w:val="7A6B95"/>
        <w:sz w:val="16"/>
        <w:szCs w:val="16"/>
      </w:rPr>
      <w:t xml:space="preserve">XI SLATCC 2026 · 2–5 de noviembre de 2026 · Cuernavaca</w:t>
    </w:r>
    <w:r>
      <w:rPr>
        <w:color w:val="7A6B95"/>
        <w:sz w:val="16"/>
        <w:szCs w:val="16"/>
      </w:rPr>
      <w:t xml:space="preserve">	</w:t>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color="C2B4E0" w:sz="6" w:space="6"/>
      </w:pBdr>
      <w:tabs>
        <w:tab w:val="right" w:pos="9404"/>
      </w:tabs>
    </w:pPr>
    <w:r>
      <w:drawing>
        <wp:inline distT="0" distB="0" distL="0" distR="0">
          <wp:extent cx="12668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66825" cy="381000"/>
                  </a:xfrm>
                  <a:prstGeom prst="rect">
                    <a:avLst/>
                  </a:prstGeom>
                </pic:spPr>
              </pic:pic>
            </a:graphicData>
          </a:graphic>
        </wp:inline>
      </w:drawing>
    </w:r>
    <w:r>
      <w:t xml:space="preserve">	</w:t>
    </w:r>
    <w:r>
      <w:drawing>
        <wp:inline distT="0" distB="0" distL="0" distR="0">
          <wp:extent cx="1276350" cy="30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276350" cy="304800"/>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color w:val="1F1A2B"/>
      <w:sz w:val="22"/>
    </w:rPr>
  </w:style>
  <w:style w:styleId="BodyText" w:type="paragraph">
    <w:name w:val="Body Text"/>
    <w:basedOn w:val="Normal"/>
    <w:link w:val="BodyTextChar"/>
    <w:qFormat/>
    <w:pPr>
      <w:spacing w:after="120" w:before="0" w:line="276" w:lineRule="auto"/>
    </w:pPr>
    <w:rPr>
      <w:rFonts w:ascii="Arial" w:hAnsi="Arial" w:cs="Arial" w:eastAsia="Arial"/>
      <w:color w:val="1F1A2B"/>
      <w:sz w:val="22"/>
    </w:rPr>
  </w:style>
  <w:style w:customStyle="1" w:styleId="FirstParagraph" w:type="paragraph">
    <w:name w:val="First Paragraph"/>
    <w:basedOn w:val="BodyText"/>
    <w:next w:val="BodyText"/>
    <w:qFormat/>
    <w:pPr>
      <w:spacing w:before="0" w:after="120" w:line="276" w:lineRule="auto"/>
    </w:pPr>
    <w:rPr>
      <w:rFonts w:ascii="Arial" w:hAnsi="Arial" w:cs="Arial" w:eastAsia="Arial"/>
      <w:color w:val="1F1A2B"/>
      <w:sz w:val="22"/>
    </w:rPr>
  </w:style>
  <w:style w:customStyle="1" w:styleId="Compact" w:type="paragraph">
    <w:name w:val="Compact"/>
    <w:basedOn w:val="BodyText"/>
    <w:qFormat/>
    <w:pPr>
      <w:spacing w:after="20" w:before="20" w:line="240" w:lineRule="auto"/>
    </w:pPr>
    <w:rPr>
      <w:rFonts w:ascii="Arial" w:hAnsi="Arial" w:cs="Arial" w:eastAsia="Arial"/>
      <w:color w:val="1F1A2B"/>
      <w:sz w:val="22"/>
    </w:rPr>
  </w:style>
  <w:style w:styleId="Title" w:type="paragraph">
    <w:name w:val="Title"/>
    <w:basedOn w:val="Normal"/>
    <w:next w:val="BodyText"/>
    <w:link w:val="TitleChar"/>
    <w:uiPriority w:val="10"/>
    <w:qFormat/>
    <w:rsid w:val="00A10FD9"/>
    <w:pPr>
      <w:spacing w:after="80" w:line="240" w:lineRule="auto" w:before="0"/>
      <w:contextualSpacing/>
      <w:jc w:val="left"/>
    </w:pPr>
    <w:rPr>
      <w:rFonts w:cstheme="majorBidi" w:ascii="Arial" w:hAnsi="Arial" w:cs="Arial" w:eastAsia="Arial"/>
      <w:b/>
      <w:i w:val="0"/>
      <w:color w:val="4E2891"/>
      <w:sz w:val="44"/>
      <w:szCs w:val="56"/>
    </w:rPr>
  </w:style>
  <w:style w:customStyle="1" w:styleId="TitleChar" w:type="character">
    <w:name w:val="Title Char"/>
    <w:basedOn w:val="DefaultParagraphFont"/>
    <w:link w:val="Title"/>
    <w:uiPriority w:val="10"/>
    <w:rsid w:val="00A10FD9"/>
    <w:rPr>
      <w:rFonts w:cstheme="majorBidi" w:ascii="Arial" w:hAnsi="Arial" w:cs="Arial" w:eastAsia="Arial"/>
      <w:sz w:val="56"/>
      <w:szCs w:val="56"/>
    </w:rPr>
  </w:style>
  <w:style w:styleId="Subtitle" w:type="paragraph">
    <w:name w:val="Subtitle"/>
    <w:basedOn w:val="Title"/>
    <w:next w:val="BodyText"/>
    <w:link w:val="SubtitleChar"/>
    <w:uiPriority w:val="11"/>
    <w:qFormat/>
    <w:rsid w:val="00A10FD9"/>
    <w:pPr>
      <w:numPr>
        <w:ilvl w:val="1"/>
      </w:numPr>
    </w:pPr>
    <w:rPr>
      <w:rFonts w:cstheme="majorBidi" w:ascii="Arial" w:hAnsi="Arial" w:cs="Arial" w:eastAsia="Arial"/>
      <w:spacing w:val="15"/>
      <w:sz w:val="28"/>
      <w:szCs w:val="28"/>
    </w:rPr>
  </w:style>
  <w:style w:customStyle="1" w:styleId="SubtitleChar" w:type="character">
    <w:name w:val="Subtitle Char"/>
    <w:basedOn w:val="DefaultParagraphFont"/>
    <w:link w:val="Subtitle"/>
    <w:uiPriority w:val="11"/>
    <w:rsid w:val="00A10FD9"/>
    <w:rPr>
      <w:rFonts w:cstheme="majorBidi" w:ascii="Arial" w:hAnsi="Arial" w:cs="Arial" w:eastAsia="Arial"/>
      <w:color w:themeColor="text1" w:themeTint="A6" w:val="595959"/>
      <w:spacing w:val="15"/>
      <w:sz w:val="28"/>
      <w:szCs w:val="28"/>
    </w:rPr>
  </w:style>
  <w:style w:customStyle="1" w:styleId="Author" w:type="paragraph">
    <w:name w:val="Author"/>
    <w:basedOn w:val="Title"/>
    <w:next w:val="BodyText"/>
    <w:qFormat/>
    <w:pPr>
      <w:keepNext/>
      <w:keepLines/>
    </w:pPr>
    <w:rPr>
      <w:rFonts w:ascii="Arial" w:hAnsi="Arial" w:cs="Arial" w:eastAsia="Arial"/>
      <w:sz w:val="24"/>
      <w:szCs w:val="24"/>
    </w:rPr>
  </w:style>
  <w:style w:styleId="Date" w:type="paragraph">
    <w:name w:val="Date"/>
    <w:basedOn w:val="Title"/>
    <w:next w:val="BodyText"/>
    <w:qFormat/>
    <w:pPr>
      <w:keepNext/>
      <w:keepLines/>
    </w:pPr>
    <w:rPr>
      <w:rFonts w:ascii="Arial" w:hAnsi="Arial" w:cs="Arial" w:eastAsia="Arial"/>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cs="Arial" w:eastAsia="Arial"/>
      <w:b/>
      <w:sz w:val="20"/>
      <w:szCs w:val="20"/>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link w:val="Heading1Char"/>
    <w:uiPriority w:val="9"/>
    <w:qFormat/>
    <w:rsid w:val="00A10FD9"/>
    <w:pPr>
      <w:keepNext/>
      <w:keepLines/>
      <w:spacing w:after="120" w:before="320"/>
      <w:jc w:val="left"/>
      <w:outlineLvl w:val="0"/>
    </w:pPr>
    <w:rPr>
      <w:rFonts w:cstheme="majorBidi" w:ascii="Arial" w:hAnsi="Arial" w:cs="Arial" w:eastAsia="Arial"/>
      <w:b/>
      <w:i w:val="0"/>
      <w:color w:val="4E2891"/>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jc w:val="left"/>
      <w:outlineLvl w:val="1"/>
    </w:pPr>
    <w:rPr>
      <w:rFonts w:cstheme="majorBidi" w:ascii="Arial" w:hAnsi="Arial" w:cs="Arial" w:eastAsia="Arial"/>
      <w:b/>
      <w:i w:val="0"/>
      <w:color w:val="BD2874"/>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cstheme="majorBidi" w:ascii="Arial" w:hAnsi="Arial" w:cs="Arial" w:eastAsia="Arial"/>
      <w:b/>
      <w:i w:val="0"/>
      <w:color w:val="4E289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Arial" w:hAnsi="Arial" w:cs="Arial" w:eastAsia="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Arial" w:hAnsi="Arial" w:cs="Arial" w:eastAsia="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Arial" w:hAnsi="Arial" w:cs="Arial" w:eastAsia="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Arial" w:hAnsi="Arial" w:cs="Arial" w:eastAsia="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Arial" w:hAnsi="Arial" w:cs="Arial" w:eastAsia="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Arial" w:hAnsi="Arial" w:cs="Arial" w:eastAsia="Arial"/>
      <w:color w:themeColor="text1" w:themeTint="D8" w:val="272727"/>
    </w:rPr>
  </w:style>
  <w:style w:customStyle="1" w:styleId="Heading1Char" w:type="character">
    <w:name w:val="Heading 1 Char"/>
    <w:basedOn w:val="DefaultParagraphFont"/>
    <w:link w:val="Heading1"/>
    <w:uiPriority w:val="9"/>
    <w:rsid w:val="00A10FD9"/>
    <w:rPr>
      <w:rFonts w:cstheme="majorBidi" w:ascii="Arial" w:hAnsi="Arial" w:cs="Arial" w:eastAsia="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Arial" w:hAnsi="Arial" w:cs="Arial" w:eastAsia="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Arial" w:hAnsi="Arial" w:cs="Arial" w:eastAsia="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Arial" w:hAnsi="Arial" w:cs="Arial" w:eastAsia="Arial"/>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Arial" w:hAnsi="Arial" w:cs="Arial" w:eastAsia="Arial"/>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Arial" w:hAnsi="Arial" w:cs="Arial" w:eastAsia="Arial"/>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Arial" w:hAnsi="Arial" w:cs="Arial" w:eastAsia="Arial"/>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Arial" w:hAnsi="Arial" w:cs="Arial" w:eastAsia="Arial"/>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Arial" w:hAnsi="Arial" w:cs="Arial" w:eastAsia="Arial"/>
      <w:color w:themeColor="text1" w:themeTint="D8" w:val="272727"/>
    </w:rPr>
  </w:style>
  <w:style w:styleId="BlockText" w:type="paragraph">
    <w:name w:val="Block Text"/>
    <w:basedOn w:val="BodyText"/>
    <w:next w:val="BodyText"/>
    <w:uiPriority w:val="9"/>
    <w:unhideWhenUsed/>
    <w:qFormat/>
    <w:pPr>
      <w:pBdr>
        <w:left w:val="single" w:sz="18" w:space="8" w:color="BD2874"/>
      </w:pBdr>
      <w:spacing w:after="80" w:before="80"/>
      <w:ind w:firstLine="0" w:left="283" w:right="480"/>
    </w:pPr>
    <w:rPr>
      <w:rFonts w:ascii="Arial" w:hAnsi="Arial" w:cs="Arial" w:eastAsia="Arial"/>
      <w:i w:val="0"/>
      <w:color w:val="4A3A68"/>
      <w:sz w:val="22"/>
    </w:rPr>
  </w:style>
  <w:style w:styleId="FootnoteText" w:type="paragraph">
    <w:name w:val="Footnote Text"/>
    <w:basedOn w:val="Normal"/>
    <w:next w:val="FootnoteText"/>
    <w:uiPriority w:val="9"/>
    <w:unhideWhenUsed/>
    <w:qFormat/>
    <w:rPr>
      <w:rFonts w:ascii="Arial" w:hAnsi="Arial" w:cs="Arial" w:eastAsia="Arial"/>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i/>
      <w:color w:val="7A6B95"/>
      <w:sz w:val="18"/>
    </w:rPr>
  </w:style>
  <w:style w:customStyle="1" w:styleId="ImageCaption" w:type="paragraph">
    <w:name w:val="Image Caption"/>
    <w:basedOn w:val="Caption"/>
    <w:rPr>
      <w:rFonts w:ascii="Arial" w:hAnsi="Arial" w:cs="Arial" w:eastAsia="Arial"/>
      <w:i/>
      <w:color w:val="7A6B95"/>
      <w:sz w:val="18"/>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Arial" w:hAnsi="Arial" w:cs="Arial" w:eastAsia="Arial"/>
      <w:b/>
      <w:color w:val="007020"/>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rFonts w:ascii="Arial" w:hAnsi="Arial" w:cs="Arial" w:eastAsia="Arial"/>
      <w:b/>
      <w:color w:val="008000"/>
    </w:rPr>
  </w:style>
  <w:style w:type="character" w:customStyle="1" w:styleId="CommentTok">
    <w:name w:val="CommentTok"/>
    <w:basedOn w:val="VerbatimChar"/>
    <w:rPr>
      <w:rFonts w:ascii="Arial" w:hAnsi="Arial" w:cs="Arial" w:eastAsia="Arial"/>
      <w:i/>
      <w:color w:val="60a0b0"/>
    </w:rPr>
  </w:style>
  <w:style w:type="character" w:customStyle="1" w:styleId="DocumentationTok">
    <w:name w:val="DocumentationTok"/>
    <w:basedOn w:val="VerbatimChar"/>
    <w:rPr>
      <w:rFonts w:ascii="Arial" w:hAnsi="Arial" w:cs="Arial" w:eastAsia="Arial"/>
      <w:i/>
      <w:color w:val="ba2121"/>
    </w:rPr>
  </w:style>
  <w:style w:type="character" w:customStyle="1" w:styleId="AnnotationTok">
    <w:name w:val="AnnotationTok"/>
    <w:basedOn w:val="VerbatimChar"/>
    <w:rPr>
      <w:rFonts w:ascii="Arial" w:hAnsi="Arial" w:cs="Arial" w:eastAsia="Arial"/>
      <w:b/>
      <w:i/>
      <w:color w:val="60a0b0"/>
    </w:rPr>
  </w:style>
  <w:style w:type="character" w:customStyle="1" w:styleId="CommentVarTok">
    <w:name w:val="CommentVarTok"/>
    <w:basedOn w:val="VerbatimChar"/>
    <w:rPr>
      <w:rFonts w:ascii="Arial" w:hAnsi="Arial" w:cs="Arial" w:eastAsia="Arial"/>
      <w:b/>
      <w:i/>
      <w:color w:val="60a0b0"/>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rFonts w:ascii="Arial" w:hAnsi="Arial" w:cs="Arial" w:eastAsia="Arial"/>
      <w:b/>
      <w:color w:val="007020"/>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rFonts w:ascii="Arial" w:hAnsi="Arial" w:cs="Arial" w:eastAsia="Arial"/>
      <w:b/>
      <w:i/>
      <w:color w:val="60a0b0"/>
    </w:rPr>
  </w:style>
  <w:style w:type="character" w:customStyle="1" w:styleId="WarningTok">
    <w:name w:val="WarningTok"/>
    <w:basedOn w:val="VerbatimChar"/>
    <w:rPr>
      <w:rFonts w:ascii="Arial" w:hAnsi="Arial" w:cs="Arial" w:eastAsia="Arial"/>
      <w:b/>
      <w:i/>
      <w:color w:val="60a0b0"/>
    </w:rPr>
  </w:style>
  <w:style w:type="character" w:customStyle="1" w:styleId="AlertTok">
    <w:name w:val="AlertTok"/>
    <w:basedOn w:val="VerbatimChar"/>
    <w:rPr>
      <w:rFonts w:ascii="Arial" w:hAnsi="Arial" w:cs="Arial" w:eastAsia="Arial"/>
      <w:b/>
      <w:color w:val="ff0000"/>
    </w:rPr>
  </w:style>
  <w:style w:type="character" w:customStyle="1" w:styleId="ErrorTok">
    <w:name w:val="ErrorTok"/>
    <w:basedOn w:val="VerbatimChar"/>
    <w:rPr>
      <w:rFonts w:ascii="Arial" w:hAnsi="Arial" w:cs="Arial" w:eastAsia="Arial"/>
      <w:b/>
      <w:color w:val="ff0000"/>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13" Type="http://schemas.openxmlformats.org/officeDocument/2006/relationships/image" Target="media/rId13.jpg"/><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2d2685079f2d65bab66a058cff9ce624d12f2845.png"/><Relationship Id="rId2" Type="http://schemas.openxmlformats.org/officeDocument/2006/relationships/image" Target="media/a4f4a5ba47589821d1a1505255da96e172e363a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Determinación de kLa en un biorreactor agitado</dc:title>
  <dc:creator/>
  <cp:keywords/>
  <dcterms:created xsi:type="dcterms:W3CDTF">2026-10-24T06:29:19Z</dcterms:created>
  <dcterms:modified xsi:type="dcterms:W3CDTF">2026-10-24T06:29:19Z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Octavio T. Ramírez · Emiliano Balderas · Instituto de Biotecnología, UNAM</vt:lpwstr>
  </property>
</Properties>
</file>