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TÉRMINOS DE REFERENCIA</w:t>
      </w:r>
    </w:p>
    <w:p>
      <w:pPr>
        <w:pStyle w:val="Subtitle"/>
      </w:pPr>
      <w:r>
        <w:t>Contratación de una plataforma integral de gestión clínica, hospitalaria y de salud pública</w:t>
      </w:r>
    </w:p>
    <w:p>
      <w:r>
        <w:t>Suministro, parametrización, implementación, migración, capacitación y soporte técnico de una solución para una red de establecimientos de salud.</w:t>
      </w:r>
    </w:p>
    <w:p>
      <w:pPr>
        <w:pStyle w:val="Heading2"/>
      </w:pPr>
      <w:r>
        <w:t>Datos del proceso</w:t>
      </w:r>
    </w:p>
    <w:p>
      <w:r>
        <w:t>Entidad contratante: [COMPLETAR]</w:t>
      </w:r>
    </w:p>
    <w:p>
      <w:r>
        <w:t>Unidad solicitante: [COMPLETAR]</w:t>
      </w:r>
    </w:p>
    <w:p>
      <w:r>
        <w:t>Número y modalidad del proceso: [COMPLETAR]</w:t>
      </w:r>
    </w:p>
    <w:p>
      <w:r>
        <w:t>Fuente de financiamiento y presupuesto: [COMPLETAR]</w:t>
      </w:r>
    </w:p>
    <w:p>
      <w:r>
        <w:t>Cobertura territorial y establecimientos: [COMPLETAR]</w:t>
      </w:r>
    </w:p>
    <w:p>
      <w:r>
        <w:t>Plazo propuesto: 24 semanas de implementación y 12 meses de garantía y soporte desde la recepción final.</w:t>
      </w:r>
    </w:p>
    <w:p>
      <w:pPr>
        <w:pStyle w:val="Heading2"/>
      </w:pPr>
      <w:r>
        <w:t>Estado y uso del documento</w:t>
      </w:r>
    </w:p>
    <w:p>
      <w:r>
        <w:t>Borrador técnico para estructuración de la contratación. Los plazos, niveles de servicio y ponderaciones son propuestas para validación institucional, no condiciones de un proceso ya aprobado. Los campos [COMPLETAR] deben resolverse antes de publicar.</w:t>
      </w:r>
    </w:p>
    <w:p>
      <w:r>
        <w:t>El alcance se basa en la documentación y estructura del Sistema Integral de Servicios de Salud (SISS). Las especificaciones se expresan por resultados y admiten soluciones equivalentes. La presencia de módulos en el repositorio no constituye certificación de funcionamiento, seguridad ni despliegue productivo.</w:t>
      </w:r>
    </w:p>
    <w:p>
      <w:r>
        <w:t>El anexo final es de uso interno para preparar la oferta del SISS y debe retirarse de la versión que se someta como términos de referencia.</w:t>
      </w:r>
    </w:p>
    <w:p>
      <w:r>
        <w:br w:type="page"/>
      </w:r>
    </w:p>
    <w:p>
      <w:pPr>
        <w:pStyle w:val="Heading1"/>
      </w:pPr>
      <w:r>
        <w:t>1. Antecedentes, objeto y cobertura</w:t>
      </w:r>
    </w:p>
    <w:p>
      <w:r>
        <w:t>La entidad requiere integrar la identificación del paciente, programación de servicios, atención clínica, apoyo diagnóstico, suministro de medicamentos y seguimiento de salud pública. Se busca disminuir la recaptura, mejorar la continuidad asistencial y disponer de información trazable por establecimiento y a nivel consolidado.</w:t>
      </w:r>
    </w:p>
    <w:p>
      <w:pPr>
        <w:pStyle w:val="Heading2"/>
      </w:pPr>
      <w:r>
        <w:t>Objeto de la contratación</w:t>
      </w:r>
    </w:p>
    <w:p>
      <w:r>
        <w:t>Contratar una solución informática integral y los servicios necesarios para ponerla en operación, incluyendo configuración de procesos, interfaces acordadas, carga de información, pruebas, capacitación, documentación, garantía y acompañamiento operativo.</w:t>
      </w:r>
    </w:p>
    <w:p>
      <w:pPr>
        <w:pStyle w:val="Heading2"/>
      </w:pPr>
      <w:r>
        <w:t>Resultados esperados</w:t>
      </w:r>
    </w:p>
    <w:p>
      <w:r>
        <w:t>Expediente longitudinal vinculado a la atención; agendas coordinadas entre sedes; trazabilidad de recetas y existencias por lote; registros de vacunación y vigilancia; indicadores consistentes y acceso ciudadano limitado a la información autorizada.</w:t>
      </w:r>
    </w:p>
    <w:p>
      <w:pPr>
        <w:pStyle w:val="Heading2"/>
      </w:pPr>
      <w:r>
        <w:t>Dimensionamiento previo a publicación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F2F4F7"/>
          </w:tcPr>
          <w:p>
            <w:pPr>
              <w:spacing w:after="60" w:before="0"/>
            </w:pPr>
            <w:r>
              <w:rPr>
                <w:b/>
                <w:sz w:val="18"/>
              </w:rPr>
              <w:t>Parámetro</w:t>
            </w:r>
          </w:p>
        </w:tc>
        <w:tc>
          <w:tcPr>
            <w:tcW w:type="dxa" w:w="6960"/>
            <w:shd w:fill="F2F4F7"/>
          </w:tcPr>
          <w:p>
            <w:pPr>
              <w:spacing w:after="60" w:before="0"/>
            </w:pPr>
            <w:r>
              <w:rPr>
                <w:b/>
                <w:sz w:val="18"/>
              </w:rPr>
              <w:t>Dato institucional requerido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Establecimientos y fases</w:t>
            </w:r>
          </w:p>
        </w:tc>
        <w:tc>
          <w:tcPr>
            <w:tcW w:type="dxa" w:w="69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[COMPLETAR] cantidad, ubicación, servicios y sedes piloto.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Usuarios y demanda</w:t>
            </w:r>
          </w:p>
        </w:tc>
        <w:tc>
          <w:tcPr>
            <w:tcW w:type="dxa" w:w="69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[COMPLETAR] usuarios nominales, concurrentes, consultas y recetas por día.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Migración</w:t>
            </w:r>
          </w:p>
        </w:tc>
        <w:tc>
          <w:tcPr>
            <w:tcW w:type="dxa" w:w="69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[COMPLETAR] fuentes, años, registros, adjuntos, calidad y volumen en GB.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Infraestructura</w:t>
            </w:r>
          </w:p>
        </w:tc>
        <w:tc>
          <w:tcPr>
            <w:tcW w:type="dxa" w:w="69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[COMPLETAR] alojamiento, conectividad, equipos y responsabilidades.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Integraciones</w:t>
            </w:r>
          </w:p>
        </w:tc>
        <w:tc>
          <w:tcPr>
            <w:tcW w:type="dxa" w:w="69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[COMPLETAR] sistemas externos, interfaces, responsables y autorizaciones.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Servicio</w:t>
            </w:r>
          </w:p>
        </w:tc>
        <w:tc>
          <w:tcPr>
            <w:tcW w:type="dxa" w:w="69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[COMPLETAR] horario operativo, criticidad y sedes con atención continua.</w:t>
            </w:r>
          </w:p>
        </w:tc>
      </w:tr>
    </w:tbl>
    <w:p>
      <w:pPr>
        <w:pStyle w:val="Heading2"/>
      </w:pPr>
      <w:r>
        <w:t>Límites de alcance</w:t>
      </w:r>
    </w:p>
    <w:p>
      <w:r>
        <w:t>Se incluyen los requisitos funcionales de la sección 2 y los servicios de implementación. Equipos médicos, hardware, conectividad, mensajería de pago, licencias de terceros y nuevas integraciones deberán identificarse y cotizarse por separado cuando sean necesarios. PACS, equipos de laboratorio y consultas a registros externos requieren definición expresa de interfaz; no se consideran incluidos por una mención genérica.</w:t>
      </w:r>
    </w:p>
    <w:p>
      <w:r>
        <w:br w:type="page"/>
      </w:r>
    </w:p>
    <w:p>
      <w:pPr>
        <w:pStyle w:val="Heading1"/>
      </w:pPr>
      <w:r>
        <w:t>2. Requisitos funcionales · atención</w:t>
      </w:r>
    </w:p>
    <w:p>
      <w:r>
        <w:t>Todos los requisitos RF son obligatorios en la recepción final. El oferente declarará para cada uno si está disponible, requiere parametrización, requiere desarrollo o depende de un tercero, indicando evidencia y fecha de entrega.</w:t>
      </w:r>
    </w:p>
    <w:p>
      <w:pPr>
        <w:pStyle w:val="Heading2"/>
      </w:pPr>
      <w:r>
        <w:t>RF-01. Red de establecimientos y administración</w:t>
      </w:r>
    </w:p>
    <w:p>
      <w:r>
        <w:t>Gestionar establecimientos, servicios, especialidades, personal, roles y permisos por ámbito. Permitir que un profesional atienda en varias sedes sin habilitar acceso indiscriminado a datos. Validación: un mismo usuario opera en dos sedes autorizadas y se rechaza su acceso a una tercera.</w:t>
      </w:r>
    </w:p>
    <w:p>
      <w:pPr>
        <w:pStyle w:val="Heading2"/>
      </w:pPr>
      <w:r>
        <w:t>RF-02. Identificación y expediente del paciente</w:t>
      </w:r>
    </w:p>
    <w:p>
      <w:r>
        <w:t>Registrar datos demográficos, identificadores, contactos y antecedentes; detectar potenciales duplicados y conservar trazabilidad de las correcciones. Consultar el historial longitudinal según permisos. Validación: búsqueda por identificador, advertencia de duplicado y consulta del historial autorizado.</w:t>
      </w:r>
    </w:p>
    <w:p>
      <w:pPr>
        <w:pStyle w:val="Heading2"/>
      </w:pPr>
      <w:r>
        <w:t>RF-03. Agendas y citas</w:t>
      </w:r>
    </w:p>
    <w:p>
      <w:r>
        <w:t>Configurar jornadas, duración de citas, cupos y excepciones; prevenir conflictos del profesional entre establecimientos. Registrar programación, reprogramación, cancelación y estados de atención. Validación: intentar una doble reserva y una reserva durante una ausencia, ambas rechazadas.</w:t>
      </w:r>
    </w:p>
    <w:p>
      <w:pPr>
        <w:pStyle w:val="Heading2"/>
      </w:pPr>
      <w:r>
        <w:t>RF-04. Triaje y consulta clínica</w:t>
      </w:r>
    </w:p>
    <w:p>
      <w:r>
        <w:t>Registrar signos vitales, antecedentes y notas SOAP; vincular diagnósticos CIE-10, prescripciones, órdenes, referencias e incapacidades según configuración institucional. Validación: completar una consulta y recuperar todos sus documentos vinculados al paciente y al profesional.</w:t>
      </w:r>
    </w:p>
    <w:p>
      <w:pPr>
        <w:pStyle w:val="Heading2"/>
      </w:pPr>
      <w:r>
        <w:t>RF-05. Formularios clínicos configurables</w:t>
      </w:r>
    </w:p>
    <w:p>
      <w:r>
        <w:t>Permitir formularios por servicio o especialidad, con campos requeridos y conservación de la versión utilizada. Validación: modificar una plantilla sin alterar los registros históricos capturados con la versión anterior.</w:t>
      </w:r>
    </w:p>
    <w:p>
      <w:pPr>
        <w:pStyle w:val="Heading2"/>
      </w:pPr>
      <w:r>
        <w:t>RF-06. Hospitalización y continuidad</w:t>
      </w:r>
    </w:p>
    <w:p>
      <w:r>
        <w:t>Gestionar disponibilidad y asignación de camas, ingresos, movimientos y egresos; vincular evolución y referencias al expediente. Validación: ingreso, traslado y egreso de un paciente sin doble ocupación de una cama.</w:t>
      </w:r>
    </w:p>
    <w:p>
      <w:pPr>
        <w:pStyle w:val="Heading2"/>
      </w:pPr>
      <w:r>
        <w:t>RF-07. Atención materna e infantil</w:t>
      </w:r>
    </w:p>
    <w:p>
      <w:r>
        <w:t>Registrar controles prenatales y seguimiento pediátrico, con variables, antecedentes y evolución definidos por la institución. Validación: dos controles sucesivos permiten consultar la evolución y emitir el reporte correspondiente.</w:t>
      </w:r>
    </w:p>
    <w:p>
      <w:r>
        <w:br w:type="page"/>
      </w:r>
    </w:p>
    <w:p>
      <w:pPr>
        <w:pStyle w:val="Heading1"/>
      </w:pPr>
      <w:r>
        <w:t>2. Requisitos funcionales · suministros y salud pública</w:t>
      </w:r>
    </w:p>
    <w:p>
      <w:pPr>
        <w:pStyle w:val="Heading2"/>
      </w:pPr>
      <w:r>
        <w:t>RF-08. Prescripción y dispensación</w:t>
      </w:r>
    </w:p>
    <w:p>
      <w:r>
        <w:t>Registrar dosis, vía, frecuencia, duración y cantidad; gestionar entregas completas y parciales, cancelaciones y demanda insatisfecha. Identificar tratamientos coincidentes para revisión profesional. Validación: dispensar parcialmente y conservar el saldo, sin duplicar el descargo al repetir la solicitud.</w:t>
      </w:r>
    </w:p>
    <w:p>
      <w:pPr>
        <w:pStyle w:val="Heading2"/>
      </w:pPr>
      <w:r>
        <w:t>RF-09. Inventario farmacéutico</w:t>
      </w:r>
    </w:p>
    <w:p>
      <w:r>
        <w:t>Controlar entradas, salidas, ajustes y bajas por establecimiento, lote y vencimiento. Aplicar FEFO, impedir existencias negativas y uso de lotes vencidos; registrar usuario y motivo. Validación: dos dispensaciones simultáneas sobre un saldo limitado no generan sobreventa ni inconsistencias.</w:t>
      </w:r>
    </w:p>
    <w:p>
      <w:pPr>
        <w:pStyle w:val="Heading2"/>
      </w:pPr>
      <w:r>
        <w:t>RF-10. Programa de inmunizaciones</w:t>
      </w:r>
    </w:p>
    <w:p>
      <w:r>
        <w:t>Configurar biológicos y esquemas aprobados por la institución; registrar aplicación, dosis, lote, fecha y vacunador; controlar existencias y pérdidas, incluidas las atribuidas a cadena de frío; generar carnet. Validación: rastrear una aplicación hasta su lote y conciliar el inventario. La telemetría de temperatura no está implícita.</w:t>
      </w:r>
    </w:p>
    <w:p>
      <w:pPr>
        <w:pStyle w:val="Heading2"/>
      </w:pPr>
      <w:r>
        <w:t>RF-11. Vigilancia epidemiológica</w:t>
      </w:r>
    </w:p>
    <w:p>
      <w:r>
        <w:t>Relacionar diagnósticos configurados con alertas y fichas de seguimiento, semana epidemiológica, ubicación y estados de gestión. Restringir el acceso a datos identificables. Validación: un diagnóstico configurado genera el registro previsto y aparece en el consolidado autorizado.</w:t>
      </w:r>
    </w:p>
    <w:p>
      <w:pPr>
        <w:pStyle w:val="Heading2"/>
      </w:pPr>
      <w:r>
        <w:t>RF-12. Laboratorio e imagenología</w:t>
      </w:r>
    </w:p>
    <w:p>
      <w:r>
        <w:t>Vincular solicitudes, estados, resultados, unidades y rangos de referencia cuando correspondan; registrar informes radiológicos y adjuntos o enlaces autorizados. Validación: el resultado validado se consulta desde el encuentro clínico. Las conexiones con analizadores o PACS se aceptan mediante pruebas de interfaz específicas.</w:t>
      </w:r>
    </w:p>
    <w:p>
      <w:pPr>
        <w:pStyle w:val="Heading2"/>
      </w:pPr>
      <w:r>
        <w:t>RF-13. Servicios al paciente</w:t>
      </w:r>
    </w:p>
    <w:p>
      <w:r>
        <w:t>Disponer de un canal móvil o web adaptable para citas, recetas, carnet y consultas personales autorizadas. Si se publica disponibilidad de medicamentos, mostrar sede y fecha de actualización sin comprometer reservas. Validación: un paciente no puede consultar registros de otro mediante la interfaz ni la API.</w:t>
      </w:r>
    </w:p>
    <w:p>
      <w:pPr>
        <w:pStyle w:val="Heading2"/>
      </w:pPr>
      <w:r>
        <w:t>RF-14. Reportes y trazabilidad</w:t>
      </w:r>
    </w:p>
    <w:p>
      <w:r>
        <w:t>Generar reportes por fecha, establecimiento y servicio sobre atenciones, inventario, demanda insatisfecha, vacunación y vigilancia; exportar datos autorizados y documentos PDF. Validación: los totales coinciden con un conjunto de datos de control y las operaciones críticas pueden rastrearse.</w:t>
      </w:r>
    </w:p>
    <w:p>
      <w:r>
        <w:br w:type="page"/>
      </w:r>
    </w:p>
    <w:p>
      <w:pPr>
        <w:pStyle w:val="Heading1"/>
      </w:pPr>
      <w:r>
        <w:t>2.1 Componente móvil para pacientes</w:t>
      </w:r>
    </w:p>
    <w:p>
      <w:r>
        <w:t>La solución incluirá una aplicación móvil para pacientes, integrada con la misma información clínica y administrativa autorizada de la plataforma central. El componente deberá funcionar en Android e iOS, mantener una experiencia coherente en teléfonos de gama media y aplicar controles específicos para datos personales y de salud. El oferente indicará versiones mínimas de sistema operativo, dispositivos probados y requisitos de conectividad.</w:t>
      </w:r>
    </w:p>
    <w:p>
      <w:pPr>
        <w:pStyle w:val="Heading2"/>
      </w:pPr>
      <w:r>
        <w:t>RM-01. Registro y acceso del paciente</w:t>
      </w:r>
    </w:p>
    <w:p>
      <w:r>
        <w:t>Permitir solicitud de cuenta mediante datos de identificación y contacto definidos por la institución, activación conforme al flujo aprobado, inicio y cierre de sesión, recuperación o cambio de contraseña y cambio obligatorio de credenciales temporales. Validación: una solicitud queda pendiente de aprobación, una cuenta autorizada accede únicamente a su perfil y una sesión cerrada no reutiliza el token anterior.</w:t>
      </w:r>
    </w:p>
    <w:p>
      <w:pPr>
        <w:pStyle w:val="Heading2"/>
      </w:pPr>
      <w:r>
        <w:t>RM-02. Inicio y perfil personal</w:t>
      </w:r>
    </w:p>
    <w:p>
      <w:r>
        <w:t>Presentar un resumen personal con próxima cita, accesos a los servicios habilitados y datos básicos del expediente. Permitir actualización solo de los campos autorizados y mostrar el origen o fecha de actualización cuando ayude a evitar decisiones con datos desactualizados. Validación: el paciente visualiza su resumen y no puede alterar datos clínicos protegidos.</w:t>
      </w:r>
    </w:p>
    <w:p>
      <w:pPr>
        <w:pStyle w:val="Heading2"/>
      </w:pPr>
      <w:r>
        <w:t>RM-03. Autogestión de citas</w:t>
      </w:r>
    </w:p>
    <w:p>
      <w:r>
        <w:t>Consultar establecimientos, especialidades, profesionales y horarios disponibles; solicitar una cita y recibir confirmación con fecha, hora, sede, especialidad, profesional y estado. Aplicar cupos, restricciones y prevención de duplicidades definidas por la institución. Validación: crear una cita disponible, rechazar un horario ocupado y reflejar inmediatamente la reserva en la agenda institucional.</w:t>
      </w:r>
    </w:p>
    <w:p>
      <w:pPr>
        <w:pStyle w:val="Heading2"/>
      </w:pPr>
      <w:r>
        <w:t>RM-04. Historial clínico personal</w:t>
      </w:r>
    </w:p>
    <w:p>
      <w:r>
        <w:t>Consultar episodios autorizados del historial, incluyendo fecha, establecimiento, profesional, diagnósticos y resumen permitido por la política institucional. La app no deberá exponer notas o datos restringidos. Validación: el contenido coincide con el expediente central y las pruebas de acceso horizontal impiden consultar a otro paciente.</w:t>
      </w:r>
    </w:p>
    <w:p>
      <w:pPr>
        <w:pStyle w:val="Heading2"/>
      </w:pPr>
      <w:r>
        <w:t>RM-05. Recetas y medicamentos</w:t>
      </w:r>
    </w:p>
    <w:p>
      <w:r>
        <w:t>Consultar recetas vigentes e históricas, estado, establecimiento, medicamentos, dosis, frecuencia, duración y cantidad autorizada. Validación: una dispensación parcial o completa actualiza el estado visible sin modificar la prescripción original.</w:t>
      </w:r>
    </w:p>
    <w:p>
      <w:pPr>
        <w:pStyle w:val="Heading2"/>
      </w:pPr>
      <w:r>
        <w:t>RM-06. Disponibilidad por establecimiento</w:t>
      </w:r>
    </w:p>
    <w:p>
      <w:r>
        <w:t>Buscar medicamentos por nombre o código y mostrar disponibilidad por establecimiento con fecha y hora de actualización. La interfaz deberá advertir que la disponibilidad es informativa cuando no exista reserva. Validación: la búsqueda coincide con saldos publicables de un conjunto de control y no revela lotes, costos ni información operativa restringida.</w:t>
      </w:r>
    </w:p>
    <w:p>
      <w:pPr>
        <w:pStyle w:val="Heading2"/>
      </w:pPr>
      <w:r>
        <w:t>RM-07. Carnet digital y vacunación</w:t>
      </w:r>
    </w:p>
    <w:p>
      <w:r>
        <w:t>Mostrar identificación del paciente y carnet digital con un código verificable de vigencia limitada o mecanismo equivalente que evite exponer directamente un identificador sensible. Consultar historial de vacunas autorizado y generar o descargar el carnet institucional cuando corresponda. Validación: un código vencido o alterado no permite obtener información y el carnet coincide con las dosis registradas.</w:t>
      </w:r>
    </w:p>
    <w:p>
      <w:pPr>
        <w:pStyle w:val="Heading2"/>
      </w:pPr>
      <w:r>
        <w:t>RM-08. Seguimiento prenatal</w:t>
      </w:r>
    </w:p>
    <w:p>
      <w:r>
        <w:t>Cuando aplique, mostrar embarazo activo, fecha probable de parto, clasificación de riesgo, controles, signos y observaciones autorizadas; permitir descargar el documento institucional. Validación: la información coincide con el módulo clínico y un embarazo cerrado deja de presentarse como activo.</w:t>
      </w:r>
    </w:p>
    <w:p>
      <w:pPr>
        <w:pStyle w:val="Heading2"/>
      </w:pPr>
      <w:r>
        <w:t>RM-09. Avisos y notificaciones</w:t>
      </w:r>
    </w:p>
    <w:p>
      <w:r>
        <w:t>Enviar recordatorios de citas y avisos transaccionales aprobados mediante notificaciones push o mecanismo equivalente, con consentimiento y configuración del usuario. El texto visible en pantalla bloqueada no deberá revelar diagnósticos, medicamentos ni otros datos sensibles. Validación: registrar entrega o fallo de una notificación de prueba y respetar la desactivación del usuario.</w:t>
      </w:r>
    </w:p>
    <w:p>
      <w:pPr>
        <w:pStyle w:val="Heading2"/>
      </w:pPr>
      <w:r>
        <w:t>RM-10. Experiencia, accesibilidad y conectividad</w:t>
      </w:r>
    </w:p>
    <w:p>
      <w:r>
        <w:t>Ofrecer interfaz en español, navegación comprensible, mensajes de error útiles, tamaños de texto adaptables y compatibilidad con lectores de pantalla en los flujos principales. Ante pérdida de red, conservar de forma segura solo la información necesaria, impedir envíos duplicados y reintentar de manera controlada. El alcance de operación sin conexión se definirá antes de publicar. Validación: completar los casos principales con el tamaño de fuente ampliado y recuperar una operación interrumpida sin duplicarla.</w:t>
      </w:r>
    </w:p>
    <w:p>
      <w:pPr>
        <w:pStyle w:val="Heading2"/>
      </w:pPr>
      <w:r>
        <w:t>RM-11. Distribución y administración de versiones</w:t>
      </w:r>
    </w:p>
    <w:p>
      <w:r>
        <w:t>Entregar paquetes instalables firmados, configuración por ambiente, identificadores institucionales y procedimiento de actualización. Publicar o distribuir por los canales aprobados por la entidad y transferir cuentas, certificados, llaves y registros de publicación según el régimen contractual. Validación: instalar una versión de entrega en dispositivos autorizados y actualizarla preservando la sesión o solicitando reautenticación de forma controlada.</w:t>
      </w:r>
    </w:p>
    <w:p>
      <w:pPr>
        <w:pStyle w:val="Heading2"/>
      </w:pPr>
      <w:r>
        <w:t>RM-12. Analítica y soporte móvil</w:t>
      </w:r>
    </w:p>
    <w:p>
      <w:r>
        <w:t>Registrar fallos técnicos y métricas operativas mínimas sin capturar datos clínicos en servicios de analítica. Mostrar versión de la app, canal de soporte y condiciones de privacidad. Validación: un incidente aporta versión y diagnóstico técnico suficiente sin incluir credenciales, tokens ni contenido clínico.</w:t>
      </w:r>
    </w:p>
    <w:p>
      <w:r>
        <w:br w:type="page"/>
      </w:r>
    </w:p>
    <w:p>
      <w:pPr>
        <w:pStyle w:val="Heading1"/>
      </w:pPr>
      <w:r>
        <w:t>3. Requisitos técnicos y protección de información</w:t>
      </w:r>
    </w:p>
    <w:p>
      <w:pPr>
        <w:pStyle w:val="Heading2"/>
      </w:pPr>
      <w:r>
        <w:t>RT-01. Arquitectura y mantenimiento</w:t>
      </w:r>
    </w:p>
    <w:p>
      <w:r>
        <w:t>Solución modular, interfaz en español, configuración de zona horaria institucional y API documentada. Se aceptan tecnologías equivalentes; no se exige un fabricante, lenguaje o marco específico. Entregar arquitectura, dependencias, versiones soportadas y procedimiento de actualización.</w:t>
      </w:r>
    </w:p>
    <w:p>
      <w:pPr>
        <w:pStyle w:val="Heading2"/>
      </w:pPr>
      <w:r>
        <w:t>RT-02. Acceso y auditoría</w:t>
      </w:r>
    </w:p>
    <w:p>
      <w:r>
        <w:t>Aplicar autenticación segura, permisos en servidor, mínimo privilegio, cierre de sesión y revocación de accesos; autenticación multifactor para cuentas privilegiadas. Registrar accesos y cambios críticos con usuario, fecha, sede y acción; proteger las bitácoras frente a alteraciones no autorizadas.</w:t>
      </w:r>
    </w:p>
    <w:p>
      <w:pPr>
        <w:pStyle w:val="Heading2"/>
      </w:pPr>
      <w:r>
        <w:t>RT-03. Datos sensibles</w:t>
      </w:r>
    </w:p>
    <w:p>
      <w:r>
        <w:t>Cifrar comunicaciones y respaldos; proteger credenciales y secretos; separar ambientes de desarrollo, pruebas y producción. Usar datos sintéticos o anonimizados en demostraciones. Definir conservación, acceso, exportación y eliminación con la entidad antes de la operación.</w:t>
      </w:r>
    </w:p>
    <w:p>
      <w:pPr>
        <w:pStyle w:val="Heading2"/>
      </w:pPr>
      <w:r>
        <w:t>RT-04. Integridad y continuidad</w:t>
      </w:r>
    </w:p>
    <w:p>
      <w:r>
        <w:t>Garantizar consistencia transaccional de inventario y atención, copias de seguridad automatizadas y restauración verificable. Objetivos propuestos: RPO máximo 24 horas y RTO máximo 8 horas, sujetos a dimensionamiento. Demostrar restauración en ambiente aislado con conciliación de registros.</w:t>
      </w:r>
    </w:p>
    <w:p>
      <w:pPr>
        <w:pStyle w:val="Heading2"/>
      </w:pPr>
      <w:r>
        <w:t>RT-05. Rendimiento y disponibilidad</w:t>
      </w:r>
    </w:p>
    <w:p>
      <w:r>
        <w:t>Objetivo propuesto: percentil 95 de hasta 3 segundos en consultas y registros ordinarios, excluyendo reportes masivos e interfaces externas, con [COMPLETAR] usuarios concurrentes y volumen acordado. Ejecutar una prueba de 60 minutos tras calentamiento y entregar métricas de errores y tiempos. Disponibilidad mensual propuesta: 99.5% en la ventana contratada.</w:t>
      </w:r>
    </w:p>
    <w:p>
      <w:pPr>
        <w:pStyle w:val="Heading2"/>
      </w:pPr>
      <w:r>
        <w:t>RT-06. Interoperabilidad y salida</w:t>
      </w:r>
    </w:p>
    <w:p>
      <w:r>
        <w:t>Documentar contratos de API, autenticación, errores, catálogos y formatos de intercambio. Para cada integración, fijar origen, destino, campos, frecuencia y prueba de aceptación. Entregar exportación completa de datos y adjuntos en formatos abiertos, con diccionario y relaciones suficientes para reutilización.</w:t>
      </w:r>
    </w:p>
    <w:p>
      <w:pPr>
        <w:pStyle w:val="Heading2"/>
      </w:pPr>
      <w:r>
        <w:t>RT-07. Verificación técnica</w:t>
      </w:r>
    </w:p>
    <w:p>
      <w:r>
        <w:t>Entregar pruebas de autorización, integridad, restauración y rendimiento; análisis de vulnerabilidades y correcciones. La recepción productiva exige ausencia de hallazgos críticos o altos pendientes que afecten el alcance, clasificados con un método acordado. Los resultados de pruebas deben indicar versión, ambiente y fecha.</w:t>
      </w:r>
    </w:p>
    <w:p>
      <w:pPr>
        <w:pStyle w:val="Heading2"/>
      </w:pPr>
      <w:r>
        <w:t>RT-08. Seguridad del componente móvil</w:t>
      </w:r>
    </w:p>
    <w:p>
      <w:r>
        <w:t>Usar exclusivamente HTTPS en producción, validar certificados y deshabilitar tráfico en texto claro. Almacenar tokens, llaves y secretos en mecanismos seguros del sistema operativo; no incluir secretos, credenciales ni URL locales fijas en el paquete. Aplicar expiración y revocación de sesiones, ocultar datos sensibles en registros y vistas recientes, minimizar permisos y proteger archivos descargados. Someter las versiones Android e iOS a pruebas de seguridad móvil basadas en un estándar reconocido y corregir hallazgos críticos o altos antes de la recepción.</w:t>
      </w:r>
    </w:p>
    <w:p>
      <w:pPr>
        <w:pStyle w:val="Heading2"/>
      </w:pPr>
      <w:r>
        <w:t>RT-09. Calidad y compatibilidad móvil</w:t>
      </w:r>
    </w:p>
    <w:p>
      <w:r>
        <w:t>Probar instalación, actualización, accesibilidad, consumo de red, recuperación ante interrupciones y flujos RM en una matriz de dispositivos reales y emulados aprobada. La entidad completará las versiones mínimas de Android [COMPLETAR] e iOS [COMPLETAR]. Las compilaciones de producción deberán usar identificador, firma y configuración institucional, sin claves de depuración.</w:t>
      </w:r>
    </w:p>
    <w:p>
      <w:pPr>
        <w:pStyle w:val="Heading2"/>
      </w:pPr>
      <w:r>
        <w:t>RT-10. Servicios de publicación y mensajería</w:t>
      </w:r>
    </w:p>
    <w:p>
      <w:r>
        <w:t>El oferente configurará los servicios de notificaciones y publicación definidos en el alcance, documentará sus costos y dependencias y transferirá la administración a la entidad. Los ambientes de desarrollo, pruebas y producción utilizarán credenciales separadas. La aplicación deberá seguir operando en sus funciones básicas si el servicio de notificaciones está temporalmente indisponible.</w:t>
      </w:r>
    </w:p>
    <w:p>
      <w:r>
        <w:br w:type="page"/>
      </w:r>
    </w:p>
    <w:p>
      <w:pPr>
        <w:pStyle w:val="Heading1"/>
      </w:pPr>
      <w:r>
        <w:t>4. Implementación, entregables y recepción</w:t>
      </w:r>
    </w:p>
    <w:p>
      <w:r>
        <w:t>Cronograma referencial de 24 semanas desde la orden de inicio y entrega de insumos institucionales. El calendario definitivo debe aprobarse antes de publicar y responder al número de sedes y volumen real de migración.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900"/>
        <w:gridCol w:w="6500"/>
        <w:gridCol w:w="960"/>
      </w:tblGrid>
      <w:tr>
        <w:trPr>
          <w:cantSplit/>
          <w:tblHeader/>
        </w:trPr>
        <w:tc>
          <w:tcPr>
            <w:tcW w:type="dxa" w:w="1900"/>
            <w:shd w:fill="F2F4F7"/>
          </w:tcPr>
          <w:p>
            <w:pPr>
              <w:spacing w:after="60" w:before="0"/>
            </w:pPr>
            <w:r>
              <w:rPr>
                <w:b/>
                <w:sz w:val="18"/>
              </w:rPr>
              <w:t>Hito / plazo</w:t>
            </w:r>
          </w:p>
        </w:tc>
        <w:tc>
          <w:tcPr>
            <w:tcW w:type="dxa" w:w="6500"/>
            <w:shd w:fill="F2F4F7"/>
          </w:tcPr>
          <w:p>
            <w:pPr>
              <w:spacing w:after="60" w:before="0"/>
            </w:pPr>
            <w:r>
              <w:rPr>
                <w:b/>
                <w:sz w:val="18"/>
              </w:rPr>
              <w:t>Entregable y condición de aceptación</w:t>
            </w:r>
          </w:p>
        </w:tc>
        <w:tc>
          <w:tcPr>
            <w:tcW w:type="dxa" w:w="960"/>
            <w:shd w:fill="F2F4F7"/>
          </w:tcPr>
          <w:p>
            <w:pPr>
              <w:spacing w:after="60" w:before="0"/>
            </w:pPr>
            <w:r>
              <w:rPr>
                <w:b/>
                <w:sz w:val="18"/>
              </w:rPr>
              <w:t>Pago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D1 · semanas 1–3</w:t>
            </w:r>
          </w:p>
        </w:tc>
        <w:tc>
          <w:tcPr>
            <w:tcW w:type="dxa" w:w="65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Diagnóstico, alcance detallado, matriz RF/RT, riesgos, plan de proyecto y diseño aprobados.</w:t>
            </w:r>
          </w:p>
        </w:tc>
        <w:tc>
          <w:tcPr>
            <w:tcW w:type="dxa" w:w="9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10%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D2 · semanas 4–10</w:t>
            </w:r>
          </w:p>
        </w:tc>
        <w:tc>
          <w:tcPr>
            <w:tcW w:type="dxa" w:w="65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Ambiente de pruebas, configuración, módulos y versión móvil alfa para Android e iOS; pruebas funcionales trazables aprobadas.</w:t>
            </w:r>
          </w:p>
        </w:tc>
        <w:tc>
          <w:tcPr>
            <w:tcW w:type="dxa" w:w="9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20%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D3 · semanas 11–15</w:t>
            </w:r>
          </w:p>
        </w:tc>
        <w:tc>
          <w:tcPr>
            <w:tcW w:type="dxa" w:w="65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Migración de ensayo, interfaces incluidas y conciliación de datos; pruebas técnicas aprobadas.</w:t>
            </w:r>
          </w:p>
        </w:tc>
        <w:tc>
          <w:tcPr>
            <w:tcW w:type="dxa" w:w="9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20%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D4 · semanas 16–19</w:t>
            </w:r>
          </w:p>
        </w:tc>
        <w:tc>
          <w:tcPr>
            <w:tcW w:type="dxa" w:w="65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Piloto web y móvil, formación por roles, pruebas en dispositivos y aceptación de usuarios; incidencias críticas resueltas.</w:t>
            </w:r>
          </w:p>
        </w:tc>
        <w:tc>
          <w:tcPr>
            <w:tcW w:type="dxa" w:w="9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20%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D5 · semanas 20–24</w:t>
            </w:r>
          </w:p>
        </w:tc>
        <w:tc>
          <w:tcPr>
            <w:tcW w:type="dxa" w:w="65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Despliegue, aplicaciones móviles firmadas y distribuidas, estabilización mínima de 30 días, documentación, transferencia y acta final.</w:t>
            </w:r>
          </w:p>
        </w:tc>
        <w:tc>
          <w:tcPr>
            <w:tcW w:type="dxa" w:w="9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30%</w:t>
            </w:r>
          </w:p>
        </w:tc>
      </w:tr>
    </w:tbl>
    <w:p>
      <w:r>
        <w:t>Los porcentajes corresponden al componente de implementación, suman 100% y se devengan contra entregables aceptados. El soporte recurrente, si tiene precio separado, se pagará por períodos vencidos con informe de servicio. No habrá doble cobro por correcciones cubiertas por garantía.</w:t>
      </w:r>
    </w:p>
    <w:p>
      <w:pPr>
        <w:pStyle w:val="Heading2"/>
      </w:pPr>
      <w:r>
        <w:t>Migración y puesta en operación</w:t>
      </w:r>
    </w:p>
    <w:p>
      <w:r>
        <w:t>Inventariar fuentes, mapear campos, acordar reglas de depuración y ejecutar al menos una migración de ensayo. Conciliar cantidades por entidad, saldos de inventario, relaciones y muestras clínicas aprobadas; documentar registros rechazados y su resolución. No eliminar las fuentes originales antes de la aceptación y la autorización institucional.</w:t>
      </w:r>
    </w:p>
    <w:p>
      <w:r>
        <w:t>El plan de corte incluirá responsables, respaldo, ventana de indisponibilidad, validaciones, criterios de reversión y procedimiento operativo durante la contingencia. La institución designará responsables clínicos, farmacia, estadística y tecnología para validar cada componente.</w:t>
      </w:r>
    </w:p>
    <w:p>
      <w:pPr>
        <w:pStyle w:val="Heading2"/>
      </w:pPr>
      <w:r>
        <w:t>Procedimiento de aceptación y cambios</w:t>
      </w:r>
    </w:p>
    <w:p>
      <w:r>
        <w:t>La entidad dispondrá de 10 días hábiles propuestos para aceptar u observar cada entregable por escrito. El proveedor subsanará dentro del plazo acordado según severidad; se repetirá la prueba afectada. El silencio no constituye aceptación. Las variaciones de alcance requieren análisis de impacto en costo, tiempo y servicio y autorización escrita conforme al contrato.</w:t>
      </w:r>
    </w:p>
    <w:p>
      <w:pPr>
        <w:pStyle w:val="Heading2"/>
      </w:pPr>
      <w:r>
        <w:t>Capacitación y documentación</w:t>
      </w:r>
    </w:p>
    <w:p>
      <w:r>
        <w:t>Entregar manuales de usuario y administración, guía de despliegue, diccionario de datos, API, respaldo y recuperación. Para el componente móvil, incluir guía de publicación, matriz de compatibilidad, configuración por ambiente, certificados y llaves bajo custodia acordada, política de versiones, soporte al usuario y material breve para pacientes. Capacitar por rol y formar administradores institucionales; entregar asistencia y ejercicios prácticos. Meta propuesta: al menos 80% de logro en los ejercicios de cada participante, con refuerzo para quienes no alcancen el resultado.</w:t>
      </w:r>
    </w:p>
    <w:p>
      <w:r>
        <w:br w:type="page"/>
      </w:r>
    </w:p>
    <w:p>
      <w:pPr>
        <w:pStyle w:val="Heading1"/>
      </w:pPr>
      <w:r>
        <w:t>5. Garantía, soporte y condiciones de operación</w:t>
      </w:r>
    </w:p>
    <w:p>
      <w:r>
        <w:t>Se propone garantía de 12 meses a partir de la recepción final para corregir defectos del alcance aceptado, sin costo adicional. El oferente incluirá mesa de ayuda, canales de contacto, escalamiento y responsables, distinguiendo garantía correctiva de nuevas funcionalidades.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500"/>
        <w:gridCol w:w="4200"/>
        <w:gridCol w:w="3660"/>
      </w:tblGrid>
      <w:tr>
        <w:trPr>
          <w:cantSplit/>
          <w:tblHeader/>
        </w:trPr>
        <w:tc>
          <w:tcPr>
            <w:tcW w:type="dxa" w:w="1500"/>
            <w:shd w:fill="F2F4F7"/>
          </w:tcPr>
          <w:p>
            <w:pPr>
              <w:spacing w:after="60" w:before="0"/>
            </w:pPr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4200"/>
            <w:shd w:fill="F2F4F7"/>
          </w:tcPr>
          <w:p>
            <w:pPr>
              <w:spacing w:after="60" w:before="0"/>
            </w:pPr>
            <w:r>
              <w:rPr>
                <w:b/>
                <w:sz w:val="18"/>
              </w:rPr>
              <w:t>Ejemplo</w:t>
            </w:r>
          </w:p>
        </w:tc>
        <w:tc>
          <w:tcPr>
            <w:tcW w:type="dxa" w:w="3660"/>
            <w:shd w:fill="F2F4F7"/>
          </w:tcPr>
          <w:p>
            <w:pPr>
              <w:spacing w:after="60" w:before="0"/>
            </w:pPr>
            <w:r>
              <w:rPr>
                <w:b/>
                <w:sz w:val="18"/>
              </w:rPr>
              <w:t>Respuesta / restauración propuesta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P1 · crítica</w:t>
            </w:r>
          </w:p>
        </w:tc>
        <w:tc>
          <w:tcPr>
            <w:tcW w:type="dxa" w:w="42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Caída general, exposición de datos o imposibilidad de atención esencial.</w:t>
            </w:r>
          </w:p>
        </w:tc>
        <w:tc>
          <w:tcPr>
            <w:tcW w:type="dxa" w:w="36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30 minutos / 4 horas; cobertura 24×7.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P2 · alta</w:t>
            </w:r>
          </w:p>
        </w:tc>
        <w:tc>
          <w:tcPr>
            <w:tcW w:type="dxa" w:w="42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Módulo esencial inutilizable con contingencia limitada.</w:t>
            </w:r>
          </w:p>
        </w:tc>
        <w:tc>
          <w:tcPr>
            <w:tcW w:type="dxa" w:w="36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2 horas / 8 horas; cobertura 24×7.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P3 · media</w:t>
            </w:r>
          </w:p>
        </w:tc>
        <w:tc>
          <w:tcPr>
            <w:tcW w:type="dxa" w:w="42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Falla parcial con alternativa operativa.</w:t>
            </w:r>
          </w:p>
        </w:tc>
        <w:tc>
          <w:tcPr>
            <w:tcW w:type="dxa" w:w="36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8 horas hábiles / 3 días hábiles.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P4 · baja</w:t>
            </w:r>
          </w:p>
        </w:tc>
        <w:tc>
          <w:tcPr>
            <w:tcW w:type="dxa" w:w="42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Defecto menor sin interrupción del servicio.</w:t>
            </w:r>
          </w:p>
        </w:tc>
        <w:tc>
          <w:tcPr>
            <w:tcW w:type="dxa" w:w="36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2 días hábiles / 10 días hábiles.</w:t>
            </w:r>
          </w:p>
        </w:tc>
      </w:tr>
    </w:tbl>
    <w:p>
      <w:r>
        <w:t>Restauración significa recuperación del servicio o una contingencia aceptada; no equivale a corrección definitiva. Para P1/P2 se entregará análisis causal y plan de solución permanente dentro de 5 días hábiles. Horario hábil propuesto: lunes a viernes, 8:00–17:00, hora de Honduras, excepto feriados.</w:t>
      </w:r>
    </w:p>
    <w:p>
      <w:pPr>
        <w:pStyle w:val="Heading2"/>
      </w:pPr>
      <w:r>
        <w:t>Medición y seguimiento</w:t>
      </w:r>
    </w:p>
    <w:p>
      <w:r>
        <w:t>La disponibilidad será 100 × (minutos de la ventana contratada menos minutos de indisponibilidad atribuible al servicio) / minutos de la ventana contratada. Solo se excluirán mantenimientos autorizados previamente y causas externas documentadas según el contrato. Cada incidente tendrá hora de apertura, clasificación, respuesta, restauración y cierre validado.</w:t>
      </w:r>
    </w:p>
    <w:p>
      <w:r>
        <w:t>Presentar informe mensual de disponibilidad, incidentes, cumplimiento de tiempos, respaldos y medidas correctivas. Los descuentos, penalidades, límites y garantías contractuales se fijarán en las condiciones administrativas antes de convocar, evitando fórmulas o montos no aprobados.</w:t>
      </w:r>
    </w:p>
    <w:p>
      <w:pPr>
        <w:pStyle w:val="Heading2"/>
      </w:pPr>
      <w:r>
        <w:t>Licencias, derechos y entrega al finalizar</w:t>
      </w:r>
    </w:p>
    <w:p>
      <w:r>
        <w:t>La entidad conservará control y acceso a sus datos. El oferente identificará componentes propios y de terceros, restricciones, costos recurrentes y derechos de uso. El pliego deberá seleccionar antes de publicarse el régimen de licenciamiento, alojamiento y derechos sobre desarrollos específicos; no se presume transferencia del código preexistente.</w:t>
      </w:r>
    </w:p>
    <w:p>
      <w:r>
        <w:t>Entregar las configuraciones y desarrollos específicos según los derechos contratados. Cuando la continuidad requiera acceso al código preexistente, definir licencia de mantenimiento o custodia con causales y alcance. Al terminar, proporcionar datos, adjuntos, documentación y apoyo de transición durante un plazo propuesto de 30 días, sin bloquear exportaciones.</w:t>
      </w:r>
    </w:p>
    <w:p>
      <w:pPr>
        <w:pStyle w:val="Heading2"/>
      </w:pPr>
      <w:r>
        <w:t>Obligaciones de la entidad</w:t>
      </w:r>
    </w:p>
    <w:p>
      <w:r>
        <w:t>Proveer contrapartes y decisiones oportunas, catálogos y reglas clínicas aprobadas, fuentes de datos autorizadas, conectividad y accesos bajo su responsabilidad. El proveedor mantendrá una matriz de dependencias con alertas tempranas y propuestas de mitigación.</w:t>
      </w:r>
    </w:p>
    <w:p>
      <w:r>
        <w:br w:type="page"/>
      </w:r>
    </w:p>
    <w:p>
      <w:pPr>
        <w:pStyle w:val="Heading1"/>
      </w:pPr>
      <w:r>
        <w:t>6. Contenido de oferta y evaluación propuesta</w:t>
      </w:r>
    </w:p>
    <w:p>
      <w:r>
        <w:t>La unidad de contratación deberá confirmar que el método de selección y la ponderación son admisibles para la modalidad y fuente de financiamiento. La siguiente matriz es una propuesta técnica; no reemplaza el método legal aplicable ni el pliego administrativo.</w:t>
      </w:r>
    </w:p>
    <w:p>
      <w:pPr>
        <w:pStyle w:val="Heading2"/>
      </w:pPr>
      <w:r>
        <w:t>Documentación de la oferta</w:t>
      </w:r>
    </w:p>
    <w:p>
      <w:r>
        <w:t>Presentar resumen de solución; matriz RF/RT/RM con estado y evidencia; arquitectura; plan y equipo de implementación; cronograma; migración; capacitación; garantía y soporte; licencias y dependencias; riesgos y exclusiones; y oferta económica desglosada. La documentación de habilitación, solvencia y garantías será la exigida en las bases del proceso.</w:t>
      </w:r>
    </w:p>
    <w:p>
      <w:r>
        <w:t>Equipo propuesto: coordinación de proyecto, análisis de procesos de salud, desarrollo o configuración, migración e integración, aseguramiento de calidad y capacitación/soporte. Se admitirán roles combinados cuando la dedicación y capacidad estén justificadas. Acreditar experiencia comparable con contratos, actas o referencias verificables, sin exigir experiencia con una entidad o marca específica.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00"/>
        <w:gridCol w:w="650"/>
        <w:gridCol w:w="6410"/>
      </w:tblGrid>
      <w:tr>
        <w:trPr>
          <w:cantSplit/>
          <w:tblHeader/>
        </w:trPr>
        <w:tc>
          <w:tcPr>
            <w:tcW w:type="dxa" w:w="2300"/>
            <w:shd w:fill="F2F4F7"/>
          </w:tcPr>
          <w:p>
            <w:pPr>
              <w:spacing w:after="6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650"/>
            <w:shd w:fill="F2F4F7"/>
          </w:tcPr>
          <w:p>
            <w:pPr>
              <w:spacing w:after="60" w:before="0"/>
            </w:pPr>
            <w:r>
              <w:rPr>
                <w:b/>
                <w:sz w:val="18"/>
              </w:rPr>
              <w:t>Puntos</w:t>
            </w:r>
          </w:p>
        </w:tc>
        <w:tc>
          <w:tcPr>
            <w:tcW w:type="dxa" w:w="6410"/>
            <w:shd w:fill="F2F4F7"/>
          </w:tcPr>
          <w:p>
            <w:pPr>
              <w:spacing w:after="60" w:before="0"/>
            </w:pPr>
            <w:r>
              <w:rPr>
                <w:b/>
                <w:sz w:val="18"/>
              </w:rPr>
              <w:t>Regla propuesta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Prueba funcional</w:t>
            </w:r>
          </w:p>
        </w:tc>
        <w:tc>
          <w:tcPr>
            <w:tcW w:type="dxa" w:w="65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641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Diez escenarios de la sección 7, 4 puntos cada uno.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Solidez técnica</w:t>
            </w:r>
          </w:p>
        </w:tc>
        <w:tc>
          <w:tcPr>
            <w:tcW w:type="dxa" w:w="65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641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Seguridad, restauración y rendimiento: 5 puntos cada uno.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Implementación</w:t>
            </w:r>
          </w:p>
        </w:tc>
        <w:tc>
          <w:tcPr>
            <w:tcW w:type="dxa" w:w="65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41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Plan/migración y capacitación/transferencia: 5 puntos cada uno.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Equipo y experiencia</w:t>
            </w:r>
          </w:p>
        </w:tc>
        <w:tc>
          <w:tcPr>
            <w:tcW w:type="dxa" w:w="65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1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Experiencia comparable verificable: 2.5; equipo y dedicación: 2.5.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Costo total evaluado</w:t>
            </w:r>
          </w:p>
        </w:tc>
        <w:tc>
          <w:tcPr>
            <w:tcW w:type="dxa" w:w="65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641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30 × menor costo admisible / costo de la oferta evaluada.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65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641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Aplicar únicamente si se aprueba este método.</w:t>
            </w:r>
          </w:p>
        </w:tc>
      </w:tr>
    </w:tbl>
    <w:p>
      <w:r>
        <w:t>Para cada subcriterio técnico de 5 puntos: 5 si acredita todos sus elementos; 2.5 si presenta evidencia parcial y un plan de cierre verificable; 0 si no acredita. Para cada subcriterio de 2.5: 2.5 si acredita todos sus elementos; 1.25 si es parcial; 0 sin evidencia. El protocolo definitivo detallará los elementos exigidos antes de publicar.</w:t>
      </w:r>
    </w:p>
    <w:p>
      <w:r>
        <w:t>Umbral técnico propuesto: 49/70, además de los requisitos de admisibilidad aprobados. Todos los requisitos RF, RT y RM deberán cumplirse al recibir la solución. Si una capacidad debe existir al ofertar, deberá señalarse expresamente y justificarse antes de la convocatoria. La evaluación no podrá agregar requisitos durante la demostración.</w:t>
      </w:r>
    </w:p>
    <w:p>
      <w:pPr>
        <w:pStyle w:val="Heading2"/>
      </w:pPr>
      <w:r>
        <w:t>Costo comparable</w:t>
      </w:r>
    </w:p>
    <w:p>
      <w:r>
        <w:t>Comparar un horizonte propuesto de 36 meses: implementación, licencias, alojamiento, soporte, integraciones y componentes obligatorios, con iguales volúmenes y tratamiento tributario. Desglosar moneda, impuestos, renovaciones y precios unitarios por crecimiento. El plazo contractual y presupuesto deben ser compatibles con el horizonte adoptado; evitar contar dos veces el soporte incluido en garantía.</w:t>
      </w:r>
    </w:p>
    <w:p>
      <w:r>
        <w:br w:type="page"/>
      </w:r>
    </w:p>
    <w:p>
      <w:pPr>
        <w:pStyle w:val="Heading1"/>
      </w:pPr>
      <w:r>
        <w:t>7. Demostración y decisiones previas a convocatoria</w:t>
      </w:r>
    </w:p>
    <w:p>
      <w:r>
        <w:t>Aplicar el mismo guion, datos sintéticos, tiempo y ambiente de evaluación a todos los oferentes. Tiempo propuesto: 90 minutos más 30 de preguntas. Registrar resultados en acta; las capturas o presentaciones no sustituyen la ejecución cuando se evalúe una función operativa.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shd w:fill="F2F4F7"/>
          </w:tcPr>
          <w:p>
            <w:pPr>
              <w:spacing w:after="60" w:before="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7560"/>
            <w:shd w:fill="F2F4F7"/>
          </w:tcPr>
          <w:p>
            <w:pPr>
              <w:spacing w:after="60" w:before="0"/>
            </w:pPr>
            <w:r>
              <w:rPr>
                <w:b/>
                <w:sz w:val="18"/>
              </w:rPr>
              <w:t>Evidencia observable para puntaje completo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E1 · acceso y red</w:t>
            </w:r>
          </w:p>
        </w:tc>
        <w:tc>
          <w:tcPr>
            <w:tcW w:type="dxa" w:w="75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Usuario autorizado en dos sedes; acceso a una tercera rechazado; registro de auditoría.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E2 · agenda</w:t>
            </w:r>
          </w:p>
        </w:tc>
        <w:tc>
          <w:tcPr>
            <w:tcW w:type="dxa" w:w="75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Crear jornada y excepción; bloquear doble reserva entre sedes; reprogramar con trazabilidad.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E3 · atención</w:t>
            </w:r>
          </w:p>
        </w:tc>
        <w:tc>
          <w:tcPr>
            <w:tcW w:type="dxa" w:w="75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Identificar paciente, registrar triaje y SOAP, diagnóstico, receta y orden en un mismo historial.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E4 · farmacia</w:t>
            </w:r>
          </w:p>
        </w:tc>
        <w:tc>
          <w:tcPr>
            <w:tcW w:type="dxa" w:w="75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Seleccionar lote FEFO; realizar entrega parcial; registrar saldo y demanda insatisfecha; impedir duplicación del descargo.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E5 · vacunación</w:t>
            </w:r>
          </w:p>
        </w:tc>
        <w:tc>
          <w:tcPr>
            <w:tcW w:type="dxa" w:w="75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Registrar dosis y lote, actualizar saldo y generar carnet vinculado al paciente.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E6 · epidemiología</w:t>
            </w:r>
          </w:p>
        </w:tc>
        <w:tc>
          <w:tcPr>
            <w:tcW w:type="dxa" w:w="75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Activar alerta por diagnóstico configurado, completar ficha y consultar consolidado restringido.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E7 · continuidad</w:t>
            </w:r>
          </w:p>
        </w:tc>
        <w:tc>
          <w:tcPr>
            <w:tcW w:type="dxa" w:w="75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Registrar ingreso, traslado y egreso; consultar controles maternos o infantiles y resultado diagnóstico.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E8 · acceso móvil</w:t>
            </w:r>
          </w:p>
        </w:tc>
        <w:tc>
          <w:tcPr>
            <w:tcW w:type="dxa" w:w="75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Solicitar cuenta, iniciar sesión, forzar cambio de contraseña, cerrar sesión y rechazar reutilización del token.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E9 · servicios móviles</w:t>
            </w:r>
          </w:p>
        </w:tc>
        <w:tc>
          <w:tcPr>
            <w:tcW w:type="dxa" w:w="75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Reservar cita; consultar historial y receta; buscar disponibilidad con fecha de actualización; mostrar carnet verificable.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E10 · seguridad y resiliencia móvil</w:t>
            </w:r>
          </w:p>
        </w:tc>
        <w:tc>
          <w:tcPr>
            <w:tcW w:type="dxa" w:w="7560"/>
          </w:tcPr>
          <w:p>
            <w:pPr>
              <w:spacing w:after="60" w:before="0"/>
            </w:pPr>
            <w:r>
              <w:rPr>
                <w:b w:val="0"/>
                <w:sz w:val="18"/>
              </w:rPr>
              <w:t>Rechazar acceso a otro paciente, proteger notificación y archivo, interrumpir/reanudar red sin duplicar la operación y demostrar paquete de producción firmado.</w:t>
            </w:r>
          </w:p>
        </w:tc>
      </w:tr>
    </w:tbl>
    <w:p>
      <w:pPr>
        <w:pStyle w:val="Heading2"/>
      </w:pPr>
      <w:r>
        <w:t>Datos y acuerdos por completar</w:t>
      </w:r>
    </w:p>
    <w:p>
      <w:r>
        <w:t>Antes de publicar: confirmar entidad y modalidad; financiamiento y presupuesto; sedes y carga; versiones mínimas de Android e iOS; dispositivos objetivo; operación sin conexión; tiendas o distribución institucional; cuentas de publicación; mensajería y costos recurrentes; interfaces; alojamiento; volumen de migración; plazos; matriz de evaluación; licencias y derechos; régimen de soporte; responsables de aceptación y condiciones administrativas. Validar con las áreas clínica, informática, compras y asesoría jurídica.</w:t>
      </w:r>
    </w:p>
    <w:p>
      <w:pPr>
        <w:pStyle w:val="Heading2"/>
      </w:pPr>
      <w:r>
        <w:t>Referencia para contratación en Honduras</w:t>
      </w:r>
    </w:p>
    <w:p>
      <w:r>
        <w:t>Se ha utilizado Honduras como contexto preliminar por la documentación del SISS. El texto de la Ley de Contratación del Estado publicado por ONCAE, artículo 41, orienta a preparar especificaciones que favorezcan la competencia y a evitar exigencias técnicamente innecesarias que restrinjan la participación. Las bases deben admitir equivalencia funcional y criterios objetivos.</w:t>
      </w:r>
    </w:p>
    <w:p>
      <w:r>
        <w:t>Fuente oficial consultada: ONCAE, Ley de Contratación del Estado, versión revisada diciembre de 2016, artículo 41: https://oncae.gob.hn/wp-content/uploads/2024/04/Ley-de-Contratacion-del-Estado-revisada-diciembre-2016.pdf</w:t>
      </w:r>
    </w:p>
    <w:p>
      <w:r>
        <w:t>Consulta: 7 de septiembre de 2026. La unidad jurídica confirmará reformas, disposiciones presupuestarias, documentos estándar y reglas del financiador aplicables al proceso concreto; esta referencia no determina la modalidad ni los umbrales de contratación.</w:t>
      </w:r>
    </w:p>
    <w:p>
      <w:r>
        <w:br w:type="page"/>
      </w:r>
    </w:p>
    <w:p>
      <w:pPr>
        <w:pStyle w:val="Heading1"/>
      </w:pPr>
      <w:r>
        <w:t>Anexo interno · preparación competitiva del SISS</w:t>
      </w:r>
    </w:p>
    <w:p>
      <w:r>
        <w:t>USO INTERNO. Retirar este anexo antes de presentar o publicar los términos de referencia. La preparación competitiva consiste en llegar con evidencia reproducible, alcance claro y costos sustentados.</w:t>
      </w:r>
    </w:p>
    <w:p>
      <w:pPr>
        <w:pStyle w:val="Heading2"/>
      </w:pPr>
      <w:r>
        <w:t>Capacidades que conviene demostrar primero</w:t>
      </w:r>
    </w:p>
    <w:p>
      <w:r>
        <w:t>Priorizar una demostración continua desde la cita hasta el expediente, la receta y el descargo de inventario. Preparar casos de FEFO, entregas parciales y demanda insatisfecha; rotación de profesionales entre establecimientos; vacunación con lote y carnet; alerta epidemiológica; y consulta personal desde el canal ciudadano.</w:t>
      </w:r>
    </w:p>
    <w:p>
      <w:pPr>
        <w:pStyle w:val="Heading2"/>
      </w:pPr>
      <w:r>
        <w:t>Base documental revisada</w:t>
      </w:r>
    </w:p>
    <w:p>
      <w:r>
        <w:t>README.md y SISS_Documentacion_Sistema.md describen atención SOAP/CIE-10, agendas, farmacia, vacunación, epidemiología, apoyo diagnóstico y canal móvil. DOCUMENTACION_TECNICA.md describe API, autenticación, auditoría y operaciones transaccionales. El código Flutter contiene flujos para solicitud y acceso de pacientes, citas, recetas, historial clínico, búsqueda de existencias, carnet con QR y controles prenatales con descarga de PDF. Estas afirmaciones deben contrastarse con pruebas antes de incorporarlas como capacidades acreditadas en una oferta.</w:t>
      </w:r>
    </w:p>
    <w:p>
      <w:r>
        <w:t>Las rutas siss-frontend/src/app/app.routes.ts y los directorios siss-backend/src/modules incluyen hospitalización, control prenatal, pediatría, formularios, referencias y otros módulos. siss-mobile/lib contiene pantallas de citas, farmacia, carnet, historial, stock y control prenatal. La revisión realizada fue documental y estructural; no incluyó pruebas de ejecución ni auditoría integral del código.</w:t>
      </w:r>
    </w:p>
    <w:p>
      <w:pPr>
        <w:pStyle w:val="Heading2"/>
      </w:pPr>
      <w:r>
        <w:t>Brechas que deben cerrarse antes de prometer cumplimiento</w:t>
      </w:r>
    </w:p>
    <w:p>
      <w:r>
        <w:t>Verificar funcionamiento extremo a extremo y permisos en API; bloqueo de duplicados y concurrencia; protección de bitácoras; restauración; pruebas de carga; autenticación multifactor; cifrado; versionado de formularios; distribución móvil e integraciones externas. En la app móvil deben sustituirse la URL local y el tráfico HTTP por configuración HTTPS de producción; mover tokens desde preferencias generales a almacenamiento seguro; configurar firma e identificador institucional; implementar y probar notificaciones; revisar permisos de ubicación; proteger PDF y QR; eliminar datos sensibles de registros; y completar pruebas Android e iOS. No afirmar integración productiva con PACS, analizadores o registros nacionales sin una prueba y autorización de la contraparte.</w:t>
      </w:r>
    </w:p>
    <w:p>
      <w:pPr>
        <w:pStyle w:val="Heading2"/>
      </w:pPr>
      <w:r>
        <w:t>Paquete recomendado para participar</w:t>
      </w:r>
    </w:p>
    <w:p>
      <w:r>
        <w:t>Preparar una matriz RF/RT/RM con evidencia y responsable, una instalación demostrable con datos sintéticos, paquetes móviles firmados de prueba, matriz de dispositivos, actas de pruebas fechadas, fichas del equipo, referencias autorizadas, cronograma con dependencias y costos totales a 36 meses. Para cada desarrollo pendiente, indicar esfuerzo, precio, fecha y criterio de aceptación.</w:t>
      </w:r>
    </w:p>
    <w:p>
      <w:r>
        <w:t>Revisar especialmente los objetivos propuestos de disponibilidad, soporte, concurrencia y 24 semanas: no provienen de mediciones del SISS y pueden requerir inversión adicional. Diferenciar lo disponible de lo que se ofrece desarrollar evita compromisos difíciles de cumplir y permite defender técnicamente el valor de la propuesta.</w:t>
      </w:r>
    </w:p>
    <w:p>
      <w:pPr>
        <w:pStyle w:val="Heading2"/>
      </w:pPr>
      <w:r>
        <w:t>Control de liberación</w:t>
      </w:r>
    </w:p>
    <w:p>
      <w:r>
        <w:t>Responsable técnico: [COMPLETAR]. Revisión de compras y jurídica: [COMPLETAR]. Fecha de aprobación: [COMPLETAR]. Retirar este anexo y resolver todos los campos pendientes antes de emitir una versión institucional.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Versión 1.0 · 07 septiembre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SISTEMA INTEGRAL DE SERVICIOS DE SALUD  |  TDR · BORRADOR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200" w:line="264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60" w:line="264" w:lineRule="auto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de referencia — Plataforma integral de servicios de salud</dc:title>
  <dc:subject>Borrador técnico de contratación basado en el alcance SISS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