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color w:val="0F6E56"/>
          <w:sz w:val="40"/>
          <w:szCs w:val="40"/>
        </w:rPr>
        <w:t xml:space="preserve">Matriz metodológica de la investigación</w:t>
      </w:r>
    </w:p>
    <w:p>
      <w:pPr>
        <w:pBdr>
          <w:bottom w:val="single" w:color="0F6E56" w:sz="12" w:space="4"/>
        </w:pBdr>
        <w:spacing w:after="200"/>
      </w:pPr>
      <w:r>
        <w:rPr>
          <w:color w:val="4B5563"/>
          <w:sz w:val="20"/>
          <w:szCs w:val="20"/>
        </w:rPr>
        <w:t xml:space="preserve">Aplicación de machine learning para predecir la flotación de relaves de lixiviación, Lima 2026 · Barboza Duran, E. M. y Ruiz Torres, A. · Maestría en Inteligencia Artificial, UCV</w:t>
      </w:r>
    </w:p>
    <w:p>
      <w:pPr>
        <w:spacing w:after="120" w:line="276"/>
      </w:pPr>
      <w:r>
        <w:t xml:space="preserve">Resumen de la metodología de la tesis </w:t>
      </w:r>
      <w:r>
        <w:rPr>
          <w:b/>
          <w:bCs/>
        </w:rPr>
        <w:t xml:space="preserve">Aplicación de machine learning para predecir la flotación de relaves de lixiviación, Lima 2026</w:t>
      </w:r>
      <w:r>
        <w:t xml:space="preserve"> (Barboza Duran y Ruiz Torres, UCV), elaborado a partir del capítulo II (Metodología), los Anexos 1 (operacionalización) y 6 (matriz de consistencia) y el planteamiento de hipótesis Ho-Hi vigente, implementado en la versión v7 del código en RStudio (</w:t>
      </w:r>
      <w:r>
        <w:rPr>
          <w:rFonts w:ascii="Consolas" w:cs="Consolas" w:eastAsia="Consolas" w:hAnsi="Consolas"/>
          <w:color w:val="9A3412"/>
          <w:sz w:val="19"/>
          <w:szCs w:val="19"/>
        </w:rPr>
        <w:t xml:space="preserve">S3_TESIS_MIA_BarbozaEdwin-RuizAlfonso_Codigo_RStudio_v7.R</w:t>
      </w:r>
      <w:r>
        <w:t xml:space="preserve">). Las páginas citadas son las del informe.</w:t>
      </w:r>
    </w:p>
    <w:p>
      <w:pPr>
        <w:pStyle w:val="Heading1"/>
        <w:keepNext/>
      </w:pPr>
      <w:r>
        <w:t xml:space="preserve">Tabla 1. Diseño metodológico de la investigación</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7536"/>
        <w:gridCol w:w="2178"/>
      </w:tblGrid>
      <w:tr>
        <w:trPr>
          <w:tblHeader/>
        </w:trPr>
        <w:tc>
          <w:tcPr>
            <w:tcW w:type="dxa" w:w="4856"/>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Componente</w:t>
            </w:r>
          </w:p>
        </w:tc>
        <w:tc>
          <w:tcPr>
            <w:tcW w:type="dxa" w:w="7536"/>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Descripción en la tesis</w:t>
            </w:r>
          </w:p>
        </w:tc>
        <w:tc>
          <w:tcPr>
            <w:tcW w:type="dxa" w:w="217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Página</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Tipo</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Aplicada (Ñaupas et al.), con orientación tecnológica: parte de un problema concreto de planta y desarrolla una herramienta (sensores blandos con Random Forest y XGBoost)</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34</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Enfoque</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Cuantitativo: datos numéricos del proceso y evaluación con métricas estadísticas</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34</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Diseño</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No experimental (no se manipularon condiciones de flotación), transversal (enero a setiembre de 2026) y predictivo (construir, entrenar, validar y comparar modelos)</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35</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Alcance</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Explicativo con propósito predictivo: estima las salidas e identifica qué variables pesan más mediante importancia de variables</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36</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Variable independiente</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Modelo predictivo basado en inteligencia artificial (Random Forest y XGBoost)</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36</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Variable dependiente</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Flotación de relaves de lixiviación, con 3 dimensiones: rendimiento de recuperación metálica, calidad del concentrado y eficiencia en el uso de insumos químicos</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36–38</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Unidad de análisis</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Registro operacional por guardia: una fila con lecturas SCADA/PLC, análisis de laboratorio y consumos de reactivos del turno</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38</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Población</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Totalidad de registros históricos del circuito de flotación de relaves de lixiviación, enero a setiembre de 2026, en una planta de la región Lima</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39</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Criterios de inclusión</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Operación normal; valores válidos de las variables de la ficha; resultado de laboratorio sincronizable con el turno</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40</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Criterios de exclusión</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Paradas, arranques, mantenimientos y fallas de instrumentación; duplicados; valores fuera del rango físico; registros sin resultado de laboratorio</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40</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Muestra y muestreo</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Censo de 547 registros válidos; sin muestreo (la muestra coincide con la población válida)</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40</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Técnica</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Observación estructurada, no participante, indirecta y documental de registros de planta</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40–41</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Instrumento</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Ficha de Recolección de Datos Operacionales y Metalúrgicos (Anexo 2): 38 variables de entrada en 5 bloques y 3 variables de salida</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41–42</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Validez</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Juicio de 3 expertos (ingenieros industrial, de minas y de sistemas); V de Aiken = 1.00 en suficiencia, claridad, coherencia y relevancia (Anexo 3)</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43</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Confiabilidad del instrumento</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Prueba piloto con 10 registros: ICC y correlación de Pearson cercanos a 1; no aplica alfa de Cronbach (ficha de datos, no escala)</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43</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Confiabilidad del modelo</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Estabilidad de R², MAE, RMSE y MAPE en entrenamiento, validación y prueba; control de sobreajuste por validación y partición cronológica</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44</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Partición</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Temporal 70 / 15 / 15 (entrenamiento / validación / prueba) para evitar fuga de información</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44–45</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Modelo base</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Media histórica de entrenamiento + validación asignada a todo el conjunto de prueba (equivalente a DummyRegressor, strategy = "mean")</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46</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Hiperparámetros</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Random Forest: n_estimators, max_depth, min_samples_leaf, max_features. XGBoost: learning_rate, max_depth, subsample, colsample_bytree. Elegidos por error en validación; reentreno con entrenamiento + validación y evaluación única en prueba</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47–48</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Métricas</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R², MAE, RMSE, MAPE. Criterio de cumplimiento: R² ≥ 0.75, MAPE ≤ 10 % y MAE y RMSE menores que los del modelo base. La reducción frente al modelo base (ecuación i15) y el cociente RMSE/MAE se reportan como indicadores descriptivos</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48–49</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Prueba estadística</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Diebold-Mariano con corrección de Harvey, Leybourne y Newbold, α = 0.05, aplicada dos veces: con errores al cuadrado y con errores absolutos (Ho4-Hi4)</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49</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Interpretabilidad</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Importancia de variables: %IncMSE (Random Forest) y Gain (XGBoost); SHAP previsto como complemento</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44, 50</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Software</w:t>
            </w:r>
          </w:p>
        </w:tc>
        <w:tc>
          <w:tcPr>
            <w:tcW w:type="dxa" w:w="753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 4.6.1 y RStudio; aplicación shiny con bslib; readxl, randomForest, xgboost, ggplot2, DT, gridExtra y gtable (código v7). Versión equivalente en Python para Google Colab</w:t>
            </w:r>
          </w:p>
        </w:tc>
        <w:tc>
          <w:tcPr>
            <w:tcW w:type="dxa" w:w="217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49</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Aspectos éticos</w:t>
            </w:r>
          </w:p>
        </w:tc>
        <w:tc>
          <w:tcPr>
            <w:tcW w:type="dxa" w:w="753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Código de Ética UCV; confidencialidad y anonimización de la empresa; no maleficencia técnica; citas IEEE; Turnitin (Anexo 7); autorización de la empresa (Anexos 4 y 5)</w:t>
            </w:r>
          </w:p>
        </w:tc>
        <w:tc>
          <w:tcPr>
            <w:tcW w:type="dxa" w:w="217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50–52</w:t>
            </w:r>
          </w:p>
        </w:tc>
      </w:tr>
    </w:tbl>
    <w:p>
      <w:pPr>
        <w:spacing w:after="120"/>
      </w:pPr>
    </w:p>
    <w:p>
      <w:pPr>
        <w:pStyle w:val="Heading1"/>
        <w:keepNext/>
        <w:pageBreakBefore/>
      </w:pPr>
      <w:r>
        <w:t xml:space="preserve">Tabla 2. Procedimiento de análisis de datos por fases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3167"/>
        <w:gridCol w:w="5701"/>
        <w:gridCol w:w="5702"/>
      </w:tblGrid>
      <w:tr>
        <w:trPr>
          <w:tblHeader/>
        </w:trPr>
        <w:tc>
          <w:tcPr>
            <w:tcW w:type="dxa" w:w="3167"/>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Fase</w:t>
            </w:r>
          </w:p>
        </w:tc>
        <w:tc>
          <w:tcPr>
            <w:tcW w:type="dxa" w:w="5701"/>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Actividad</w:t>
            </w:r>
          </w:p>
        </w:tc>
        <w:tc>
          <w:tcPr>
            <w:tcW w:type="dxa" w:w="5702"/>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Resultado</w:t>
            </w:r>
          </w:p>
        </w:tc>
      </w:tr>
      <w:tr>
        <w:trPr>
          <w:cantSplit/>
        </w:trPr>
        <w:tc>
          <w:tcPr>
            <w:tcW w:type="dxa" w:w="31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1. Análisis exploratorio</w:t>
            </w:r>
          </w:p>
        </w:tc>
        <w:tc>
          <w:tcPr>
            <w:tcW w:type="dxa" w:w="5701"/>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Medidas de tendencia central, dispersión, rangos y CV; histogramas, diagramas de caja, dispersión y análisis temporal</w:t>
            </w:r>
          </w:p>
        </w:tc>
        <w:tc>
          <w:tcPr>
            <w:tcW w:type="dxa" w:w="5702"/>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Patrones de operación, consumos anómalos y valores atípicos identificados</w:t>
            </w:r>
          </w:p>
        </w:tc>
      </w:tr>
      <w:tr>
        <w:trPr>
          <w:cantSplit/>
        </w:trPr>
        <w:tc>
          <w:tcPr>
            <w:tcW w:type="dxa" w:w="31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2. Preprocesamiento</w:t>
            </w:r>
          </w:p>
        </w:tc>
        <w:tc>
          <w:tcPr>
            <w:tcW w:type="dxa" w:w="5701"/>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Depuración, tratamiento de faltantes, atípicos, homogenización de unidades, escalamiento y sincronización SCADA/PLC–laboratorio</w:t>
            </w:r>
          </w:p>
        </w:tc>
        <w:tc>
          <w:tcPr>
            <w:tcW w:type="dxa" w:w="5702"/>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Base consolidada de 547 registros</w:t>
            </w:r>
          </w:p>
        </w:tc>
      </w:tr>
      <w:tr>
        <w:trPr>
          <w:cantSplit/>
        </w:trPr>
        <w:tc>
          <w:tcPr>
            <w:tcW w:type="dxa" w:w="31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3. Partición</w:t>
            </w:r>
          </w:p>
        </w:tc>
        <w:tc>
          <w:tcPr>
            <w:tcW w:type="dxa" w:w="5701"/>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División temporal 70 / 15 / 15 respetando la cronología</w:t>
            </w:r>
          </w:p>
        </w:tc>
        <w:tc>
          <w:tcPr>
            <w:tcW w:type="dxa" w:w="5702"/>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Subconjuntos de entrenamiento, validación y prueba</w:t>
            </w:r>
          </w:p>
        </w:tc>
      </w:tr>
      <w:tr>
        <w:trPr>
          <w:cantSplit/>
        </w:trPr>
        <w:tc>
          <w:tcPr>
            <w:tcW w:type="dxa" w:w="31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4. Modelado y comparación</w:t>
            </w:r>
          </w:p>
        </w:tc>
        <w:tc>
          <w:tcPr>
            <w:tcW w:type="dxa" w:w="5701"/>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Modelo base; Random Forest y XGBoost con ajuste de hiperparámetros en validación; reentreno y evaluación única en prueba</w:t>
            </w:r>
          </w:p>
        </w:tc>
        <w:tc>
          <w:tcPr>
            <w:tcW w:type="dxa" w:w="5702"/>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R², MAE, RMSE y MAPE frente al modelo base (Tabla 8 de resultados) y prueba Diebold-Mariano con e² y |e| (Tabla 9 de resultados)</w:t>
            </w:r>
          </w:p>
        </w:tc>
      </w:tr>
      <w:tr>
        <w:trPr>
          <w:cantSplit/>
        </w:trPr>
        <w:tc>
          <w:tcPr>
            <w:tcW w:type="dxa" w:w="31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5. Interpretación</w:t>
            </w:r>
          </w:p>
        </w:tc>
        <w:tc>
          <w:tcPr>
            <w:tcW w:type="dxa" w:w="5701"/>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Importancia de variables (%IncMSE y Gain) contrastada con el conocimiento metalúrgico</w:t>
            </w:r>
          </w:p>
        </w:tc>
        <w:tc>
          <w:tcPr>
            <w:tcW w:type="dxa" w:w="5702"/>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Variables de mayor influencia en cada salida</w:t>
            </w:r>
          </w:p>
        </w:tc>
      </w:tr>
      <w:tr>
        <w:trPr>
          <w:cantSplit/>
        </w:trPr>
        <w:tc>
          <w:tcPr>
            <w:tcW w:type="dxa" w:w="31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6. Aplicación</w:t>
            </w:r>
          </w:p>
        </w:tc>
        <w:tc>
          <w:tcPr>
            <w:tcW w:type="dxa" w:w="5701"/>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Uso del modelo como apoyo a la decisión, revisado por metalurgistas</w:t>
            </w:r>
          </w:p>
        </w:tc>
        <w:tc>
          <w:tcPr>
            <w:tcW w:type="dxa" w:w="5702"/>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Recomendaciones para la planta</w:t>
            </w:r>
          </w:p>
        </w:tc>
      </w:tr>
    </w:tbl>
    <w:p>
      <w:pPr>
        <w:spacing w:after="120"/>
      </w:pPr>
    </w:p>
    <w:p>
      <w:pPr>
        <w:pStyle w:val="Heading1"/>
        <w:keepNext/>
        <w:pageBreakBefore/>
      </w:pPr>
      <w:r>
        <w:t xml:space="preserve">Tabla 3. Matriz de consistencia metodológica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428"/>
        <w:gridCol w:w="2428"/>
        <w:gridCol w:w="2428"/>
        <w:gridCol w:w="2428"/>
        <w:gridCol w:w="2428"/>
        <w:gridCol w:w="2430"/>
      </w:tblGrid>
      <w:tr>
        <w:trPr>
          <w:tblHeader/>
        </w:trPr>
        <w:tc>
          <w:tcPr>
            <w:tcW w:type="dxa" w:w="242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Problema</w:t>
            </w:r>
          </w:p>
        </w:tc>
        <w:tc>
          <w:tcPr>
            <w:tcW w:type="dxa" w:w="242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Objetivo</w:t>
            </w:r>
          </w:p>
        </w:tc>
        <w:tc>
          <w:tcPr>
            <w:tcW w:type="dxa" w:w="242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Hipótesis (Ho-Hi)</w:t>
            </w:r>
          </w:p>
        </w:tc>
        <w:tc>
          <w:tcPr>
            <w:tcW w:type="dxa" w:w="242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Dimensión e indicador</w:t>
            </w:r>
          </w:p>
        </w:tc>
        <w:tc>
          <w:tcPr>
            <w:tcW w:type="dxa" w:w="242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Técnica e instrumento</w:t>
            </w:r>
          </w:p>
        </w:tc>
        <w:tc>
          <w:tcPr>
            <w:tcW w:type="dxa" w:w="2430"/>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Análisis y regla de decisión</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PG.</w:t>
            </w:r>
            <w:r>
              <w:rPr>
                <w:sz w:val="18"/>
                <w:szCs w:val="18"/>
              </w:rPr>
              <w:t xml:space="preserve"> ¿En qué medida el modelo predictivo basado en IA permite predecir la flotación de relaves de lixiviación, Lima 2026?</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OG.</w:t>
            </w:r>
            <w:r>
              <w:rPr>
                <w:sz w:val="18"/>
                <w:szCs w:val="18"/>
              </w:rPr>
              <w:t xml:space="preserve"> Determinar en qué medida el modelo predictivo basado en IA permite predecir la flotación de relaves de lixiviación</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Ho-Hi.</w:t>
            </w:r>
            <w:r>
              <w:rPr>
                <w:sz w:val="18"/>
                <w:szCs w:val="18"/>
              </w:rPr>
              <w:t xml:space="preserve"> Hi: en cada una de las tres variables objetivo, al menos un algoritmo (RF o XGBoost) obtiene a la vez R² ≥ 0.75, MAPE ≤ 10 % y MAE y RMSE menores que los del modelo base</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Las 3 dimensiones de la VD</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Observación estructurada; ficha de recolección de datos</w:t>
            </w:r>
          </w:p>
        </w:tc>
        <w:tc>
          <w:tcPr>
            <w:tcW w:type="dxa" w:w="24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Se acepta Hi cuando se aceptan Hi1, Hi2 y Hi3; de lo contrario se acepta Ho</w:t>
            </w:r>
          </w:p>
        </w:tc>
      </w:tr>
      <w:tr>
        <w:trPr>
          <w:cantSplit/>
        </w:trPr>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PE1.</w:t>
            </w:r>
            <w:r>
              <w:rPr>
                <w:sz w:val="18"/>
                <w:szCs w:val="18"/>
              </w:rPr>
              <w:t xml:space="preserve"> ¿En qué medida… permite predecir el rendimiento de la recuperación metálica?</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OE1.</w:t>
            </w:r>
            <w:r>
              <w:rPr>
                <w:sz w:val="18"/>
                <w:szCs w:val="18"/>
              </w:rPr>
              <w:t xml:space="preserve"> Determinar en qué medida… permite predecir el rendimiento de la recuperación metálica</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Ho1-Hi1.</w:t>
            </w:r>
            <w:r>
              <w:rPr>
                <w:sz w:val="18"/>
                <w:szCs w:val="18"/>
              </w:rPr>
              <w:t xml:space="preserve"> Hi1: al menos un algoritmo cumple los cuatro criterios en la recuperación de Au</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D1. Rendimiento de recuperación metálica; I1. Recuperación de Au (%), razón</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Ídem</w:t>
            </w:r>
          </w:p>
        </w:tc>
        <w:tc>
          <w:tcPr>
            <w:tcW w:type="dxa" w:w="2430"/>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RF y XGBoost vs. modelo base en prueba. Se acepta Hi1 si al menos un algoritmo cumple; se acepta Ho1 si ninguno cumple</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PE2.</w:t>
            </w:r>
            <w:r>
              <w:rPr>
                <w:sz w:val="18"/>
                <w:szCs w:val="18"/>
              </w:rPr>
              <w:t xml:space="preserve"> ¿En qué medida… permite predecir la calidad del concentrado?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OE2.</w:t>
            </w:r>
            <w:r>
              <w:rPr>
                <w:sz w:val="18"/>
                <w:szCs w:val="18"/>
              </w:rPr>
              <w:t xml:space="preserve"> Determinar en qué medida… permite predecir la calidad del concentrado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Ho2-Hi2.</w:t>
            </w:r>
            <w:r>
              <w:rPr>
                <w:sz w:val="18"/>
                <w:szCs w:val="18"/>
              </w:rPr>
              <w:t xml:space="preserve"> Hi2: al menos un algoritmo cumple los cuatro criterios en la ley de Au en el concentrado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D2. Calidad del concentrado; I2. Ley de Au en el concentrado (g/t), razón</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Ídem</w:t>
            </w:r>
          </w:p>
        </w:tc>
        <w:tc>
          <w:tcPr>
            <w:tcW w:type="dxa" w:w="24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Misma regla que Ho1-Hi1</w:t>
            </w:r>
          </w:p>
        </w:tc>
      </w:tr>
      <w:tr>
        <w:trPr>
          <w:cantSplit/>
        </w:trPr>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PE3.</w:t>
            </w:r>
            <w:r>
              <w:rPr>
                <w:sz w:val="18"/>
                <w:szCs w:val="18"/>
              </w:rPr>
              <w:t xml:space="preserve"> ¿En qué medida… permite predecir la eficiencia en el uso de insumos químicos?</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OE3.</w:t>
            </w:r>
            <w:r>
              <w:rPr>
                <w:sz w:val="18"/>
                <w:szCs w:val="18"/>
              </w:rPr>
              <w:t xml:space="preserve"> Determinar en qué medida… permite predecir la eficiencia en el uso de insumos químicos</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Ho3-Hi3.</w:t>
            </w:r>
            <w:r>
              <w:rPr>
                <w:sz w:val="18"/>
                <w:szCs w:val="18"/>
              </w:rPr>
              <w:t xml:space="preserve"> Hi3: al menos un algoritmo cumple los cuatro criterios en el consumo específico de reactivos</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D3. Eficiencia en el uso de insumos químicos; I3. Consumo específico de reactivos (kg/t), razón</w:t>
            </w:r>
          </w:p>
        </w:tc>
        <w:tc>
          <w:tcPr>
            <w:tcW w:type="dxa" w:w="242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Ídem</w:t>
            </w:r>
          </w:p>
        </w:tc>
        <w:tc>
          <w:tcPr>
            <w:tcW w:type="dxa" w:w="2430"/>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Misma regla que Ho1-Hi1</w:t>
            </w:r>
          </w:p>
        </w:tc>
      </w:tr>
      <w:tr>
        <w:trPr>
          <w:cantSplit/>
        </w:trPr>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PE4.</w:t>
            </w:r>
            <w:r>
              <w:rPr>
                <w:sz w:val="18"/>
                <w:szCs w:val="18"/>
              </w:rPr>
              <w:t xml:space="preserve"> ¿Cuál de los modelos, Random Forest o XGBoost, presenta mejor desempeño?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OE4.</w:t>
            </w:r>
            <w:r>
              <w:rPr>
                <w:sz w:val="18"/>
                <w:szCs w:val="18"/>
              </w:rPr>
              <w:t xml:space="preserve"> Comparar el desempeño de Random Forest y XGBoost</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Ho4-Hi4.</w:t>
            </w:r>
            <w:r>
              <w:rPr>
                <w:sz w:val="18"/>
                <w:szCs w:val="18"/>
              </w:rPr>
              <w:t xml:space="preserve"> Hi4: un algoritmo es significativamente superior al otro en al menos una variable objetivo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Las 3 variables objetivo</w:t>
            </w:r>
          </w:p>
        </w:tc>
        <w:tc>
          <w:tcPr>
            <w:tcW w:type="dxa" w:w="242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Ídem</w:t>
            </w:r>
          </w:p>
        </w:tc>
        <w:tc>
          <w:tcPr>
            <w:tcW w:type="dxa" w:w="24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Superioridad en una variable: mayor R² y menores RMSE, MAE y MAPE que el otro, y Diebold-Mariano con p &lt; 0.05 con errores al cuadrado y con errores absolutos. Se acepta Hi4 si ocurre en al menos una variable</w:t>
            </w:r>
          </w:p>
        </w:tc>
      </w:tr>
    </w:tbl>
    <w:p>
      <w:pPr>
        <w:spacing w:after="120"/>
      </w:pPr>
    </w:p>
    <w:p>
      <w:pPr>
        <w:spacing w:after="120" w:line="276"/>
      </w:pPr>
      <w:r>
        <w:rPr>
          <w:i/>
          <w:iCs/>
          <w:color w:val="4B5563"/>
          <w:sz w:val="17"/>
          <w:szCs w:val="17"/>
        </w:rPr>
        <w:t xml:space="preserve">Nota. Los cuatro criterios son R² ≥ 0.75, MAPE ≤ 10 %, MAE menor que el del modelo base y RMSE menor que el del modelo base, todos en el conjunto de prueba.</w:t>
      </w:r>
    </w:p>
    <w:p>
      <w:pPr>
        <w:pStyle w:val="Heading1"/>
        <w:keepNext/>
        <w:pageBreakBefore/>
      </w:pPr>
      <w:r>
        <w:t xml:space="preserve">Tabla 4. Planteamiento de las hipótesis</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856"/>
        <w:gridCol w:w="4856"/>
        <w:gridCol w:w="4858"/>
      </w:tblGrid>
      <w:tr>
        <w:trPr>
          <w:tblHeader/>
        </w:trPr>
        <w:tc>
          <w:tcPr>
            <w:tcW w:type="dxa" w:w="4856"/>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Hipótesis</w:t>
            </w:r>
          </w:p>
        </w:tc>
        <w:tc>
          <w:tcPr>
            <w:tcW w:type="dxa" w:w="4856"/>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Hipótesis nula (Ho)</w:t>
            </w:r>
          </w:p>
        </w:tc>
        <w:tc>
          <w:tcPr>
            <w:tcW w:type="dxa" w:w="485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Hipótesis alterna (Hi)</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Ho-Hi</w:t>
            </w:r>
            <w:r>
              <w:rPr>
                <w:sz w:val="18"/>
                <w:szCs w:val="18"/>
              </w:rPr>
              <w:t xml:space="preserve"> (general)</w:t>
            </w:r>
          </w:p>
        </w:tc>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El modelo predictivo basado en IA no presenta un desempeño predictivo adecuado para estimar la flotación de relaves de lixiviación. Se evidencia cuando, en al menos una de las variables objetivo, tanto Random Forest como XGBoost obtienen en prueba al menos uno de estos resultados: R² &lt; 0.75, MAPE &gt; 10 %, o un MAE o un RMSE igual o mayor que el del modelo base.</w:t>
            </w:r>
          </w:p>
        </w:tc>
        <w:tc>
          <w:tcPr>
            <w:tcW w:type="dxa" w:w="4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El modelo predictivo basado en IA presenta un desempeño predictivo adecuado para estimar la flotación de relaves de lixiviación. Se evidencia cuando, en cada una de las tres variables objetivo, al menos uno de los algoritmos obtiene a la vez en prueba R² ≥ 0.75, MAPE ≤ 10 % y MAE y RMSE menores que los del modelo base. </w:t>
            </w:r>
            <w:r>
              <w:rPr>
                <w:i/>
                <w:iCs/>
                <w:sz w:val="18"/>
                <w:szCs w:val="18"/>
              </w:rPr>
              <w:t xml:space="preserve">Regla: se acepta Hi cuando se aceptan Hi1, Hi2 y Hi3.</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Ho1-Hi1</w:t>
            </w:r>
            <w:r>
              <w:rPr>
                <w:sz w:val="18"/>
                <w:szCs w:val="18"/>
              </w:rPr>
              <w:t xml:space="preserve"> (recuperación de Au, %)</w:t>
            </w:r>
          </w:p>
        </w:tc>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El modelo no presenta una capacidad predictiva adecuada para estimar el rendimiento de la recuperación metálica: tanto Random Forest como XGBoost obtienen en prueba al menos uno de estos resultados: R² &lt; 0.75, MAPE &gt; 10 %, o un MAE o un RMSE igual o mayor que el del modelo base.</w:t>
            </w:r>
          </w:p>
        </w:tc>
        <w:tc>
          <w:tcPr>
            <w:tcW w:type="dxa" w:w="485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El modelo presenta una capacidad predictiva adecuada para estimar el rendimiento de la recuperación metálica: al menos uno de los algoritmos obtiene a la vez en prueba R² ≥ 0.75, MAPE ≤ 10 % y MAE y RMSE menores que los del modelo base.</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Ho2-Hi2</w:t>
            </w:r>
            <w:r>
              <w:rPr>
                <w:sz w:val="18"/>
                <w:szCs w:val="18"/>
              </w:rPr>
              <w:t xml:space="preserve"> (ley de Au en el concentrado, g/t)</w:t>
            </w:r>
          </w:p>
        </w:tc>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El modelo no presenta una capacidad predictiva adecuada para estimar la calidad del concentrado: tanto Random Forest como XGBoost obtienen en prueba al menos uno de estos resultados: R² &lt; 0.75, MAPE &gt; 10 %, o un MAE o un RMSE igual o mayor que el del modelo base.</w:t>
            </w:r>
          </w:p>
        </w:tc>
        <w:tc>
          <w:tcPr>
            <w:tcW w:type="dxa" w:w="4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El modelo presenta una capacidad predictiva adecuada para estimar la calidad del concentrado: al menos uno de los algoritmos obtiene a la vez en prueba R² ≥ 0.75, MAPE ≤ 10 % y MAE y RMSE menores que los del modelo base.</w:t>
            </w:r>
          </w:p>
        </w:tc>
      </w:tr>
      <w:tr>
        <w:trPr>
          <w:cantSplit/>
        </w:trPr>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Ho3-Hi3</w:t>
            </w:r>
            <w:r>
              <w:rPr>
                <w:sz w:val="18"/>
                <w:szCs w:val="18"/>
              </w:rPr>
              <w:t xml:space="preserve"> (consumo específico de reactivos, kg/t)</w:t>
            </w:r>
          </w:p>
        </w:tc>
        <w:tc>
          <w:tcPr>
            <w:tcW w:type="dxa" w:w="4856"/>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El modelo no presenta una capacidad predictiva adecuada para estimar la eficiencia en el uso de insumos químicos: tanto Random Forest como XGBoost obtienen en prueba al menos uno de estos resultados: R² &lt; 0.75, MAPE &gt; 10 %, o un MAE o un RMSE igual o mayor que el del modelo base.</w:t>
            </w:r>
          </w:p>
        </w:tc>
        <w:tc>
          <w:tcPr>
            <w:tcW w:type="dxa" w:w="485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El modelo presenta una capacidad predictiva adecuada para estimar la eficiencia en el uso de insumos químicos: al menos uno de los algoritmos obtiene a la vez en prueba R² ≥ 0.75, MAPE ≤ 10 % y MAE y RMSE menores que los del modelo base.</w:t>
            </w:r>
          </w:p>
        </w:tc>
      </w:tr>
      <w:tr>
        <w:trPr>
          <w:cantSplit/>
        </w:trPr>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Ho4-Hi4</w:t>
            </w:r>
            <w:r>
              <w:rPr>
                <w:sz w:val="18"/>
                <w:szCs w:val="18"/>
              </w:rPr>
              <w:t xml:space="preserve"> (Random Forest vs. XGBoost)</w:t>
            </w:r>
          </w:p>
        </w:tc>
        <w:tc>
          <w:tcPr>
            <w:tcW w:type="dxa" w:w="4856"/>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Ninguno de los modelos presenta un desempeño predictivo significativamente superior al del otro. Se evidencia cuando, en cada variable, ocurre en prueba al menos una de estas situaciones: ningún algoritmo obtiene a la vez mayor R² y menores RMSE, MAE y MAPE que el otro; la prueba de Diebold-Mariano da p ≥ 0.05 con los errores al cuadrado o con los errores absolutos.</w:t>
            </w:r>
          </w:p>
        </w:tc>
        <w:tc>
          <w:tcPr>
            <w:tcW w:type="dxa" w:w="4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Uno de los modelos presenta un desempeño predictivo significativamente superior al del otro en al menos una de las variables objetivo. Se evidencia cuando, en esa variable, el algoritmo superior obtiene mayor R² y menores RMSE, MAE y MAPE que el otro, y la prueba de Diebold-Mariano da p &lt; 0.05 tanto con los errores al cuadrado como con los errores absolutos.</w:t>
            </w:r>
          </w:p>
        </w:tc>
      </w:tr>
    </w:tbl>
    <w:p>
      <w:pPr>
        <w:spacing w:after="120"/>
      </w:pPr>
    </w:p>
    <w:p>
      <w:pPr>
        <w:spacing w:after="120" w:line="276"/>
      </w:pPr>
      <w:r>
        <w:rPr>
          <w:i/>
          <w:iCs/>
          <w:color w:val="4B5563"/>
          <w:sz w:val="17"/>
          <w:szCs w:val="17"/>
        </w:rPr>
        <w:t xml:space="preserve">Nota. Enunciados resumidos del planteamiento proporcionado por los autores; todos se evalúan en el conjunto de prueba (Lima, 2026).</w:t>
      </w:r>
    </w:p>
    <w:p>
      <w:pPr>
        <w:pStyle w:val="Heading1"/>
        <w:keepNext/>
        <w:pageBreakBefore/>
      </w:pPr>
      <w:r>
        <w:t xml:space="preserve">Tabla 5. Operacionalización de variables (ampliada)</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2630"/>
        <w:gridCol w:w="3035"/>
        <w:gridCol w:w="2967"/>
        <w:gridCol w:w="3035"/>
        <w:gridCol w:w="1888"/>
        <w:gridCol w:w="1015"/>
      </w:tblGrid>
      <w:tr>
        <w:trPr>
          <w:tblHeader/>
        </w:trPr>
        <w:tc>
          <w:tcPr>
            <w:tcW w:type="dxa" w:w="2630"/>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Variable</w:t>
            </w:r>
          </w:p>
        </w:tc>
        <w:tc>
          <w:tcPr>
            <w:tcW w:type="dxa" w:w="3035"/>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Definición operacional</w:t>
            </w:r>
          </w:p>
        </w:tc>
        <w:tc>
          <w:tcPr>
            <w:tcW w:type="dxa" w:w="2967"/>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Dimensión / componente</w:t>
            </w:r>
          </w:p>
        </w:tc>
        <w:tc>
          <w:tcPr>
            <w:tcW w:type="dxa" w:w="3035"/>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Indicador y fórmula</w:t>
            </w:r>
          </w:p>
        </w:tc>
        <w:tc>
          <w:tcPr>
            <w:tcW w:type="dxa" w:w="188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Escala</w:t>
            </w:r>
          </w:p>
        </w:tc>
        <w:tc>
          <w:tcPr>
            <w:tcW w:type="dxa" w:w="1015"/>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Fuente</w:t>
            </w:r>
          </w:p>
        </w:tc>
      </w:tr>
      <w:tr>
        <w:trPr>
          <w:cantSplit/>
        </w:trPr>
        <w:tc>
          <w:tcPr>
            <w:tcW w:type="dxa" w:w="26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b/>
                <w:bCs/>
                <w:sz w:val="18"/>
                <w:szCs w:val="18"/>
              </w:rPr>
              <w:t xml:space="preserve">VI.</w:t>
            </w:r>
            <w:r>
              <w:rPr>
                <w:sz w:val="18"/>
                <w:szCs w:val="18"/>
              </w:rPr>
              <w:t xml:space="preserve"> Modelo predictivo basado en IA</w:t>
            </w: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Sistema de aprendizaje automático que estima las variables objetivo a partir de 38 predictores del proceso</w:t>
            </w:r>
          </w:p>
        </w:tc>
        <w:tc>
          <w:tcPr>
            <w:tcW w:type="dxa" w:w="29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Algoritmos</w:t>
            </w: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Random Forest y XGBoost, comparados con un modelo base de media histórica</w:t>
            </w:r>
          </w:p>
        </w:tc>
        <w:tc>
          <w:tcPr>
            <w:tcW w:type="dxa" w:w="188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w:t>
            </w:r>
          </w:p>
        </w:tc>
        <w:tc>
          <w:tcPr>
            <w:tcW w:type="dxa" w:w="101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Capítulo II</w:t>
            </w:r>
          </w:p>
        </w:tc>
      </w:tr>
      <w:tr>
        <w:trPr>
          <w:cantSplit/>
        </w:trPr>
        <w:tc>
          <w:tcPr>
            <w:tcW w:type="dxa" w:w="2630"/>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tc>
        <w:tc>
          <w:tcPr>
            <w:tcW w:type="dxa" w:w="29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Variables predictoras</w:t>
            </w: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38 variables en 5 bloques (Tabla 6)</w:t>
            </w:r>
          </w:p>
        </w:tc>
        <w:tc>
          <w:tcPr>
            <w:tcW w:type="dxa" w:w="188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Razón (adimensional para pH)</w:t>
            </w:r>
          </w:p>
        </w:tc>
        <w:tc>
          <w:tcPr>
            <w:tcW w:type="dxa" w:w="101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Ficha (Anexo 2)</w:t>
            </w:r>
          </w:p>
        </w:tc>
      </w:tr>
      <w:tr>
        <w:trPr>
          <w:cantSplit/>
        </w:trPr>
        <w:tc>
          <w:tcPr>
            <w:tcW w:type="dxa" w:w="26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tc>
        <w:tc>
          <w:tcPr>
            <w:tcW w:type="dxa" w:w="29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Desempeño predictivo</w:t>
            </w: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R², MAE, RMSE, MAPE frente al modelo base; reducción RedE = (E base − E modelo) / E base × 100 (i15) como indicador descriptivo</w:t>
            </w:r>
          </w:p>
        </w:tc>
        <w:tc>
          <w:tcPr>
            <w:tcW w:type="dxa" w:w="188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Razón</w:t>
            </w:r>
          </w:p>
        </w:tc>
        <w:tc>
          <w:tcPr>
            <w:tcW w:type="dxa" w:w="101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Capítulo II</w:t>
            </w:r>
          </w:p>
        </w:tc>
      </w:tr>
      <w:tr>
        <w:trPr>
          <w:cantSplit/>
        </w:trPr>
        <w:tc>
          <w:tcPr>
            <w:tcW w:type="dxa" w:w="2630"/>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b/>
                <w:bCs/>
                <w:sz w:val="18"/>
                <w:szCs w:val="18"/>
              </w:rPr>
              <w:t xml:space="preserve">VD.</w:t>
            </w:r>
            <w:r>
              <w:rPr>
                <w:sz w:val="18"/>
                <w:szCs w:val="18"/>
              </w:rPr>
              <w:t xml:space="preserve"> Flotación de relaves de lixiviación</w:t>
            </w: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Se mide con tres dimensiones a partir de los registros de la ficha de recolección</w:t>
            </w:r>
          </w:p>
        </w:tc>
        <w:tc>
          <w:tcPr>
            <w:tcW w:type="dxa" w:w="29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D1. Rendimiento de recuperación metálica</w:t>
            </w: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I1. Recuperación de Au (%): R = (Cc × L) / (F × f) × 100</w:t>
            </w:r>
          </w:p>
        </w:tc>
        <w:tc>
          <w:tcPr>
            <w:tcW w:type="dxa" w:w="188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Razón</w:t>
            </w:r>
          </w:p>
        </w:tc>
        <w:tc>
          <w:tcPr>
            <w:tcW w:type="dxa" w:w="101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Anexo 1</w:t>
            </w:r>
          </w:p>
        </w:tc>
      </w:tr>
      <w:tr>
        <w:trPr>
          <w:cantSplit/>
        </w:trPr>
        <w:tc>
          <w:tcPr>
            <w:tcW w:type="dxa" w:w="2630"/>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tc>
        <w:tc>
          <w:tcPr>
            <w:tcW w:type="dxa" w:w="296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D2. Calidad del concentrado</w:t>
            </w:r>
          </w:p>
        </w:tc>
        <w:tc>
          <w:tcPr>
            <w:tcW w:type="dxa" w:w="303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I2. Ley de Au en el concentrado (g/t): L = Cf / Cc</w:t>
            </w:r>
          </w:p>
        </w:tc>
        <w:tc>
          <w:tcPr>
            <w:tcW w:type="dxa" w:w="188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Razón</w:t>
            </w:r>
          </w:p>
        </w:tc>
        <w:tc>
          <w:tcPr>
            <w:tcW w:type="dxa" w:w="101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Anexo 1</w:t>
            </w:r>
          </w:p>
        </w:tc>
      </w:tr>
      <w:tr>
        <w:trPr>
          <w:cantSplit/>
        </w:trPr>
        <w:tc>
          <w:tcPr>
            <w:tcW w:type="dxa" w:w="2630"/>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tc>
        <w:tc>
          <w:tcPr>
            <w:tcW w:type="dxa" w:w="296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D3. Eficiencia en el uso de insumos químicos</w:t>
            </w:r>
          </w:p>
        </w:tc>
        <w:tc>
          <w:tcPr>
            <w:tcW w:type="dxa" w:w="303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I3. Consumo específico de reactivos (kg/t): Cerf = (R1 + R2 + … + Rn) / F</w:t>
            </w:r>
          </w:p>
        </w:tc>
        <w:tc>
          <w:tcPr>
            <w:tcW w:type="dxa" w:w="188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Razón</w:t>
            </w:r>
          </w:p>
        </w:tc>
        <w:tc>
          <w:tcPr>
            <w:tcW w:type="dxa" w:w="101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Anexo 1</w:t>
            </w:r>
          </w:p>
        </w:tc>
      </w:tr>
    </w:tbl>
    <w:p>
      <w:pPr>
        <w:spacing w:after="120"/>
      </w:pPr>
    </w:p>
    <w:p>
      <w:pPr>
        <w:spacing w:after="120" w:line="276"/>
      </w:pPr>
      <w:r>
        <w:rPr>
          <w:i/>
          <w:iCs/>
          <w:color w:val="4B5563"/>
          <w:sz w:val="17"/>
          <w:szCs w:val="17"/>
        </w:rPr>
        <w:t xml:space="preserve">Nota. Cc: masa del concentrado (t); L: ley de Au en el concentrado (g/t); F: masa de alimentación (t); f: ley de Au en la alimentación (g/t); Cf: oro fino en el concentrado (g); R1…Rn: consumo de cada reactivo (kg).</w:t>
      </w:r>
    </w:p>
    <w:p>
      <w:pPr>
        <w:pStyle w:val="Heading1"/>
        <w:keepNext/>
      </w:pPr>
      <w:r>
        <w:t xml:space="preserve">Tabla 6. Variables predictoras registradas en la ficha (38)</w:t>
      </w:r>
    </w:p>
    <w:tbl>
      <w:tblPr>
        <w:tblW w:type="dxa" w:w="14570"/>
        <w:tblBorders>
          <w:top w:val="single" w:color="auto" w:sz="4"/>
          <w:left w:val="single" w:color="auto" w:sz="4"/>
          <w:bottom w:val="single" w:color="auto" w:sz="4"/>
          <w:right w:val="single" w:color="auto" w:sz="4"/>
          <w:insideH w:val="single" w:color="auto" w:sz="4"/>
          <w:insideV w:val="single" w:color="auto" w:sz="4"/>
        </w:tblBorders>
      </w:tblPr>
      <w:tblGrid>
        <w:gridCol w:w="4285"/>
        <w:gridCol w:w="6427"/>
        <w:gridCol w:w="3858"/>
      </w:tblGrid>
      <w:tr>
        <w:trPr>
          <w:tblHeader/>
        </w:trPr>
        <w:tc>
          <w:tcPr>
            <w:tcW w:type="dxa" w:w="4285"/>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Bloque</w:t>
            </w:r>
          </w:p>
        </w:tc>
        <w:tc>
          <w:tcPr>
            <w:tcW w:type="dxa" w:w="6427"/>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Variables</w:t>
            </w:r>
          </w:p>
        </w:tc>
        <w:tc>
          <w:tcPr>
            <w:tcW w:type="dxa" w:w="3858"/>
            <w:tcBorders>
              <w:top w:val="single" w:color="D1D5DB" w:sz="4"/>
              <w:left w:val="single" w:color="D1D5DB" w:sz="4"/>
              <w:bottom w:val="single" w:color="D1D5DB" w:sz="4"/>
              <w:right w:val="single" w:color="D1D5DB" w:sz="4"/>
            </w:tcBorders>
            <w:shd w:fill="0F6E56" w:color="auto" w:val="clear"/>
            <w:tcMar>
              <w:top w:type="dxa" w:w="50"/>
              <w:left w:type="dxa" w:w="90"/>
              <w:bottom w:type="dxa" w:w="50"/>
              <w:right w:type="dxa" w:w="90"/>
            </w:tcMar>
          </w:tcPr>
          <w:p>
            <w:r>
              <w:rPr>
                <w:b/>
                <w:bCs/>
                <w:color w:val="FFFFFF"/>
                <w:sz w:val="18"/>
                <w:szCs w:val="18"/>
              </w:rPr>
              <w:t xml:space="preserve">Unidades</w:t>
            </w:r>
          </w:p>
        </w:tc>
      </w:tr>
      <w:tr>
        <w:trPr>
          <w:cantSplit/>
        </w:trPr>
        <w:tc>
          <w:tcPr>
            <w:tcW w:type="dxa" w:w="428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Composición de la alimentación</w:t>
            </w:r>
          </w:p>
        </w:tc>
        <w:tc>
          <w:tcPr>
            <w:tcW w:type="dxa" w:w="642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Leyes de Cu, Pb, Zn, Fe, As y Ag (ccPy); %H₂O ccPy; 200M_ccPy; ley de Au de cabeza; % sólidos; % insolubles; densidad de pulpa; granulometría −200 mallas; K30, K50 y K80</w:t>
            </w:r>
          </w:p>
        </w:tc>
        <w:tc>
          <w:tcPr>
            <w:tcW w:type="dxa" w:w="3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g/t, %, g/L, µm</w:t>
            </w:r>
          </w:p>
        </w:tc>
      </w:tr>
      <w:tr>
        <w:trPr>
          <w:cantSplit/>
        </w:trPr>
        <w:tc>
          <w:tcPr>
            <w:tcW w:type="dxa" w:w="428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Dosificación de reactivos</w:t>
            </w:r>
          </w:p>
        </w:tc>
        <w:tc>
          <w:tcPr>
            <w:tcW w:type="dxa" w:w="642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Sulfato de cobre; PAX + SIPX (Z-6 + Z-11); MIBC; metabisulfito de sodio; antiespumante</w:t>
            </w:r>
          </w:p>
        </w:tc>
        <w:tc>
          <w:tcPr>
            <w:tcW w:type="dxa" w:w="385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kg/t</w:t>
            </w:r>
          </w:p>
        </w:tc>
      </w:tr>
      <w:tr>
        <w:trPr>
          <w:cantSplit/>
        </w:trPr>
        <w:tc>
          <w:tcPr>
            <w:tcW w:type="dxa" w:w="428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Fisicoquímicas</w:t>
            </w:r>
          </w:p>
        </w:tc>
        <w:tc>
          <w:tcPr>
            <w:tcW w:type="dxa" w:w="642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pH inicial y final; potencial redox; oxígeno disuelto; cianuro libre inicial y final (FCN_Inic, FCN_Fin); cianuro libre residual</w:t>
            </w:r>
          </w:p>
        </w:tc>
        <w:tc>
          <w:tcPr>
            <w:tcW w:type="dxa" w:w="3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adimensional, mV, mg/L, ppm</w:t>
            </w:r>
          </w:p>
        </w:tc>
      </w:tr>
      <w:tr>
        <w:trPr>
          <w:cantSplit/>
        </w:trPr>
        <w:tc>
          <w:tcPr>
            <w:tcW w:type="dxa" w:w="4285"/>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Operacionales e hidráulicas</w:t>
            </w:r>
          </w:p>
        </w:tc>
        <w:tc>
          <w:tcPr>
            <w:tcW w:type="dxa" w:w="6427"/>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Masa de alimentación; caudal de pulpa; caudal de agua de lavado; nivel de pulpa; tiempo de flotación</w:t>
            </w:r>
          </w:p>
        </w:tc>
        <w:tc>
          <w:tcPr>
            <w:tcW w:type="dxa" w:w="3858"/>
            <w:tcBorders>
              <w:top w:val="single" w:color="D1D5DB" w:sz="4"/>
              <w:left w:val="single" w:color="D1D5DB" w:sz="4"/>
              <w:bottom w:val="single" w:color="D1D5DB" w:sz="4"/>
              <w:right w:val="single" w:color="D1D5DB" w:sz="4"/>
            </w:tcBorders>
            <w:shd w:fill="F3F7F5" w:color="auto" w:val="clear"/>
            <w:tcMar>
              <w:top w:type="dxa" w:w="50"/>
              <w:left w:type="dxa" w:w="90"/>
              <w:bottom w:type="dxa" w:w="50"/>
              <w:right w:type="dxa" w:w="90"/>
            </w:tcMar>
          </w:tcPr>
          <w:p>
            <w:r>
              <w:rPr>
                <w:sz w:val="18"/>
                <w:szCs w:val="18"/>
              </w:rPr>
              <w:t xml:space="preserve">t, m³/h, %, min</w:t>
            </w:r>
          </w:p>
        </w:tc>
      </w:tr>
      <w:tr>
        <w:trPr>
          <w:cantSplit/>
        </w:trPr>
        <w:tc>
          <w:tcPr>
            <w:tcW w:type="dxa" w:w="4285"/>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Aireación y espuma</w:t>
            </w:r>
          </w:p>
        </w:tc>
        <w:tc>
          <w:tcPr>
            <w:tcW w:type="dxa" w:w="6427"/>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Caudal de aire; presión de aire; presión del manifold; apertura de aire; altura de espuma</w:t>
            </w:r>
          </w:p>
        </w:tc>
        <w:tc>
          <w:tcPr>
            <w:tcW w:type="dxa" w:w="3858"/>
            <w:tcBorders>
              <w:top w:val="single" w:color="D1D5DB" w:sz="4"/>
              <w:left w:val="single" w:color="D1D5DB" w:sz="4"/>
              <w:bottom w:val="single" w:color="D1D5DB" w:sz="4"/>
              <w:right w:val="single" w:color="D1D5DB" w:sz="4"/>
            </w:tcBorders>
            <w:shd w:fill="FFFFFF" w:color="auto" w:val="clear"/>
            <w:tcMar>
              <w:top w:type="dxa" w:w="50"/>
              <w:left w:type="dxa" w:w="90"/>
              <w:bottom w:type="dxa" w:w="50"/>
              <w:right w:type="dxa" w:w="90"/>
            </w:tcMar>
          </w:tcPr>
          <w:p>
            <w:r>
              <w:rPr>
                <w:sz w:val="18"/>
                <w:szCs w:val="18"/>
              </w:rPr>
              <w:t xml:space="preserve">Nm³/h, kPa, %, mm</w:t>
            </w:r>
          </w:p>
        </w:tc>
      </w:tr>
    </w:tbl>
    <w:sectPr>
      <w:headerReference w:type="default" r:id="rId7"/>
      <w:footerReference w:type="default" r:id="rId8"/>
      <w:pgSz w:w="16838" w:h="11906" w:orient="landscape"/>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B72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CA3AF"/>
        <w:sz w:val="16"/>
        <w:szCs w:val="16"/>
      </w:rPr>
      <w:t xml:space="preserve">Matriz metodológica · Tesis MIA UCV · Barboza y Ruiz</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120"/>
      <w:outlineLvl w:val="0"/>
    </w:pPr>
    <w:rPr>
      <w:b/>
      <w:bCs/>
      <w:color w:val="0F6E56"/>
      <w:sz w:val="30"/>
      <w:szCs w:val="30"/>
    </w:rPr>
  </w:style>
  <w:style w:type="paragraph" w:styleId="Heading2">
    <w:name w:val="Heading 2"/>
    <w:basedOn w:val="Normal"/>
    <w:next w:val="Normal"/>
    <w:qFormat/>
    <w:pPr>
      <w:spacing w:after="120" w:before="240"/>
      <w:outlineLvl w:val="1"/>
    </w:pPr>
    <w:rPr>
      <w:b/>
      <w:bCs/>
      <w:color w:val="111827"/>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Matriz metodológica de la investigación</dc:title>
  <dc:creator>Edwin Barboza</dc:creator>
  <cp:lastModifiedBy>Un-named</cp:lastModifiedBy>
  <cp:revision>1</cp:revision>
  <dcterms:created xsi:type="dcterms:W3CDTF">2026-10-19T20:33:03.829Z</dcterms:created>
  <dcterms:modified xsi:type="dcterms:W3CDTF">2026-10-19T20:33:03.830Z</dcterms:modified>
</cp:coreProperties>
</file>

<file path=docProps/custom.xml><?xml version="1.0" encoding="utf-8"?>
<Properties xmlns="http://schemas.openxmlformats.org/officeDocument/2006/custom-properties" xmlns:vt="http://schemas.openxmlformats.org/officeDocument/2006/docPropsVTypes"/>
</file>