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color w:val="6B7280"/>
          <w:sz w:val="32"/>
          <w:szCs w:val="32"/>
        </w:rPr>
        <w:t xml:space="preserve">Interpretación de resultados</w:t>
      </w:r>
    </w:p>
    <w:p>
      <w:pPr>
        <w:spacing w:after="240"/>
      </w:pPr>
      <w:r>
        <w:rPr>
          <w:b/>
          <w:bCs/>
          <w:color w:val="0F6E56"/>
          <w:sz w:val="46"/>
          <w:szCs w:val="46"/>
        </w:rPr>
        <w:t xml:space="preserve">Qué significa cada métrica en las tablas del Comparador Random Forest vs. XGBoost</w:t>
      </w:r>
    </w:p>
    <w:p>
      <w:pPr>
        <w:pBdr>
          <w:bottom w:val="single" w:color="0F6E56" w:sz="12" w:space="6"/>
        </w:pBdr>
        <w:spacing w:after="360"/>
      </w:pPr>
    </w:p>
    <w:p>
      <w:pPr>
        <w:spacing w:after="120" w:line="276"/>
      </w:pPr>
      <w:r>
        <w:rPr>
          <w:sz w:val="23"/>
          <w:szCs w:val="23"/>
        </w:rPr>
        <w:t xml:space="preserve">Lectura e interpretación de las Tablas 4 a 9 que genera la aplicación en RStudio (</w:t>
      </w:r>
      <w:r>
        <w:rPr>
          <w:rFonts w:ascii="Consolas" w:cs="Consolas" w:eastAsia="Consolas" w:hAnsi="Consolas"/>
          <w:color w:val="9A3412"/>
          <w:sz w:val="21"/>
          <w:szCs w:val="21"/>
        </w:rPr>
        <w:t xml:space="preserve">S3_TESIS_MIA_BarbozaEdwin-RuizAlfonso_Codigo_RStudio_v7.R</w:t>
      </w:r>
      <w:r>
        <w:rPr>
          <w:sz w:val="23"/>
          <w:szCs w:val="23"/>
        </w:rPr>
        <w:t xml:space="preserve">) con el archivo Datos_Flotacion_de_Relaves.xlsx (547 registros; partición temporal 382 / 82 / 83).</w:t>
      </w:r>
    </w:p>
    <w:p>
      <w:pPr>
        <w:spacing w:after="120" w:line="276"/>
      </w:pPr>
      <w:r>
        <w:rPr>
          <w:color w:val="4B5563"/>
          <w:sz w:val="21"/>
          <w:szCs w:val="21"/>
        </w:rPr>
        <w:t xml:space="preserve">Tesis: Aplicación de machine learning para predecir la flotación de relaves de lixiviación, Lima 2026. Maestría en Inteligencia Artificial, Universidad César Vallejo.</w:t>
      </w:r>
    </w:p>
    <w:p>
      <w:pPr>
        <w:spacing w:after="120" w:line="276"/>
      </w:pPr>
      <w:r>
        <w:rPr>
          <w:color w:val="4B5563"/>
          <w:sz w:val="21"/>
          <w:szCs w:val="21"/>
        </w:rPr>
        <w:t xml:space="preserve">Autores: Barboza Duran, Edwin Miguel · Ruiz Torres, Alfonso. Fecha: 20 de octubre de 2026.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F6E56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Cómo usar este documento</w:t>
            </w:r>
          </w:p>
          <w:p>
            <w:pPr>
              <w:spacing w:after="60" w:line="264"/>
            </w:pPr>
            <w:r>
              <w:rPr>
                <w:sz w:val="20"/>
                <w:szCs w:val="20"/>
              </w:rPr>
              <w:t xml:space="preserve">La sección 1 explica qué mide cada métrica y cómo se lee. Las secciones 2 a 5 interpretan, tabla por tabla, los valores obtenidos con los datos reales. La sección 6 reúne párrafos de interpretación que pueden adaptarse a la redacción del capítulo de resultados.</w:t>
            </w:r>
          </w:p>
          <w:p>
            <w:pPr>
              <w:spacing w:after="60" w:line="264"/>
            </w:pPr>
            <w:r>
              <w:rPr>
                <w:sz w:val="20"/>
                <w:szCs w:val="20"/>
              </w:rPr>
              <w:t xml:space="preserve">Todas las cifras corresponden a la versión R v7, que es la referencia oficial de la tesis. Las métricas que deciden las hipótesis se calculan en el conjunto de prueba (los 83 registros más recientes).</w:t>
            </w:r>
          </w:p>
        </w:tc>
      </w:tr>
    </w:tbl>
    <w:p>
      <w:pPr>
        <w:pageBreakBefore/>
        <w:spacing w:after="200"/>
      </w:pPr>
      <w:r>
        <w:rPr>
          <w:b/>
          <w:bCs/>
          <w:color w:val="0F6E56"/>
          <w:sz w:val="32"/>
          <w:szCs w:val="32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276"/>
      </w:pPr>
      <w:r>
        <w:rPr>
          <w:i/>
          <w:iCs/>
          <w:color w:val="6B7280"/>
          <w:sz w:val="18"/>
          <w:szCs w:val="18"/>
        </w:rPr>
        <w:t xml:space="preserve">Si el índice aparece vacío, en Word haz clic derecho sobre él y elige «Actualizar campo».</w:t>
      </w:r>
    </w:p>
    <w:p>
      <w:pPr>
        <w:pStyle w:val="Heading1"/>
        <w:pageBreakBefore/>
      </w:pPr>
      <w:r>
        <w:t xml:space="preserve">1. Cómo se leen las métricas</w:t>
      </w:r>
    </w:p>
    <w:p>
      <w:pPr>
        <w:spacing w:after="120" w:line="276"/>
      </w:pPr>
      <w:r>
        <w:t xml:space="preserve">Las tablas comparan siempre los valores </w:t>
      </w:r>
      <w:r>
        <w:rPr>
          <w:b/>
          <w:bCs/>
        </w:rPr>
        <w:t xml:space="preserve">reales</w:t>
      </w:r>
      <w:r>
        <w:t xml:space="preserve"> del proceso con los </w:t>
      </w:r>
      <w:r>
        <w:rPr>
          <w:b/>
          <w:bCs/>
        </w:rPr>
        <w:t xml:space="preserve">predichos</w:t>
      </w:r>
      <w:r>
        <w:t xml:space="preserve"> por cada modelo. Cada métrica resume esa diferencia (el error) de una manera distinta, por lo que conviene leerlas en conjunto y no aisladas.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8"/>
        <w:gridCol w:w="2326"/>
        <w:gridCol w:w="1329"/>
        <w:gridCol w:w="997"/>
        <w:gridCol w:w="3768"/>
      </w:tblGrid>
      <w:tr>
        <w:trPr>
          <w:tblHeader/>
        </w:trPr>
        <w:tc>
          <w:tcPr>
            <w:tcW w:type="dxa" w:w="12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mide</w:t>
            </w:r>
          </w:p>
        </w:tc>
        <w:tc>
          <w:tcPr>
            <w:tcW w:type="dxa" w:w="13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Unidades</w:t>
            </w:r>
          </w:p>
        </w:tc>
        <w:tc>
          <w:tcPr>
            <w:tcW w:type="dxa" w:w="99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Mejor valor</w:t>
            </w:r>
          </w:p>
        </w:tc>
        <w:tc>
          <w:tcPr>
            <w:tcW w:type="dxa" w:w="37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Cómo se interpreta</w:t>
            </w:r>
          </w:p>
        </w:tc>
      </w:tr>
      <w:tr>
        <w:tc>
          <w:tcPr>
            <w:tcW w:type="dxa" w:w="12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R²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Proporción de la variabilidad de la variable que el modelo explica</w:t>
            </w:r>
          </w:p>
        </w:tc>
        <w:tc>
          <w:tcPr>
            <w:tcW w:type="dxa" w:w="13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Sin unidades</w:t>
            </w:r>
          </w:p>
        </w:tc>
        <w:tc>
          <w:tcPr>
            <w:tcW w:type="dxa" w:w="99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Cercano a 1</w:t>
            </w:r>
          </w:p>
        </w:tc>
        <w:tc>
          <w:tcPr>
            <w:tcW w:type="dxa" w:w="37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R² = 0.97 significa que el modelo explica el 97 % de las variaciones de la variable. R² = 0 equivale a predecir siempre el promedio; un R² negativo indica que el modelo es peor que ese promedio</w:t>
            </w:r>
          </w:p>
        </w:tc>
      </w:tr>
      <w:tr>
        <w:tc>
          <w:tcPr>
            <w:tcW w:type="dxa" w:w="12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MAE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Error absoluto medio: cuánto se equivoca el modelo en promedio</w:t>
            </w:r>
          </w:p>
        </w:tc>
        <w:tc>
          <w:tcPr>
            <w:tcW w:type="dxa" w:w="13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Las de la variable (pp, g/t, kg/t)</w:t>
            </w:r>
          </w:p>
        </w:tc>
        <w:tc>
          <w:tcPr>
            <w:tcW w:type="dxa" w:w="99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Cercano a 0</w:t>
            </w:r>
          </w:p>
        </w:tc>
        <w:tc>
          <w:tcPr>
            <w:tcW w:type="dxa" w:w="37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MAE = 0.69 pp significa que, en promedio, la recuperación predicha se aleja 0.69 puntos porcentuales de la real</w:t>
            </w:r>
          </w:p>
        </w:tc>
      </w:tr>
      <w:tr>
        <w:tc>
          <w:tcPr>
            <w:tcW w:type="dxa" w:w="12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RMSE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Raíz del error cuadrático medio: como el MAE, pero penaliza más los errores grandes</w:t>
            </w:r>
          </w:p>
        </w:tc>
        <w:tc>
          <w:tcPr>
            <w:tcW w:type="dxa" w:w="13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Las de la variable</w:t>
            </w:r>
          </w:p>
        </w:tc>
        <w:tc>
          <w:tcPr>
            <w:tcW w:type="dxa" w:w="99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Cercano a 0</w:t>
            </w:r>
          </w:p>
        </w:tc>
        <w:tc>
          <w:tcPr>
            <w:tcW w:type="dxa" w:w="37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Siempre es mayor o igual que el MAE. Si el RMSE es mucho mayor que el MAE, el modelo comete algunos errores grandes</w:t>
            </w:r>
          </w:p>
        </w:tc>
      </w:tr>
      <w:tr>
        <w:tc>
          <w:tcPr>
            <w:tcW w:type="dxa" w:w="12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MAPE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Error porcentual absoluto medio: el error expresado como % del valor real</w:t>
            </w:r>
          </w:p>
        </w:tc>
        <w:tc>
          <w:tcPr>
            <w:tcW w:type="dxa" w:w="13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%</w:t>
            </w:r>
          </w:p>
        </w:tc>
        <w:tc>
          <w:tcPr>
            <w:tcW w:type="dxa" w:w="99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Cercano a 0</w:t>
            </w:r>
          </w:p>
        </w:tc>
        <w:tc>
          <w:tcPr>
            <w:tcW w:type="dxa" w:w="37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MAPE = 0.94 % significa que el error típico es menor al 1 % del valor real. Permite comparar variables con distintas unidades</w:t>
            </w:r>
          </w:p>
        </w:tc>
      </w:tr>
      <w:tr>
        <w:tc>
          <w:tcPr>
            <w:tcW w:type="dxa" w:w="12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RRMSE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RMSE relativo a la media observada (aparece en el PDF)</w:t>
            </w:r>
          </w:p>
        </w:tc>
        <w:tc>
          <w:tcPr>
            <w:tcW w:type="dxa" w:w="13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%</w:t>
            </w:r>
          </w:p>
        </w:tc>
        <w:tc>
          <w:tcPr>
            <w:tcW w:type="dxa" w:w="99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Cercano a 0</w:t>
            </w:r>
          </w:p>
        </w:tc>
        <w:tc>
          <w:tcPr>
            <w:tcW w:type="dxa" w:w="37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Indica el tamaño del error frente al nivel típico de la variable</w:t>
            </w:r>
          </w:p>
        </w:tc>
      </w:tr>
      <w:tr>
        <w:tc>
          <w:tcPr>
            <w:tcW w:type="dxa" w:w="12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Red. MAE / Red. RMSE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Cuánto disminuye el error del modelo frente al modelo base</w:t>
            </w:r>
          </w:p>
        </w:tc>
        <w:tc>
          <w:tcPr>
            <w:tcW w:type="dxa" w:w="13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%</w:t>
            </w:r>
          </w:p>
        </w:tc>
        <w:tc>
          <w:tcPr>
            <w:tcW w:type="dxa" w:w="99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Cercano a 100 %</w:t>
            </w:r>
          </w:p>
        </w:tc>
        <w:tc>
          <w:tcPr>
            <w:tcW w:type="dxa" w:w="37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Red. RMSE = 88 % significa que el modelo comete un error 88 % menor que predecir siempre la media histórica</w:t>
            </w:r>
          </w:p>
        </w:tc>
      </w:tr>
      <w:tr>
        <w:tc>
          <w:tcPr>
            <w:tcW w:type="dxa" w:w="12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Estadístico DM y p-valor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Prueba de Diebold-Mariano (HLN): si la diferencia de errores entre RF y XGBoost es real o puede deberse al azar</w:t>
            </w:r>
          </w:p>
        </w:tc>
        <w:tc>
          <w:tcPr>
            <w:tcW w:type="dxa" w:w="13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Sin unidades</w:t>
            </w:r>
          </w:p>
        </w:tc>
        <w:tc>
          <w:tcPr>
            <w:tcW w:type="dxa" w:w="99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 &lt; 0.05</w:t>
            </w:r>
          </w:p>
        </w:tc>
        <w:tc>
          <w:tcPr>
            <w:tcW w:type="dxa" w:w="37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 &lt; 0.05 indica que la diferencia es estadísticamente significativa. Se calcula con errores al cuadrado (e²) y con errores absolutos (|e|)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1.1 Criterios y rangos de referencia</w:t>
      </w:r>
    </w:p>
    <w:p>
      <w:pPr>
        <w:spacing w:after="120" w:line="276"/>
      </w:pPr>
      <w:r>
        <w:t xml:space="preserve">Los criterios de decisión de las hipótesis y los rangos cualitativos de la tesis son los siguientes: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2"/>
        <w:gridCol w:w="2570"/>
        <w:gridCol w:w="5676"/>
      </w:tblGrid>
      <w:tr>
        <w:trPr>
          <w:tblHeader/>
        </w:trPr>
        <w:tc>
          <w:tcPr>
            <w:tcW w:type="dxa" w:w="13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25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 de las hipótesis</w:t>
            </w:r>
          </w:p>
        </w:tc>
        <w:tc>
          <w:tcPr>
            <w:tcW w:type="dxa" w:w="56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Rangos cualitativos (Tabla 1 de la tesis)</w:t>
            </w:r>
          </w:p>
        </w:tc>
      </w:tr>
      <w:tr>
        <w:tc>
          <w:tcPr>
            <w:tcW w:type="dxa" w:w="13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R²</w:t>
            </w:r>
          </w:p>
        </w:tc>
        <w:tc>
          <w:tcPr>
            <w:tcW w:type="dxa" w:w="25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≥ 0.75</w:t>
            </w:r>
          </w:p>
        </w:tc>
        <w:tc>
          <w:tcPr>
            <w:tcW w:type="dxa" w:w="56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≥ 0.75 sustancial · 0.50–0.75 moderado · 0.25–0.50 débil · &lt; 0.25 insuficiente</w:t>
            </w:r>
          </w:p>
        </w:tc>
      </w:tr>
      <w:tr>
        <w:tc>
          <w:tcPr>
            <w:tcW w:type="dxa" w:w="13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MAPE</w:t>
            </w:r>
          </w:p>
        </w:tc>
        <w:tc>
          <w:tcPr>
            <w:tcW w:type="dxa" w:w="25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≤ 10 %</w:t>
            </w:r>
          </w:p>
        </w:tc>
        <w:tc>
          <w:tcPr>
            <w:tcW w:type="dxa" w:w="56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&lt; 10 % excelente · 10–20 % bueno · 20–50 % aceptable · &gt; 50 % inexacto</w:t>
            </w:r>
          </w:p>
        </w:tc>
      </w:tr>
      <w:tr>
        <w:tc>
          <w:tcPr>
            <w:tcW w:type="dxa" w:w="13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RRMSE</w:t>
            </w:r>
          </w:p>
        </w:tc>
        <w:tc>
          <w:tcPr>
            <w:tcW w:type="dxa" w:w="25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 (descriptivo)</w:t>
            </w:r>
          </w:p>
        </w:tc>
        <w:tc>
          <w:tcPr>
            <w:tcW w:type="dxa" w:w="56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&lt; 10 % excelente · 10–20 % bueno · 20–30 % regular · &gt; 30 % deficiente</w:t>
            </w:r>
          </w:p>
        </w:tc>
      </w:tr>
      <w:tr>
        <w:tc>
          <w:tcPr>
            <w:tcW w:type="dxa" w:w="13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MAE y RMSE</w:t>
            </w:r>
          </w:p>
        </w:tc>
        <w:tc>
          <w:tcPr>
            <w:tcW w:type="dxa" w:w="25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Menores que los del modelo base</w:t>
            </w:r>
          </w:p>
        </w:tc>
        <w:tc>
          <w:tcPr>
            <w:tcW w:type="dxa" w:w="56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Sin escala universal: se interpretan en las unidades de cada variable</w:t>
            </w:r>
          </w:p>
        </w:tc>
      </w:tr>
      <w:tr>
        <w:tc>
          <w:tcPr>
            <w:tcW w:type="dxa" w:w="13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Prueba DM</w:t>
            </w:r>
          </w:p>
        </w:tc>
        <w:tc>
          <w:tcPr>
            <w:tcW w:type="dxa" w:w="25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 &lt; 0.05 con e² y con |e| (Ho4-Hi4)</w:t>
            </w:r>
          </w:p>
        </w:tc>
        <w:tc>
          <w:tcPr>
            <w:tcW w:type="dxa" w:w="56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2"/>
        <w:pageBreakBefore/>
      </w:pPr>
      <w:r>
        <w:t xml:space="preserve">1.2 Lecturas complementarias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Cociente RMSE/MAE.</w:t>
      </w:r>
      <w:r>
        <w:t xml:space="preserve"> Con errores de distribución aproximadamente normal vale alrededor de 1.25; valores cercanos a 1.4 o más sugieren algunos errores grandes. En todos los modelos de la tesis el cociente está entre 1.20 y 1.29, lo que indica errores homogéneos, sin predicciones muy alejadas.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Brecha entre subconjuntos.</w:t>
      </w:r>
      <w:r>
        <w:t xml:space="preserve"> Si un modelo tiene un R² muy alto en entrenamiento y bastante menor en validación o prueba, aprendió detalles propios de los datos de entrenamiento (sobreajuste). Lo importante es el desempeño en prueba, porque son datos que el modelo nunca vio.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MAE frente a la media.</w:t>
      </w:r>
      <w:r>
        <w:t xml:space="preserve"> Comparar el MAE con el valor típico de la variable da una idea práctica del error: un MAE de 0.69 pp sobre una recuperación media de 72.9 % es un error pequeño.</w:t>
      </w:r>
    </w:p>
    <w:p>
      <w:pPr>
        <w:pStyle w:val="Heading1"/>
        <w:pageBreakBefore/>
      </w:pPr>
      <w:r>
        <w:t xml:space="preserve">2. Tabla 4. Desempeño en el conjunto de prueba</w:t>
      </w:r>
    </w:p>
    <w:p>
      <w:pPr>
        <w:spacing w:after="120" w:line="276"/>
      </w:pPr>
      <w:r>
        <w:t xml:space="preserve">Es la tabla principal: muestra, para cada variable, el modelo base, Random Forest y XGBoost evaluados en los 83 registros más recientes. La fila resaltada en la app corresponde al mejor modelo (menor suma de puestos en RMSE, MAPE y R²).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4"/>
        <w:gridCol w:w="1445"/>
        <w:gridCol w:w="803"/>
        <w:gridCol w:w="803"/>
        <w:gridCol w:w="803"/>
        <w:gridCol w:w="910"/>
        <w:gridCol w:w="910"/>
        <w:gridCol w:w="910"/>
        <w:gridCol w:w="1020"/>
      </w:tblGrid>
      <w:tr>
        <w:trPr>
          <w:tblHeader/>
        </w:trPr>
        <w:tc>
          <w:tcPr>
            <w:tcW w:type="dxa" w:w="20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R²</w:t>
            </w:r>
          </w:p>
        </w:tc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MAE</w:t>
            </w:r>
          </w:p>
        </w:tc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RMSE</w:t>
            </w:r>
          </w:p>
        </w:tc>
        <w:tc>
          <w:tcPr>
            <w:tcW w:type="dxa" w:w="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MAPE (%)</w:t>
            </w:r>
          </w:p>
        </w:tc>
        <w:tc>
          <w:tcPr>
            <w:tcW w:type="dxa" w:w="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Red. MAE (%)</w:t>
            </w:r>
          </w:p>
        </w:tc>
        <w:tc>
          <w:tcPr>
            <w:tcW w:type="dxa" w:w="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Red. RMSE (%)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Cumple</w:t>
            </w:r>
          </w:p>
        </w:tc>
      </w:tr>
      <w:tr>
        <w:tc>
          <w:tcPr>
            <w:tcW w:type="dxa" w:w="20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Recuperación de Au (%)</w:t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Modelo base</w:t>
            </w:r>
          </w:p>
        </w:tc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-1.124</w:t>
            </w:r>
          </w:p>
        </w:tc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5.473</w:t>
            </w:r>
          </w:p>
        </w:tc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7.362</w:t>
            </w:r>
          </w:p>
        </w:tc>
        <w:tc>
          <w:tcPr>
            <w:tcW w:type="dxa" w:w="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8.07</w:t>
            </w:r>
          </w:p>
        </w:tc>
        <w:tc>
          <w:tcPr>
            <w:tcW w:type="dxa" w:w="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0.973</w:t>
            </w:r>
          </w:p>
        </w:tc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0.686</w:t>
            </w:r>
          </w:p>
        </w:tc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0.836</w:t>
            </w:r>
          </w:p>
        </w:tc>
        <w:tc>
          <w:tcPr>
            <w:tcW w:type="dxa" w:w="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0.94</w:t>
            </w:r>
          </w:p>
        </w:tc>
        <w:tc>
          <w:tcPr>
            <w:tcW w:type="dxa" w:w="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87.5</w:t>
            </w:r>
          </w:p>
        </w:tc>
        <w:tc>
          <w:tcPr>
            <w:tcW w:type="dxa" w:w="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88.6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20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XGBoost</w:t>
            </w:r>
          </w:p>
        </w:tc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0.960</w:t>
            </w:r>
          </w:p>
        </w:tc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0.838</w:t>
            </w:r>
          </w:p>
        </w:tc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1.005</w:t>
            </w:r>
          </w:p>
        </w:tc>
        <w:tc>
          <w:tcPr>
            <w:tcW w:type="dxa" w:w="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1.15</w:t>
            </w:r>
          </w:p>
        </w:tc>
        <w:tc>
          <w:tcPr>
            <w:tcW w:type="dxa" w:w="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84.7</w:t>
            </w:r>
          </w:p>
        </w:tc>
        <w:tc>
          <w:tcPr>
            <w:tcW w:type="dxa" w:w="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86.4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20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Ley de Au en el concentrado (g/t)</w:t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Modelo base</w:t>
            </w:r>
          </w:p>
        </w:tc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-0.002</w:t>
            </w:r>
          </w:p>
        </w:tc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0.285</w:t>
            </w:r>
          </w:p>
        </w:tc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0.354</w:t>
            </w:r>
          </w:p>
        </w:tc>
        <w:tc>
          <w:tcPr>
            <w:tcW w:type="dxa" w:w="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3.77</w:t>
            </w:r>
          </w:p>
        </w:tc>
        <w:tc>
          <w:tcPr>
            <w:tcW w:type="dxa" w:w="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0.985</w:t>
            </w:r>
          </w:p>
        </w:tc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0.035</w:t>
            </w:r>
          </w:p>
        </w:tc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0.044</w:t>
            </w:r>
          </w:p>
        </w:tc>
        <w:tc>
          <w:tcPr>
            <w:tcW w:type="dxa" w:w="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0.46</w:t>
            </w:r>
          </w:p>
        </w:tc>
        <w:tc>
          <w:tcPr>
            <w:tcW w:type="dxa" w:w="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87.9</w:t>
            </w:r>
          </w:p>
        </w:tc>
        <w:tc>
          <w:tcPr>
            <w:tcW w:type="dxa" w:w="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87.6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20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XGBoost</w:t>
            </w:r>
          </w:p>
        </w:tc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0.979</w:t>
            </w:r>
          </w:p>
        </w:tc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0.040</w:t>
            </w:r>
          </w:p>
        </w:tc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0.051</w:t>
            </w:r>
          </w:p>
        </w:tc>
        <w:tc>
          <w:tcPr>
            <w:tcW w:type="dxa" w:w="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0.53</w:t>
            </w:r>
          </w:p>
        </w:tc>
        <w:tc>
          <w:tcPr>
            <w:tcW w:type="dxa" w:w="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86.0</w:t>
            </w:r>
          </w:p>
        </w:tc>
        <w:tc>
          <w:tcPr>
            <w:tcW w:type="dxa" w:w="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85.5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20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Consumo específico de reactivos (kg/t)</w:t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Modelo base</w:t>
            </w:r>
          </w:p>
        </w:tc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-4.350</w:t>
            </w:r>
          </w:p>
        </w:tc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1.140</w:t>
            </w:r>
          </w:p>
        </w:tc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1.264</w:t>
            </w:r>
          </w:p>
        </w:tc>
        <w:tc>
          <w:tcPr>
            <w:tcW w:type="dxa" w:w="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70.95</w:t>
            </w:r>
          </w:p>
        </w:tc>
        <w:tc>
          <w:tcPr>
            <w:tcW w:type="dxa" w:w="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0.740</w:t>
            </w:r>
          </w:p>
        </w:tc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0.226</w:t>
            </w:r>
          </w:p>
        </w:tc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0.279</w:t>
            </w:r>
          </w:p>
        </w:tc>
        <w:tc>
          <w:tcPr>
            <w:tcW w:type="dxa" w:w="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14.70</w:t>
            </w:r>
          </w:p>
        </w:tc>
        <w:tc>
          <w:tcPr>
            <w:tcW w:type="dxa" w:w="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80.1</w:t>
            </w:r>
          </w:p>
        </w:tc>
        <w:tc>
          <w:tcPr>
            <w:tcW w:type="dxa" w:w="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78.0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0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XGBoost</w:t>
            </w:r>
          </w:p>
        </w:tc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0.897</w:t>
            </w:r>
          </w:p>
        </w:tc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0.142</w:t>
            </w:r>
          </w:p>
        </w:tc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0.175</w:t>
            </w:r>
          </w:p>
        </w:tc>
        <w:tc>
          <w:tcPr>
            <w:tcW w:type="dxa" w:w="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8.92</w:t>
            </w:r>
          </w:p>
        </w:tc>
        <w:tc>
          <w:tcPr>
            <w:tcW w:type="dxa" w:w="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87.6</w:t>
            </w:r>
          </w:p>
        </w:tc>
        <w:tc>
          <w:tcPr>
            <w:tcW w:type="dxa" w:w="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86.2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</w:tr>
    </w:tbl>
    <w:p>
      <w:pPr>
        <w:spacing w:after="120" w:line="276"/>
      </w:pPr>
      <w:r>
        <w:rPr>
          <w:i/>
          <w:iCs/>
          <w:color w:val="4B5563"/>
          <w:sz w:val="17"/>
          <w:szCs w:val="17"/>
        </w:rPr>
        <w:t xml:space="preserve">Nota. En negrita, el mejor modelo de cada variable. MAE y RMSE en las unidades de la variable.</w:t>
      </w:r>
    </w:p>
    <w:p>
      <w:pPr>
        <w:pStyle w:val="Heading2"/>
        <w:keepNext/>
      </w:pPr>
      <w:r>
        <w:t xml:space="preserve">2.1 El modelo base: por qué su R² es negativo</w:t>
      </w:r>
    </w:p>
    <w:p>
      <w:pPr>
        <w:spacing w:after="120" w:line="276"/>
      </w:pPr>
      <w:r>
        <w:t xml:space="preserve">El modelo base predice siempre la media histórica de entrenamiento + validación. Su R² negativo no es un error de cálculo: indica que esa media histórica quedó </w:t>
      </w:r>
      <w:r>
        <w:rPr>
          <w:b/>
          <w:bCs/>
        </w:rPr>
        <w:t xml:space="preserve">desplazada</w:t>
      </w:r>
      <w:r>
        <w:t xml:space="preserve"> respecto al nivel real del periodo de prueba, de modo que predecirla es peor que predecir el promedio del propio periodo de prueba.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Recuperación:</w:t>
      </w:r>
      <w:r>
        <w:t xml:space="preserve"> la media histórica (≈ 78.2 %) está unos 5.4 pp por encima de la media del periodo de prueba (72.9 %). Por eso el modelo base se equivoca en promedio 5.47 pp y su R² es −1.12.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Consumo:</w:t>
      </w:r>
      <w:r>
        <w:t xml:space="preserve"> la media histórica (≈ 3.15 kg/t) es casi 1.14 kg/t mayor que la del periodo de prueba (2.01 kg/t), coherente con la reducción de la dosificación al final del periodo. De ahí el R² de −4.35 y un MAPE de 71 % (inexacto).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Ley:</w:t>
      </w:r>
      <w:r>
        <w:t xml:space="preserve"> la media histórica (≈ 7.58 g/t) casi coincide con la de prueba (7.56 g/t); por eso el R² del modelo base es prácticamente 0.</w:t>
      </w:r>
    </w:p>
    <w:p>
      <w:pPr>
        <w:spacing w:after="120" w:line="276"/>
      </w:pPr>
      <w:r>
        <w:t xml:space="preserve">Este resultado refuerza el valor de los modelos: el proceso cambió de nivel y los modelos de IA lo siguieron, mientras que una referencia basada en el promedio histórico no pudo hacerlo.</w:t>
      </w:r>
    </w:p>
    <w:p>
      <w:pPr>
        <w:pStyle w:val="Heading2"/>
        <w:keepNext/>
      </w:pPr>
      <w:r>
        <w:t xml:space="preserve">2.2 Recuperación de Au (%)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R² = 0.973 (Random Forest)</w:t>
      </w:r>
      <w:r>
        <w:t xml:space="preserve">: el modelo explica el 97.3 % de la variación de la recuperación en el periodo de prueba (rango sustancial). XGBoost explica el 96.0 %.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MAE = 0.686 pp</w:t>
      </w:r>
      <w:r>
        <w:t xml:space="preserve">: en promedio, la recuperación predicha difiere de la real en menos de 0.7 puntos porcentuales; con una recuperación media de 72.9 %, es un error de alrededor del 0.9 %. Así lo confirma el </w:t>
      </w:r>
      <w:r>
        <w:rPr>
          <w:b/>
          <w:bCs/>
        </w:rPr>
        <w:t xml:space="preserve">MAPE de 0.94 %</w:t>
      </w:r>
      <w:r>
        <w:t xml:space="preserve"> (excelente).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RMSE = 0.836 pp</w:t>
      </w:r>
      <w:r>
        <w:t xml:space="preserve"> y cociente RMSE/MAE = 1.22: los errores son homogéneos, sin predicciones muy alejadas.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Reducción del 87.5 % (MAE) y 88.6 % (RMSE)</w:t>
      </w:r>
      <w:r>
        <w:t xml:space="preserve"> frente al modelo base: el modelo reduce el error de 5.47 pp a 0.69 pp.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Cumple criterios: Sí</w:t>
      </w:r>
      <w:r>
        <w:t xml:space="preserve"> en ambos algoritmos (R² ≥ 0.75, MAPE ≤ 10 % y errores menores que el base).</w:t>
      </w:r>
    </w:p>
    <w:p>
      <w:pPr>
        <w:pStyle w:val="Heading2"/>
        <w:keepNext/>
      </w:pPr>
      <w:r>
        <w:t xml:space="preserve">2.3 Ley de Au en el concentrado (g/t)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R² = 0.985 (Random Forest)</w:t>
      </w:r>
      <w:r>
        <w:t xml:space="preserve">: es la variable mejor explicada; el modelo capta el 98.5 % de su variación. XGBoost alcanza 0.979.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MAE = 0.035 g/t</w:t>
      </w:r>
      <w:r>
        <w:t xml:space="preserve"> sobre una ley media de 7.56 g/t: un error típico de unas tres centésimas de g/t, con </w:t>
      </w:r>
      <w:r>
        <w:rPr>
          <w:b/>
          <w:bCs/>
        </w:rPr>
        <w:t xml:space="preserve">MAPE = 0.46 %</w:t>
      </w:r>
      <w:r>
        <w:t xml:space="preserve"> (excelente).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Reducción cercana al 88 %</w:t>
      </w:r>
      <w:r>
        <w:t xml:space="preserve"> del error frente al modelo base, aunque aquí el modelo base no estaba desplazado: la mejora se debe a que el modelo explica las variaciones de la ley, no solo su nivel.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Cumple criterios: Sí</w:t>
      </w:r>
      <w:r>
        <w:t xml:space="preserve"> en ambos algoritmos.</w:t>
      </w:r>
    </w:p>
    <w:p>
      <w:pPr>
        <w:pStyle w:val="Heading2"/>
        <w:keepNext/>
      </w:pPr>
      <w:r>
        <w:t xml:space="preserve">2.4 Consumo específico de reactivos (kg/t)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XGBoost: R² = 0.897, MAPE = 8.92 %</w:t>
      </w:r>
      <w:r>
        <w:t xml:space="preserve">: explica casi el 90 % de la variación del consumo y su error típico es menor al 9 % del valor real. Cumple los criterios, aunque con el margen más estrecho de las tres variables (MAPE cercano al límite de 10 %).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Random Forest: R² = 0.740, MAPE = 14.70 %</w:t>
      </w:r>
      <w:r>
        <w:t xml:space="preserve">: queda justo por debajo del umbral de R² (0.75) y por encima del límite de MAPE, por lo que </w:t>
      </w:r>
      <w:r>
        <w:rPr>
          <w:b/>
          <w:bCs/>
        </w:rPr>
        <w:t xml:space="preserve">no cumple</w:t>
      </w:r>
      <w:r>
        <w:t xml:space="preserve"> los criterios, aunque su desempeño es moderado/bueno según los rangos cualitativos y reduce el error del modelo base en cerca de 80 %.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MAE de XGBoost = 0.142 kg/t</w:t>
      </w:r>
      <w:r>
        <w:t xml:space="preserve"> frente a 0.226 kg/t de Random Forest: XGBoost comete un error 37 % menor.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El consumo específico es la suma de las cinco dosificaciones, que también son predictores. El resultado mide, por tanto, la capacidad del modelo para reconstruir el consumo a partir de sus componentes; conviene mencionarlo en la discusión.</w:t>
      </w:r>
    </w:p>
    <w:p>
      <w:pPr>
        <w:pStyle w:val="Heading1"/>
        <w:pageBreakBefore/>
      </w:pPr>
      <w:r>
        <w:t xml:space="preserve">3. Tablas 5, 6 y 7. Desempeño por subconjunto</w:t>
      </w:r>
    </w:p>
    <w:p>
      <w:pPr>
        <w:spacing w:after="120" w:line="276"/>
      </w:pPr>
      <w:r>
        <w:t xml:space="preserve">Estas tablas muestran las métricas de cada variable en </w:t>
      </w:r>
      <w:r>
        <w:rPr>
          <w:b/>
          <w:bCs/>
        </w:rPr>
        <w:t xml:space="preserve">entrenamiento</w:t>
      </w:r>
      <w:r>
        <w:t xml:space="preserve"> (modelos ajustados con esos mismos datos), </w:t>
      </w:r>
      <w:r>
        <w:rPr>
          <w:b/>
          <w:bCs/>
        </w:rPr>
        <w:t xml:space="preserve">validación</w:t>
      </w:r>
      <w:r>
        <w:t xml:space="preserve"> (datos no usados para ajustar) y </w:t>
      </w:r>
      <w:r>
        <w:rPr>
          <w:b/>
          <w:bCs/>
        </w:rPr>
        <w:t xml:space="preserve">prueba</w:t>
      </w:r>
      <w:r>
        <w:t xml:space="preserve"> (modelos reentrenados con entrenamiento + validación y evaluados una sola vez). Sirven para juzgar si el modelo </w:t>
      </w:r>
      <w:r>
        <w:rPr>
          <w:b/>
          <w:bCs/>
        </w:rPr>
        <w:t xml:space="preserve">generaliza</w:t>
      </w:r>
      <w:r>
        <w:t xml:space="preserve"> o solo memoriza.</w:t>
      </w:r>
    </w:p>
    <w:p>
      <w:pPr>
        <w:keepNext/>
        <w:spacing w:after="80" w:before="160"/>
      </w:pPr>
      <w:r>
        <w:rPr>
          <w:b/>
          <w:bCs/>
          <w:color w:val="0F6E56"/>
          <w:sz w:val="20"/>
          <w:szCs w:val="20"/>
        </w:rPr>
        <w:t xml:space="preserve">R² por subconjunto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3"/>
        <w:gridCol w:w="1392"/>
        <w:gridCol w:w="1552"/>
        <w:gridCol w:w="1231"/>
        <w:gridCol w:w="963"/>
        <w:gridCol w:w="2787"/>
      </w:tblGrid>
      <w:tr>
        <w:trPr>
          <w:tblHeader/>
        </w:trPr>
        <w:tc>
          <w:tcPr>
            <w:tcW w:type="dxa" w:w="17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3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15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Entrenamiento</w:t>
            </w:r>
          </w:p>
        </w:tc>
        <w:tc>
          <w:tcPr>
            <w:tcW w:type="dxa" w:w="1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Validación</w:t>
            </w:r>
          </w:p>
        </w:tc>
        <w:tc>
          <w:tcPr>
            <w:tcW w:type="dxa" w:w="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Prueba</w:t>
            </w:r>
          </w:p>
        </w:tc>
        <w:tc>
          <w:tcPr>
            <w:tcW w:type="dxa" w:w="27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Lectura</w:t>
            </w:r>
          </w:p>
        </w:tc>
      </w:tr>
      <w:tr>
        <w:tc>
          <w:tcPr>
            <w:tcW w:type="dxa" w:w="17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Recuperación (Tabla 5)</w:t>
            </w:r>
          </w:p>
        </w:tc>
        <w:tc>
          <w:tcPr>
            <w:tcW w:type="dxa" w:w="13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15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0.995</w:t>
            </w:r>
          </w:p>
        </w:tc>
        <w:tc>
          <w:tcPr>
            <w:tcW w:type="dxa" w:w="1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0.947</w:t>
            </w:r>
          </w:p>
        </w:tc>
        <w:tc>
          <w:tcPr>
            <w:tcW w:type="dxa" w:w="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0.973</w:t>
            </w:r>
          </w:p>
        </w:tc>
        <w:tc>
          <w:tcPr>
            <w:tcW w:type="dxa" w:w="27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Generaliza bien; la caída es pequeña</w:t>
            </w:r>
          </w:p>
        </w:tc>
      </w:tr>
      <w:tr>
        <w:tc>
          <w:tcPr>
            <w:tcW w:type="dxa" w:w="17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XGBoost</w:t>
            </w:r>
          </w:p>
        </w:tc>
        <w:tc>
          <w:tcPr>
            <w:tcW w:type="dxa" w:w="15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0.984</w:t>
            </w:r>
          </w:p>
        </w:tc>
        <w:tc>
          <w:tcPr>
            <w:tcW w:type="dxa" w:w="1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0.968</w:t>
            </w:r>
          </w:p>
        </w:tc>
        <w:tc>
          <w:tcPr>
            <w:tcW w:type="dxa" w:w="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0.960</w:t>
            </w:r>
          </w:p>
        </w:tc>
        <w:tc>
          <w:tcPr>
            <w:tcW w:type="dxa" w:w="27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Muy estable entre subconjuntos</w:t>
            </w:r>
          </w:p>
        </w:tc>
      </w:tr>
      <w:tr>
        <w:tc>
          <w:tcPr>
            <w:tcW w:type="dxa" w:w="17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Ley (Tabla 6)</w:t>
            </w:r>
          </w:p>
        </w:tc>
        <w:tc>
          <w:tcPr>
            <w:tcW w:type="dxa" w:w="13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15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0.999</w:t>
            </w:r>
          </w:p>
        </w:tc>
        <w:tc>
          <w:tcPr>
            <w:tcW w:type="dxa" w:w="1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0.992</w:t>
            </w:r>
          </w:p>
        </w:tc>
        <w:tc>
          <w:tcPr>
            <w:tcW w:type="dxa" w:w="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0.985</w:t>
            </w:r>
          </w:p>
        </w:tc>
        <w:tc>
          <w:tcPr>
            <w:tcW w:type="dxa" w:w="27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Generaliza bien</w:t>
            </w:r>
          </w:p>
        </w:tc>
      </w:tr>
      <w:tr>
        <w:tc>
          <w:tcPr>
            <w:tcW w:type="dxa" w:w="17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XGBoost</w:t>
            </w:r>
          </w:p>
        </w:tc>
        <w:tc>
          <w:tcPr>
            <w:tcW w:type="dxa" w:w="15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1.000</w:t>
            </w:r>
          </w:p>
        </w:tc>
        <w:tc>
          <w:tcPr>
            <w:tcW w:type="dxa" w:w="1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0.988</w:t>
            </w:r>
          </w:p>
        </w:tc>
        <w:tc>
          <w:tcPr>
            <w:tcW w:type="dxa" w:w="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0.979</w:t>
            </w:r>
          </w:p>
        </w:tc>
        <w:tc>
          <w:tcPr>
            <w:tcW w:type="dxa" w:w="27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Ajuste casi perfecto en entrenamiento (memoriza), pero se mantiene alto fuera de él</w:t>
            </w:r>
          </w:p>
        </w:tc>
      </w:tr>
      <w:tr>
        <w:tc>
          <w:tcPr>
            <w:tcW w:type="dxa" w:w="17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Consumo (Tabla 7)</w:t>
            </w:r>
          </w:p>
        </w:tc>
        <w:tc>
          <w:tcPr>
            <w:tcW w:type="dxa" w:w="13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15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0.957</w:t>
            </w:r>
          </w:p>
        </w:tc>
        <w:tc>
          <w:tcPr>
            <w:tcW w:type="dxa" w:w="1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0.710</w:t>
            </w:r>
          </w:p>
        </w:tc>
        <w:tc>
          <w:tcPr>
            <w:tcW w:type="dxa" w:w="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0.740</w:t>
            </w:r>
          </w:p>
        </w:tc>
        <w:tc>
          <w:tcPr>
            <w:tcW w:type="dxa" w:w="27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Caída marcada: sobreajuste moderado</w:t>
            </w:r>
          </w:p>
        </w:tc>
      </w:tr>
      <w:tr>
        <w:tc>
          <w:tcPr>
            <w:tcW w:type="dxa" w:w="17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XGBoost</w:t>
            </w:r>
          </w:p>
        </w:tc>
        <w:tc>
          <w:tcPr>
            <w:tcW w:type="dxa" w:w="15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0.983</w:t>
            </w:r>
          </w:p>
        </w:tc>
        <w:tc>
          <w:tcPr>
            <w:tcW w:type="dxa" w:w="1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0.816</w:t>
            </w:r>
          </w:p>
        </w:tc>
        <w:tc>
          <w:tcPr>
            <w:tcW w:type="dxa" w:w="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0.897</w:t>
            </w:r>
          </w:p>
        </w:tc>
        <w:tc>
          <w:tcPr>
            <w:tcW w:type="dxa" w:w="27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Caída menor; generaliza mejor que RF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3.1 Cómo interpretar las diferencias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Entrenamiento siempre es el mejor resultado</w:t>
      </w:r>
      <w:r>
        <w:t xml:space="preserve"> porque el modelo ya conoce esos datos; por sí solo no prueba nada. Un R² de 0.99999 con MAE = 0.001 g/t (XGBoost en la ley) indica que el modelo prácticamente memorizó los datos de entrenamiento.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Lo relevante es que el desempeño fuera de entrenamiento siga alto.</w:t>
      </w:r>
      <w:r>
        <w:t xml:space="preserve"> En recuperación y ley, validación y prueba mantienen R² ≥ 0.947, de modo que el ajuste no se limitó a memorizar.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En el consumo, Random Forest pierde más</w:t>
      </w:r>
      <w:r>
        <w:t xml:space="preserve"> (de 0.957 a 0.74) y su MAPE sube de 2.3 % a 14.7 %: es el caso con mayor sobreajuste y explica por qué no cumple los criterios en prueba.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Que la prueba supere a la validación</w:t>
      </w:r>
      <w:r>
        <w:t xml:space="preserve"> (por ejemplo, consumo con XGBoost: 0.816 → 0.897) es normal en este protocolo: para la prueba el modelo se reentrena con más datos (entrenamiento + validación) y el periodo de prueba es más homogéneo (menor desviación estándar).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Validación frente a prueba en la recuperación:</w:t>
      </w:r>
      <w:r>
        <w:t xml:space="preserve"> XGBoost fue mejor en validación (R² 0.968 vs. 0.947) y Random Forest fue mejor en prueba (0.973 vs. 0.960). Por eso las conclusiones se basan en la prueba, que es la evaluación final e independiente.</w:t>
      </w:r>
    </w:p>
    <w:p>
      <w:pPr>
        <w:pStyle w:val="Heading1"/>
        <w:pageBreakBefore/>
      </w:pPr>
      <w:r>
        <w:t xml:space="preserve">4. Tabla 8. Contraste de Ho1-Hi1, Ho2-Hi2 y Ho3-Hi3</w:t>
      </w:r>
    </w:p>
    <w:p>
      <w:pPr>
        <w:spacing w:after="120" w:line="276"/>
      </w:pPr>
      <w:r>
        <w:t xml:space="preserve">Reúne, para cada variable, el modelo base y los dos algoritmos con sus métricas de prueba, indica si cada algoritmo </w:t>
      </w:r>
      <w:r>
        <w:rPr>
          <w:b/>
          <w:bCs/>
        </w:rPr>
        <w:t xml:space="preserve">cumple los criterios</w:t>
      </w:r>
      <w:r>
        <w:t xml:space="preserve"> y da </w:t>
      </w:r>
      <w:r>
        <w:rPr>
          <w:b/>
          <w:bCs/>
        </w:rPr>
        <w:t xml:space="preserve">una sola decisión</w:t>
      </w:r>
      <w:r>
        <w:t xml:space="preserve"> por hipótesis.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4"/>
        <w:gridCol w:w="1285"/>
        <w:gridCol w:w="1285"/>
        <w:gridCol w:w="4284"/>
      </w:tblGrid>
      <w:tr>
        <w:trPr>
          <w:tblHeader/>
        </w:trPr>
        <w:tc>
          <w:tcPr>
            <w:tcW w:type="dxa" w:w="27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2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12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XGBoost</w:t>
            </w:r>
          </w:p>
        </w:tc>
        <w:tc>
          <w:tcPr>
            <w:tcW w:type="dxa" w:w="42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Decisión</w:t>
            </w:r>
          </w:p>
        </w:tc>
      </w:tr>
      <w:tr>
        <w:tc>
          <w:tcPr>
            <w:tcW w:type="dxa" w:w="27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Recuperación de Au (%)</w:t>
            </w:r>
          </w:p>
        </w:tc>
        <w:tc>
          <w:tcPr>
            <w:tcW w:type="dxa" w:w="12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Cumple</w:t>
            </w:r>
          </w:p>
        </w:tc>
        <w:tc>
          <w:tcPr>
            <w:tcW w:type="dxa" w:w="12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Cumple</w:t>
            </w:r>
          </w:p>
        </w:tc>
        <w:tc>
          <w:tcPr>
            <w:tcW w:type="dxa" w:w="42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 acepta Hi1 y se rechaza Ho1 (cumplen ambos algoritmos)</w:t>
            </w:r>
          </w:p>
        </w:tc>
      </w:tr>
      <w:tr>
        <w:tc>
          <w:tcPr>
            <w:tcW w:type="dxa" w:w="27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Ley de Au en el concentrado (g/t)</w:t>
            </w:r>
          </w:p>
        </w:tc>
        <w:tc>
          <w:tcPr>
            <w:tcW w:type="dxa" w:w="12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Cumple</w:t>
            </w:r>
          </w:p>
        </w:tc>
        <w:tc>
          <w:tcPr>
            <w:tcW w:type="dxa" w:w="12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Cumple</w:t>
            </w:r>
          </w:p>
        </w:tc>
        <w:tc>
          <w:tcPr>
            <w:tcW w:type="dxa" w:w="42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 acepta Hi2 y se rechaza Ho2 (cumplen ambos algoritmos)</w:t>
            </w:r>
          </w:p>
        </w:tc>
      </w:tr>
      <w:tr>
        <w:tc>
          <w:tcPr>
            <w:tcW w:type="dxa" w:w="27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Consumo específico de reactivos (kg/t)</w:t>
            </w:r>
          </w:p>
        </w:tc>
        <w:tc>
          <w:tcPr>
            <w:tcW w:type="dxa" w:w="12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cumple</w:t>
            </w:r>
          </w:p>
        </w:tc>
        <w:tc>
          <w:tcPr>
            <w:tcW w:type="dxa" w:w="12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Cumple</w:t>
            </w:r>
          </w:p>
        </w:tc>
        <w:tc>
          <w:tcPr>
            <w:tcW w:type="dxa" w:w="42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 acepta Hi3 y se rechaza Ho3 (cumple XGBoost)</w:t>
            </w:r>
          </w:p>
        </w:tc>
      </w:tr>
      <w:tr>
        <w:tc>
          <w:tcPr>
            <w:tcW w:type="dxa" w:w="27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Hipótesis general (Ho-Hi)</w:t>
            </w:r>
          </w:p>
        </w:tc>
        <w:tc>
          <w:tcPr>
            <w:tcW w:type="dxa" w:w="12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2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 acepta Hi y se rechaza Ho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4.1 Cómo se lee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«Cumple criterios»</w:t>
      </w:r>
      <w:r>
        <w:t xml:space="preserve"> evalúa cada algoritmo por separado: R² ≥ 0.75, MAPE ≤ 10 % y MAE y RMSE menores que los del modelo base. Basta que </w:t>
      </w:r>
      <w:r>
        <w:rPr>
          <w:b/>
          <w:bCs/>
        </w:rPr>
        <w:t xml:space="preserve">una</w:t>
      </w:r>
      <w:r>
        <w:t xml:space="preserve"> condición falle para que diga «No cumple».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«Decisión»</w:t>
      </w:r>
      <w:r>
        <w:t xml:space="preserve"> se toma por variable: se acepta Hi si </w:t>
      </w:r>
      <w:r>
        <w:rPr>
          <w:b/>
          <w:bCs/>
        </w:rPr>
        <w:t xml:space="preserve">al menos un</w:t>
      </w:r>
      <w:r>
        <w:t xml:space="preserve"> algoritmo cumple. En el consumo, aunque Random Forest no cumple, XGBoost sí, y por eso se acepta Hi3.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Ho-Hi</w:t>
      </w:r>
      <w:r>
        <w:t xml:space="preserve"> se acepta cuando se aceptan Hi1, Hi2 y Hi3. Con los datos reales, el modelo predictivo basado en IA presenta un desempeño adecuado en las tres dimensiones de la flotación.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La fila del modelo base («Referencia») no se decide: es el punto de comparación. Su MAE y RMSE son los valores que los algoritmos deben superar.</w:t>
      </w:r>
    </w:p>
    <w:p>
      <w:pPr>
        <w:pStyle w:val="Heading1"/>
        <w:pageBreakBefore/>
      </w:pPr>
      <w:r>
        <w:t xml:space="preserve">5. Tabla 9. Contraste de Ho4-Hi4: Random Forest vs. XGBoost</w:t>
      </w:r>
    </w:p>
    <w:p>
      <w:pPr>
        <w:spacing w:after="120" w:line="276"/>
      </w:pPr>
      <w:r>
        <w:t xml:space="preserve">Compara directamente los dos algoritmos. Para declarar que uno es </w:t>
      </w:r>
      <w:r>
        <w:rPr>
          <w:b/>
          <w:bCs/>
        </w:rPr>
        <w:t xml:space="preserve">significativamente superior</w:t>
      </w:r>
      <w:r>
        <w:t xml:space="preserve"> en una variable se exigen dos cosas a la vez: (1) que gane en las cuatro métricas (mayor R² y menores RMSE, MAE y MAPE) y (2) que la prueba Diebold-Mariano dé p &lt; 0.05 con errores al cuadrado </w:t>
      </w:r>
      <w:r>
        <w:rPr>
          <w:b/>
          <w:bCs/>
        </w:rPr>
        <w:t xml:space="preserve">y</w:t>
      </w:r>
      <w:r>
        <w:t xml:space="preserve"> con errores absolutos.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5"/>
        <w:gridCol w:w="1499"/>
        <w:gridCol w:w="856"/>
        <w:gridCol w:w="856"/>
        <w:gridCol w:w="856"/>
        <w:gridCol w:w="856"/>
        <w:gridCol w:w="2360"/>
      </w:tblGrid>
      <w:tr>
        <w:trPr>
          <w:tblHeader/>
        </w:trPr>
        <w:tc>
          <w:tcPr>
            <w:tcW w:type="dxa" w:w="23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4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Gana en las 4 métricas</w:t>
            </w:r>
          </w:p>
        </w:tc>
        <w:tc>
          <w:tcPr>
            <w:tcW w:type="dxa" w:w="8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DM (e²)</w:t>
            </w:r>
          </w:p>
        </w:tc>
        <w:tc>
          <w:tcPr>
            <w:tcW w:type="dxa" w:w="8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 (e²)</w:t>
            </w:r>
          </w:p>
        </w:tc>
        <w:tc>
          <w:tcPr>
            <w:tcW w:type="dxa" w:w="8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DM (|e|)</w:t>
            </w:r>
          </w:p>
        </w:tc>
        <w:tc>
          <w:tcPr>
            <w:tcW w:type="dxa" w:w="8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 (|e|)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23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Recuperación de Au (%)</w:t>
            </w:r>
          </w:p>
        </w:tc>
        <w:tc>
          <w:tcPr>
            <w:tcW w:type="dxa" w:w="14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8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-2.78</w:t>
            </w:r>
          </w:p>
        </w:tc>
        <w:tc>
          <w:tcPr>
            <w:tcW w:type="dxa" w:w="8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0.0068</w:t>
            </w:r>
          </w:p>
        </w:tc>
        <w:tc>
          <w:tcPr>
            <w:tcW w:type="dxa" w:w="8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-2.50</w:t>
            </w:r>
          </w:p>
        </w:tc>
        <w:tc>
          <w:tcPr>
            <w:tcW w:type="dxa" w:w="8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0.0143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Random Forest significativamente superior</w:t>
            </w:r>
          </w:p>
        </w:tc>
      </w:tr>
      <w:tr>
        <w:tc>
          <w:tcPr>
            <w:tcW w:type="dxa" w:w="23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Ley de Au en el concentrado (g/t)</w:t>
            </w:r>
          </w:p>
        </w:tc>
        <w:tc>
          <w:tcPr>
            <w:tcW w:type="dxa" w:w="14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8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-2.17</w:t>
            </w:r>
          </w:p>
        </w:tc>
        <w:tc>
          <w:tcPr>
            <w:tcW w:type="dxa" w:w="8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0.0326</w:t>
            </w:r>
          </w:p>
        </w:tc>
        <w:tc>
          <w:tcPr>
            <w:tcW w:type="dxa" w:w="8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-1.77</w:t>
            </w:r>
          </w:p>
        </w:tc>
        <w:tc>
          <w:tcPr>
            <w:tcW w:type="dxa" w:w="8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0.0797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Sin superioridad significativa</w:t>
            </w:r>
          </w:p>
        </w:tc>
      </w:tr>
      <w:tr>
        <w:tc>
          <w:tcPr>
            <w:tcW w:type="dxa" w:w="23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Consumo específico de reactivos (kg/t)</w:t>
            </w:r>
          </w:p>
        </w:tc>
        <w:tc>
          <w:tcPr>
            <w:tcW w:type="dxa" w:w="14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XGBoost</w:t>
            </w:r>
          </w:p>
        </w:tc>
        <w:tc>
          <w:tcPr>
            <w:tcW w:type="dxa" w:w="8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6.07</w:t>
            </w:r>
          </w:p>
        </w:tc>
        <w:tc>
          <w:tcPr>
            <w:tcW w:type="dxa" w:w="8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&lt; 0.001</w:t>
            </w:r>
          </w:p>
        </w:tc>
        <w:tc>
          <w:tcPr>
            <w:tcW w:type="dxa" w:w="8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8.66</w:t>
            </w:r>
          </w:p>
        </w:tc>
        <w:tc>
          <w:tcPr>
            <w:tcW w:type="dxa" w:w="8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&lt; 0.001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XGBoost significativamente superior</w:t>
            </w:r>
          </w:p>
        </w:tc>
      </w:tr>
    </w:tbl>
    <w:p>
      <w:pPr>
        <w:spacing w:after="120" w:line="276"/>
      </w:pPr>
      <w:r>
        <w:rPr>
          <w:i/>
          <w:iCs/>
          <w:color w:val="4B5563"/>
          <w:sz w:val="17"/>
          <w:szCs w:val="17"/>
        </w:rPr>
        <w:t xml:space="preserve">Nota. Estadístico DM negativo: Random Forest tiene menos error; positivo: XGBoost tiene menos error. Decisión global: se acepta Hi4 y se rechaza Ho4.</w:t>
      </w:r>
    </w:p>
    <w:p>
      <w:pPr>
        <w:pStyle w:val="Heading2"/>
        <w:keepNext/>
      </w:pPr>
      <w:r>
        <w:t xml:space="preserve">5.1 Cómo se lee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Recuperación:</w:t>
      </w:r>
      <w:r>
        <w:t xml:space="preserve"> Random Forest gana en las cuatro métricas y la diferencia es significativa con ambas funciones de pérdida (p = 0.007 y p = 0.014). Su ventaja es real, aunque pequeña en magnitud (MAE 0.69 vs. 0.84 pp).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Ley:</w:t>
      </w:r>
      <w:r>
        <w:t xml:space="preserve"> Random Forest también gana en las cuatro métricas y con errores al cuadrado la diferencia es significativa (p = 0.033), pero con errores absolutos no lo es (p = 0.080). Como la regla exige ambas, </w:t>
      </w:r>
      <w:r>
        <w:rPr>
          <w:b/>
          <w:bCs/>
        </w:rPr>
        <w:t xml:space="preserve">no se puede afirmar</w:t>
      </w:r>
      <w:r>
        <w:t xml:space="preserve"> que un algoritmo sea superior: la ventaja de Random Forest se concentra en pocos errores grandes y no se sostiene en el error típico.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Consumo:</w:t>
      </w:r>
      <w:r>
        <w:t xml:space="preserve"> XGBoost es claramente superior: gana en las cuatro métricas y la prueba es muy significativa (p &lt; 0.001 con ambas pérdidas).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Decisión global:</w:t>
      </w:r>
      <w:r>
        <w:t xml:space="preserve"> Hi4 se acepta si hay superioridad significativa en al menos una variable; ocurre en dos (recuperación y consumo). Sin embargo, </w:t>
      </w:r>
      <w:r>
        <w:rPr>
          <w:b/>
          <w:bCs/>
        </w:rPr>
        <w:t xml:space="preserve">ningún algoritmo es superior en las tres variables</w:t>
      </w:r>
      <w:r>
        <w:t xml:space="preserve">: la elección del algoritmo depende de la variable que se quiera predecir.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Por qué se usan dos funciones de pérdida:</w:t>
      </w:r>
      <w:r>
        <w:t xml:space="preserve"> los errores al cuadrado dan más peso a los errores grandes; los absolutos tratan todos los errores por igual. Exigir significancia con ambas evita concluir superioridad por unos pocos casos extremos.</w:t>
      </w:r>
    </w:p>
    <w:p>
      <w:pPr>
        <w:pStyle w:val="Heading1"/>
        <w:pageBreakBefore/>
      </w:pPr>
      <w:r>
        <w:t xml:space="preserve">6. Párrafos de interpretación para el informe</w:t>
      </w:r>
    </w:p>
    <w:p>
      <w:pPr>
        <w:spacing w:after="120" w:line="276"/>
      </w:pPr>
      <w:r>
        <w:t xml:space="preserve">Textos de referencia, redactados a partir de los resultados de la versión R v7, que pueden adaptarse al capítulo de resultados y discusión.</w:t>
      </w:r>
    </w:p>
    <w:p>
      <w:pPr>
        <w:pStyle w:val="Heading2"/>
        <w:keepNext/>
      </w:pPr>
      <w:r>
        <w:t xml:space="preserve">6.1 Hipótesis general</w:t>
      </w:r>
    </w:p>
    <w:p>
      <w:pPr>
        <w:spacing w:after="120" w:line="276"/>
      </w:pPr>
      <w:r>
        <w:t xml:space="preserve">En el conjunto de prueba, conformado por los 83 registros más recientes, el modelo predictivo basado en inteligencia artificial cumplió los criterios de desempeño en las tres variables objetivo: al menos uno de los algoritmos obtuvo R² ≥ 0.75, MAPE ≤ 10 % y MAE y RMSE menores que los del modelo base. Los mejores modelos explicaron entre el 89.7 % y el 98.5 % de la variabilidad de las variables y redujeron el error del modelo base entre 86 % y 89 %. En consecuencia, se aceptó la Hi y se rechazó la Ho.</w:t>
      </w:r>
    </w:p>
    <w:p>
      <w:pPr>
        <w:pStyle w:val="Heading2"/>
        <w:keepNext/>
      </w:pPr>
      <w:r>
        <w:t xml:space="preserve">6.2 Hipótesis específicas 1 a 3</w:t>
      </w:r>
    </w:p>
    <w:p>
      <w:pPr>
        <w:spacing w:after="120" w:line="276"/>
      </w:pPr>
      <w:r>
        <w:rPr>
          <w:b/>
          <w:bCs/>
        </w:rPr>
        <w:t xml:space="preserve">Ho1-Hi1.</w:t>
      </w:r>
      <w:r>
        <w:t xml:space="preserve"> Random Forest predijo la recuperación de Au con R² = 0.973, MAE = 0.686 pp, RMSE = 0.836 pp y MAPE = 0.94 %, frente a un modelo base con MAE = 5.473 pp; XGBoost también cumplió los criterios (R² = 0.960). Se aceptó la Hi1 y se rechazó la Ho1.</w:t>
      </w:r>
    </w:p>
    <w:p>
      <w:pPr>
        <w:spacing w:after="120" w:line="276"/>
      </w:pPr>
      <w:r>
        <w:rPr>
          <w:b/>
          <w:bCs/>
        </w:rPr>
        <w:t xml:space="preserve">Ho2-Hi2.</w:t>
      </w:r>
      <w:r>
        <w:t xml:space="preserve"> Random Forest predijo la ley de Au en el concentrado con R² = 0.985, MAE = 0.035 g/t, RMSE = 0.044 g/t y MAPE = 0.46 %; XGBoost alcanzó R² = 0.979. Ambos cumplieron los criterios. Se aceptó la Hi2 y se rechazó la Ho2.</w:t>
      </w:r>
    </w:p>
    <w:p>
      <w:pPr>
        <w:spacing w:after="120" w:line="276"/>
      </w:pPr>
      <w:r>
        <w:rPr>
          <w:b/>
          <w:bCs/>
        </w:rPr>
        <w:t xml:space="preserve">Ho3-Hi3.</w:t>
      </w:r>
      <w:r>
        <w:t xml:space="preserve"> XGBoost predijo el consumo específico de reactivos con R² = 0.897, MAE = 0.142 kg/t, RMSE = 0.175 kg/t y MAPE = 8.92 %. Random Forest no cumplió los criterios (R² = 0.740; MAPE = 14.70 %). Al cumplir al menos un algoritmo, se aceptó la Hi3 y se rechazó la Ho3.</w:t>
      </w:r>
    </w:p>
    <w:p>
      <w:pPr>
        <w:pStyle w:val="Heading2"/>
        <w:keepNext/>
      </w:pPr>
      <w:r>
        <w:t xml:space="preserve">6.3 Hipótesis específica 4</w:t>
      </w:r>
    </w:p>
    <w:p>
      <w:pPr>
        <w:spacing w:after="120" w:line="276"/>
      </w:pPr>
      <w:r>
        <w:t xml:space="preserve">Random Forest fue significativamente superior en la recuperación de Au (Diebold-Mariano: p = 0.007 con errores al cuadrado y p = 0.014 con errores absolutos) y XGBoost lo fue en el consumo específico de reactivos (p &lt; 0.001 con ambas funciones de pérdida). En la ley de Au, Random Forest obtuvo mejores métricas, pero la diferencia no fue significativa con errores absolutos (p = 0.080). Al existir superioridad significativa en al menos una variable, se aceptó la Hi4 y se rechazó la Ho4; ningún algoritmo fue superior en las tres variables.</w:t>
      </w:r>
    </w:p>
    <w:p>
      <w:pPr>
        <w:pStyle w:val="Heading1"/>
        <w:pageBreakBefore/>
      </w:pPr>
      <w:r>
        <w:t xml:space="preserve">7. Precauciones al interpretar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R² negativo del modelo base:</w:t>
      </w:r>
      <w:r>
        <w:t xml:space="preserve"> se explica por el cambio de nivel del proceso entre el periodo histórico y el de prueba (sección 2.1); conviene comentarlo para que no se interprete como un error.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Margen en el consumo:</w:t>
      </w:r>
      <w:r>
        <w:t xml:space="preserve"> el MAPE de XGBoost (8.92 %) está cerca del límite de 10 %; con otros datos o versiones de XGBoost el resultado podría cambiar.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Consumo y dosificaciones:</w:t>
      </w:r>
      <w:r>
        <w:t xml:space="preserve"> el consumo es la suma de las dosificaciones que también son predictores; el alto desempeño refleja en parte esa relación aritmética.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Textos fijos de la app:</w:t>
      </w:r>
      <w:r>
        <w:t xml:space="preserve"> las pestañas Discusión y Conclusiones contienen cifras transcritas del informe (por ejemplo, R² de 0.989 en la ley con XGBoost) que no coinciden exactamente con esta ejecución, en la que el mejor modelo para la ley fue Random Forest (R² = 0.985). Conviene unificarlas con las tablas.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Una sola planta y un periodo:</w:t>
      </w:r>
      <w:r>
        <w:t xml:space="preserve"> los resultados describen el circuito y el periodo analizados (enero–setiembre de 2026, prueba n = 83); su generalización requiere validar con otros periodos.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CA3AF"/>
        <w:sz w:val="16"/>
        <w:szCs w:val="16"/>
      </w:rPr>
      <w:t xml:space="preserve">Interpretación de las tablas de resultados · Comparador RF vs XGBoost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  <w:lvl w:ilvl="1" w15:tentative="1">
      <w:start w:val="1"/>
      <w:numFmt w:val="bullet"/>
      <w:lvlText w:val="–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b/>
      <w:bCs/>
      <w:color w:val="0F6E5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Interpretación de las tablas de resultados</dc:title>
  <dc:creator>Edwin Barboza</dc:creator>
  <cp:lastModifiedBy>Un-named</cp:lastModifiedBy>
  <cp:revision>1</cp:revision>
  <dcterms:created xsi:type="dcterms:W3CDTF">2026-10-20T20:36:47.890Z</dcterms:created>
  <dcterms:modified xsi:type="dcterms:W3CDTF">2026-10-20T20:36:47.891Z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