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A10AD" w14:textId="41F1DA75" w:rsidR="00FA0B28" w:rsidRDefault="00FA0B28" w:rsidP="00FA0B28">
      <w:pPr>
        <w:rPr>
          <w:rFonts w:ascii="Arial" w:hAnsi="Arial" w:cs="Arial"/>
          <w:b/>
        </w:rPr>
      </w:pPr>
      <w:r w:rsidRPr="007C1027">
        <w:rPr>
          <w:rFonts w:ascii="Arial" w:hAnsi="Arial" w:cs="Arial"/>
          <w:b/>
        </w:rPr>
        <w:t>Introduction</w:t>
      </w:r>
    </w:p>
    <w:p w14:paraId="29D2EACA" w14:textId="7EB4BB83" w:rsidR="00D20983" w:rsidRPr="00A42E11" w:rsidRDefault="00BD171E" w:rsidP="00FA0B28">
      <w:pPr>
        <w:rPr>
          <w:rFonts w:ascii="Arial" w:hAnsi="Arial" w:cs="Arial"/>
          <w:bCs/>
        </w:rPr>
      </w:pPr>
      <w:r w:rsidRPr="00BD171E">
        <w:rPr>
          <w:rFonts w:ascii="Arial" w:hAnsi="Arial" w:cs="Arial"/>
          <w:bCs/>
        </w:rPr>
        <w:t xml:space="preserve">In </w:t>
      </w:r>
      <w:r>
        <w:rPr>
          <w:rFonts w:ascii="Arial" w:hAnsi="Arial" w:cs="Arial"/>
          <w:bCs/>
        </w:rPr>
        <w:t xml:space="preserve">terrestrial systems, coexistence among plant species </w:t>
      </w:r>
      <w:r w:rsidR="00A42E11">
        <w:rPr>
          <w:rFonts w:ascii="Arial" w:hAnsi="Arial" w:cs="Arial"/>
          <w:bCs/>
        </w:rPr>
        <w:t xml:space="preserve">is </w:t>
      </w:r>
      <w:r>
        <w:rPr>
          <w:rFonts w:ascii="Arial" w:hAnsi="Arial" w:cs="Arial"/>
          <w:bCs/>
        </w:rPr>
        <w:t>governed by competition for a shared set of limiting resources</w:t>
      </w:r>
      <w:r w:rsidR="00BD782D">
        <w:rPr>
          <w:rFonts w:ascii="Arial" w:hAnsi="Arial" w:cs="Arial"/>
          <w:bCs/>
        </w:rPr>
        <w:t xml:space="preserve">. </w:t>
      </w:r>
      <w:r w:rsidR="005E1086">
        <w:rPr>
          <w:rFonts w:ascii="Arial" w:hAnsi="Arial" w:cs="Arial"/>
          <w:bCs/>
        </w:rPr>
        <w:t xml:space="preserve">For stable coexistence </w:t>
      </w:r>
      <w:r w:rsidR="00BC2EBE">
        <w:rPr>
          <w:rFonts w:ascii="Arial" w:hAnsi="Arial" w:cs="Arial"/>
          <w:bCs/>
        </w:rPr>
        <w:t>to occur</w:t>
      </w:r>
      <w:r w:rsidR="005E1086">
        <w:rPr>
          <w:rFonts w:ascii="Arial" w:hAnsi="Arial" w:cs="Arial"/>
          <w:bCs/>
        </w:rPr>
        <w:t xml:space="preserve">, </w:t>
      </w:r>
      <w:r w:rsidR="001811E4">
        <w:rPr>
          <w:rFonts w:ascii="Arial" w:hAnsi="Arial" w:cs="Arial"/>
          <w:bCs/>
        </w:rPr>
        <w:t xml:space="preserve">niche theory </w:t>
      </w:r>
      <w:r w:rsidR="001476F3">
        <w:rPr>
          <w:rFonts w:ascii="Arial" w:hAnsi="Arial" w:cs="Arial"/>
          <w:bCs/>
        </w:rPr>
        <w:t>states</w:t>
      </w:r>
      <w:r w:rsidR="001811E4">
        <w:rPr>
          <w:rFonts w:ascii="Arial" w:hAnsi="Arial" w:cs="Arial"/>
          <w:bCs/>
        </w:rPr>
        <w:t xml:space="preserve"> that </w:t>
      </w:r>
      <w:r w:rsidR="00DF35A1">
        <w:rPr>
          <w:rFonts w:ascii="Arial" w:hAnsi="Arial" w:cs="Arial"/>
          <w:bCs/>
        </w:rPr>
        <w:t>trade-offs must exist between factors that affect plant growth</w:t>
      </w:r>
      <w:r w:rsidR="008100C1">
        <w:rPr>
          <w:rFonts w:ascii="Arial" w:hAnsi="Arial" w:cs="Arial"/>
          <w:bCs/>
        </w:rPr>
        <w:t xml:space="preserve"> to prevent competitive exclusion</w:t>
      </w:r>
      <w:r w:rsidR="00C36EF5">
        <w:rPr>
          <w:rFonts w:ascii="Arial" w:hAnsi="Arial" w:cs="Arial"/>
          <w:bCs/>
        </w:rPr>
        <w:t>. As a result, i</w:t>
      </w:r>
      <w:r w:rsidR="00A42E11">
        <w:rPr>
          <w:rFonts w:ascii="Arial" w:hAnsi="Arial" w:cs="Arial"/>
          <w:bCs/>
        </w:rPr>
        <w:t xml:space="preserve">t is theorized that greater </w:t>
      </w:r>
      <w:r w:rsidR="00A42E11">
        <w:rPr>
          <w:rFonts w:ascii="Arial" w:hAnsi="Arial" w:cs="Arial"/>
          <w:bCs/>
          <w:i/>
          <w:iCs/>
        </w:rPr>
        <w:t>dimensionality</w:t>
      </w:r>
      <w:r w:rsidR="00A42E11">
        <w:rPr>
          <w:rFonts w:ascii="Arial" w:hAnsi="Arial" w:cs="Arial"/>
          <w:bCs/>
        </w:rPr>
        <w:t xml:space="preserve">, or the number of limiting </w:t>
      </w:r>
      <w:r w:rsidR="00DF35A1">
        <w:rPr>
          <w:rFonts w:ascii="Arial" w:hAnsi="Arial" w:cs="Arial"/>
          <w:bCs/>
        </w:rPr>
        <w:t xml:space="preserve">factors </w:t>
      </w:r>
      <w:r w:rsidR="00A42E11">
        <w:rPr>
          <w:rFonts w:ascii="Arial" w:hAnsi="Arial" w:cs="Arial"/>
          <w:bCs/>
        </w:rPr>
        <w:t xml:space="preserve">in a system, </w:t>
      </w:r>
      <w:r w:rsidR="008D6C56">
        <w:rPr>
          <w:rFonts w:ascii="Arial" w:hAnsi="Arial" w:cs="Arial"/>
          <w:bCs/>
        </w:rPr>
        <w:t xml:space="preserve">may confer more opportunities for these trade-offs to develop. </w:t>
      </w:r>
    </w:p>
    <w:p w14:paraId="1DFC8004" w14:textId="14EE0C87" w:rsidR="00417EBD" w:rsidRDefault="00F57EE2" w:rsidP="00FA0B28">
      <w:pPr>
        <w:rPr>
          <w:rFonts w:ascii="Arial" w:hAnsi="Arial" w:cs="Arial"/>
          <w:bCs/>
        </w:rPr>
      </w:pPr>
      <w:r>
        <w:rPr>
          <w:rFonts w:ascii="Arial" w:hAnsi="Arial" w:cs="Arial"/>
          <w:bCs/>
        </w:rPr>
        <w:t xml:space="preserve">The number and types of trade-offs present in plant systems has been the subject of considerable exploration. </w:t>
      </w:r>
      <w:r w:rsidR="00FF6455">
        <w:rPr>
          <w:rFonts w:ascii="Arial" w:hAnsi="Arial" w:cs="Arial"/>
          <w:bCs/>
        </w:rPr>
        <w:t>Plants are known to exhibit competition-colonization trade-offs</w:t>
      </w:r>
      <w:r w:rsidR="00A37DC6">
        <w:rPr>
          <w:rFonts w:ascii="Arial" w:hAnsi="Arial" w:cs="Arial"/>
          <w:bCs/>
        </w:rPr>
        <w:t xml:space="preserve"> </w:t>
      </w:r>
      <w:r w:rsidR="00A37DC6">
        <w:rPr>
          <w:rFonts w:ascii="Arial" w:hAnsi="Arial" w:cs="Arial"/>
          <w:bCs/>
        </w:rPr>
        <w:fldChar w:fldCharType="begin" w:fldLock="1"/>
      </w:r>
      <w:r w:rsidR="00A37DC6">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(Tilman 1994, Pacala and Rees 1998)</w:t>
      </w:r>
      <w:r w:rsidR="00A37DC6">
        <w:rPr>
          <w:rFonts w:ascii="Arial" w:hAnsi="Arial" w:cs="Arial"/>
          <w:bCs/>
        </w:rPr>
        <w:fldChar w:fldCharType="end"/>
      </w:r>
      <w:r w:rsidR="00FF6455">
        <w:rPr>
          <w:rFonts w:ascii="Arial" w:hAnsi="Arial" w:cs="Arial"/>
          <w:bCs/>
        </w:rPr>
        <w:t>, trade-offs between herbivore defense and growth</w:t>
      </w:r>
      <w:r w:rsidR="00A37DC6">
        <w:rPr>
          <w:rFonts w:ascii="Arial" w:hAnsi="Arial" w:cs="Arial"/>
          <w:bCs/>
        </w:rPr>
        <w:t xml:space="preserve"> </w:t>
      </w:r>
      <w:r w:rsidR="00A37DC6">
        <w:rPr>
          <w:rFonts w:ascii="Arial" w:hAnsi="Arial" w:cs="Arial"/>
          <w:bCs/>
        </w:rPr>
        <w:fldChar w:fldCharType="begin" w:fldLock="1"/>
      </w:r>
      <w:r w:rsidR="00C85569">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(Mattson and Herms 1992)</w:t>
      </w:r>
      <w:r w:rsidR="00A37DC6">
        <w:rPr>
          <w:rFonts w:ascii="Arial" w:hAnsi="Arial" w:cs="Arial"/>
          <w:bCs/>
        </w:rPr>
        <w:fldChar w:fldCharType="end"/>
      </w:r>
      <w:r w:rsidR="00FF6455">
        <w:rPr>
          <w:rFonts w:ascii="Arial" w:hAnsi="Arial" w:cs="Arial"/>
          <w:bCs/>
        </w:rPr>
        <w:t>, or contrasts between leaf longevity and photosynthetic rate described the leaf economic spectrum</w:t>
      </w:r>
      <w:r w:rsidR="00A37DC6">
        <w:rPr>
          <w:rFonts w:ascii="Arial" w:hAnsi="Arial" w:cs="Arial"/>
          <w:bCs/>
        </w:rPr>
        <w:t xml:space="preserve"> </w:t>
      </w:r>
      <w:r w:rsidR="00A37DC6">
        <w:rPr>
          <w:rFonts w:ascii="Arial" w:hAnsi="Arial" w:cs="Arial"/>
          <w:bCs/>
        </w:rPr>
        <w:fldChar w:fldCharType="begin" w:fldLock="1"/>
      </w:r>
      <w:r w:rsidR="00A62AAE">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sidR="00A37DC6">
        <w:rPr>
          <w:rFonts w:ascii="Arial" w:hAnsi="Arial" w:cs="Arial"/>
          <w:bCs/>
        </w:rPr>
        <w:fldChar w:fldCharType="separate"/>
      </w:r>
      <w:r w:rsidR="00C85569" w:rsidRPr="00C85569">
        <w:rPr>
          <w:rFonts w:ascii="Arial" w:hAnsi="Arial" w:cs="Arial"/>
          <w:bCs/>
          <w:noProof/>
        </w:rPr>
        <w:t>(Wright et al. 2004)</w:t>
      </w:r>
      <w:r w:rsidR="00A37DC6">
        <w:rPr>
          <w:rFonts w:ascii="Arial" w:hAnsi="Arial" w:cs="Arial"/>
          <w:bCs/>
        </w:rPr>
        <w:fldChar w:fldCharType="end"/>
      </w:r>
      <w:r w:rsidR="00FF6455">
        <w:rPr>
          <w:rFonts w:ascii="Arial" w:hAnsi="Arial" w:cs="Arial"/>
          <w:bCs/>
        </w:rPr>
        <w:t xml:space="preserve">. Depending on factors such as </w:t>
      </w:r>
      <w:r w:rsidR="00D666CB">
        <w:rPr>
          <w:rFonts w:ascii="Arial" w:hAnsi="Arial" w:cs="Arial"/>
          <w:bCs/>
        </w:rPr>
        <w:t xml:space="preserve">disturbance regime, herbivore abundance, or environmental stress, </w:t>
      </w:r>
      <w:r w:rsidR="00051869">
        <w:rPr>
          <w:rFonts w:ascii="Arial" w:hAnsi="Arial" w:cs="Arial"/>
          <w:bCs/>
        </w:rPr>
        <w:t xml:space="preserve">variation across these different </w:t>
      </w:r>
      <w:r w:rsidR="005F7B09">
        <w:rPr>
          <w:rFonts w:ascii="Arial" w:hAnsi="Arial" w:cs="Arial"/>
          <w:bCs/>
        </w:rPr>
        <w:t xml:space="preserve">niche </w:t>
      </w:r>
      <w:r w:rsidR="00051869">
        <w:rPr>
          <w:rFonts w:ascii="Arial" w:hAnsi="Arial" w:cs="Arial"/>
          <w:bCs/>
        </w:rPr>
        <w:t>axes present conditions where one competitor will be favored over others.</w:t>
      </w:r>
    </w:p>
    <w:p w14:paraId="69D2C9BF" w14:textId="61D3C7F6" w:rsidR="00500004" w:rsidRDefault="005C15EB" w:rsidP="00417EBD">
      <w:pPr>
        <w:rPr>
          <w:rFonts w:ascii="Arial" w:hAnsi="Arial" w:cs="Arial"/>
          <w:bCs/>
        </w:rPr>
      </w:pPr>
      <w:r>
        <w:rPr>
          <w:rFonts w:ascii="Arial" w:hAnsi="Arial" w:cs="Arial"/>
          <w:bCs/>
        </w:rPr>
        <w:t>In response to global biodiversity loss, trade-off</w:t>
      </w:r>
      <w:r w:rsidR="00640319">
        <w:rPr>
          <w:rFonts w:ascii="Arial" w:hAnsi="Arial" w:cs="Arial"/>
          <w:bCs/>
        </w:rPr>
        <w:t xml:space="preserve">s </w:t>
      </w:r>
      <w:r w:rsidR="008A0BAB">
        <w:rPr>
          <w:rFonts w:ascii="Arial" w:hAnsi="Arial" w:cs="Arial"/>
          <w:bCs/>
        </w:rPr>
        <w:t xml:space="preserve">have been used to </w:t>
      </w:r>
      <w:r w:rsidR="006B7EE7">
        <w:rPr>
          <w:rFonts w:ascii="Arial" w:hAnsi="Arial" w:cs="Arial"/>
          <w:bCs/>
        </w:rPr>
        <w:t xml:space="preserve">understand </w:t>
      </w:r>
      <w:r w:rsidR="00FF5368">
        <w:rPr>
          <w:rFonts w:ascii="Arial" w:hAnsi="Arial" w:cs="Arial"/>
          <w:bCs/>
        </w:rPr>
        <w:t xml:space="preserve">changes in plant composition in diversity following </w:t>
      </w:r>
      <w:r w:rsidR="009930A3">
        <w:rPr>
          <w:rFonts w:ascii="Arial" w:hAnsi="Arial" w:cs="Arial"/>
          <w:bCs/>
        </w:rPr>
        <w:t xml:space="preserve">human-derived increases in nutrient availability. </w:t>
      </w:r>
      <w:r w:rsidR="00216F13">
        <w:rPr>
          <w:rFonts w:ascii="Arial" w:hAnsi="Arial" w:cs="Arial"/>
          <w:bCs/>
        </w:rPr>
        <w:t>In most cases, biodiversity loss driven by nutrient enrichment is attributed to a shift in competition for belowground resources to competition for light</w:t>
      </w:r>
      <w:r w:rsidR="00A37DC6">
        <w:rPr>
          <w:rFonts w:ascii="Arial" w:hAnsi="Arial" w:cs="Arial"/>
          <w:bCs/>
        </w:rPr>
        <w:t xml:space="preserve"> </w:t>
      </w:r>
      <w:r w:rsidR="00A37DC6">
        <w:rPr>
          <w:rFonts w:ascii="Arial" w:hAnsi="Arial" w:cs="Arial"/>
          <w:bCs/>
        </w:rPr>
        <w:fldChar w:fldCharType="begin" w:fldLock="1"/>
      </w:r>
      <w:r w:rsidR="00E9431D">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A37DC6">
        <w:rPr>
          <w:rFonts w:ascii="Arial" w:hAnsi="Arial" w:cs="Arial"/>
          <w:bCs/>
        </w:rPr>
        <w:fldChar w:fldCharType="separate"/>
      </w:r>
      <w:r w:rsidR="00A62AAE" w:rsidRPr="00A62AAE">
        <w:rPr>
          <w:rFonts w:ascii="Arial" w:hAnsi="Arial" w:cs="Arial"/>
          <w:bCs/>
          <w:noProof/>
        </w:rPr>
        <w:t>(Tilman 1984, Dybzinski and Tilman 2007, Hautier et al. 2009)</w:t>
      </w:r>
      <w:r w:rsidR="00A37DC6">
        <w:rPr>
          <w:rFonts w:ascii="Arial" w:hAnsi="Arial" w:cs="Arial"/>
          <w:bCs/>
        </w:rPr>
        <w:fldChar w:fldCharType="end"/>
      </w:r>
      <w:r w:rsidR="00216F13">
        <w:rPr>
          <w:rFonts w:ascii="Arial" w:hAnsi="Arial" w:cs="Arial"/>
          <w:bCs/>
        </w:rPr>
        <w:t>. This one-dimensional trade</w:t>
      </w:r>
      <w:r w:rsidR="00A74381">
        <w:rPr>
          <w:rFonts w:ascii="Arial" w:hAnsi="Arial" w:cs="Arial"/>
          <w:bCs/>
        </w:rPr>
        <w:t>-</w:t>
      </w:r>
      <w:r w:rsidR="00216F13">
        <w:rPr>
          <w:rFonts w:ascii="Arial" w:hAnsi="Arial" w:cs="Arial"/>
          <w:bCs/>
        </w:rPr>
        <w:t>off that physiological adaptations designed to increase nutrient uptake belowground come at the expense of investment into photosynthetic tissues that intercept available photosynthetic radiation. Increases in fertility through nutrient enrichment thus selects for species of larger stature with proportionally greater investment to aboveground vs. belowground components</w:t>
      </w:r>
      <w:r w:rsidR="00A62AAE">
        <w:rPr>
          <w:rFonts w:ascii="Arial" w:hAnsi="Arial" w:cs="Arial"/>
          <w:bCs/>
        </w:rPr>
        <w:t>.</w:t>
      </w:r>
    </w:p>
    <w:p w14:paraId="7B0F7DA3" w14:textId="58C1C76B" w:rsidR="00500004" w:rsidRDefault="00A74381" w:rsidP="00417EBD">
      <w:pPr>
        <w:rPr>
          <w:rFonts w:ascii="Arial" w:hAnsi="Arial" w:cs="Arial"/>
          <w:bCs/>
        </w:rPr>
      </w:pPr>
      <w:r>
        <w:rPr>
          <w:rFonts w:ascii="Arial" w:hAnsi="Arial" w:cs="Arial"/>
          <w:bCs/>
        </w:rPr>
        <w:t>T</w:t>
      </w:r>
      <w:r w:rsidR="008C3256">
        <w:rPr>
          <w:rFonts w:ascii="Arial" w:hAnsi="Arial" w:cs="Arial"/>
          <w:bCs/>
        </w:rPr>
        <w:t xml:space="preserve">his one-dimensional </w:t>
      </w:r>
      <w:r>
        <w:rPr>
          <w:rFonts w:ascii="Arial" w:hAnsi="Arial" w:cs="Arial"/>
          <w:bCs/>
        </w:rPr>
        <w:t xml:space="preserve">trade-off suggests that effects on community depend on changes in total resource availability, irrespective of which belowground resource </w:t>
      </w:r>
      <w:r w:rsidR="00FD7449">
        <w:rPr>
          <w:rFonts w:ascii="Arial" w:hAnsi="Arial" w:cs="Arial"/>
          <w:bCs/>
        </w:rPr>
        <w:t>is enriched</w:t>
      </w:r>
      <w:r>
        <w:rPr>
          <w:rFonts w:ascii="Arial" w:hAnsi="Arial" w:cs="Arial"/>
          <w:bCs/>
        </w:rPr>
        <w:t>.</w:t>
      </w:r>
      <w:r w:rsidR="00FD7449">
        <w:rPr>
          <w:rFonts w:ascii="Arial" w:hAnsi="Arial" w:cs="Arial"/>
          <w:bCs/>
        </w:rPr>
        <w:t xml:space="preserve"> However, </w:t>
      </w:r>
      <w:r w:rsidR="009A1ACE">
        <w:rPr>
          <w:rFonts w:ascii="Arial" w:hAnsi="Arial" w:cs="Arial"/>
          <w:bCs/>
        </w:rPr>
        <w:t xml:space="preserve">many systems are known to be limited by more than one belowground resource, </w:t>
      </w:r>
      <w:r w:rsidR="00E853F6">
        <w:rPr>
          <w:rFonts w:ascii="Arial" w:hAnsi="Arial" w:cs="Arial"/>
          <w:bCs/>
        </w:rPr>
        <w:t xml:space="preserve">that </w:t>
      </w:r>
      <w:r w:rsidR="00A411A7">
        <w:rPr>
          <w:rFonts w:ascii="Arial" w:hAnsi="Arial" w:cs="Arial"/>
          <w:bCs/>
        </w:rPr>
        <w:t>impl</w:t>
      </w:r>
      <w:r w:rsidR="00E853F6">
        <w:rPr>
          <w:rFonts w:ascii="Arial" w:hAnsi="Arial" w:cs="Arial"/>
          <w:bCs/>
        </w:rPr>
        <w:t>ies</w:t>
      </w:r>
      <w:r w:rsidR="001B64D2">
        <w:rPr>
          <w:rFonts w:ascii="Arial" w:hAnsi="Arial" w:cs="Arial"/>
          <w:bCs/>
        </w:rPr>
        <w:t xml:space="preserve"> the presence of multivariate </w:t>
      </w:r>
      <w:r w:rsidR="00A85EE4">
        <w:rPr>
          <w:rFonts w:ascii="Arial" w:hAnsi="Arial" w:cs="Arial"/>
          <w:bCs/>
        </w:rPr>
        <w:t>tradeoffs that depend on nutrient identity</w:t>
      </w:r>
      <w:r w:rsidR="0066728C">
        <w:rPr>
          <w:rFonts w:ascii="Arial" w:hAnsi="Arial" w:cs="Arial"/>
          <w:bCs/>
        </w:rPr>
        <w:t xml:space="preserve"> </w:t>
      </w:r>
      <w:r w:rsidR="0066728C">
        <w:rPr>
          <w:rFonts w:ascii="Arial" w:hAnsi="Arial" w:cs="Arial"/>
          <w:bCs/>
        </w:rPr>
        <w:fldChar w:fldCharType="begin" w:fldLock="1"/>
      </w:r>
      <w:r w:rsidR="00C049DA">
        <w:rPr>
          <w:rFonts w:ascii="Arial" w:hAnsi="Arial" w:cs="Arial"/>
          <w:bCs/>
        </w:rPr>
        <w:instrText>ADDIN CSL_CITATION {"citationItems":[{"id":"ITEM-1","itemData":{"DOI":"10.1038/nplants.2015.80","ISSN":"2055026X","abstract":"Terrestrial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Plants","id":"ITEM-1","issue":"July","issued":{"date-parts":[["2015"]]},"page":"1-5","title":"Grassland productivity limited by multiple nutrients","type":"article-journal","volume":"1"},"uris":["http://www.mendeley.com/documents/?uuid=34561512-7983-4a79-85ed-abfb94b9526a"]},{"id":"ITEM-2","itemData":{"DOI":"10.1038/nature19324","ISSN":"14764687","abstract":"Niche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diversity","type":"article-journal","volume":"537"},"uris":["http://www.mendeley.com/documents/?uuid=bbcc6eb1-4c94-476c-8792-4a73abd2569e"]}],"mendeley":{"formattedCitation":"(Fay et al. 2015, Harpole et al. 2016)","plainTextFormattedCitation":"(Fay et al. 2015, Harpole et al. 2016)","previouslyFormattedCitation":"(Fay et al. 2015, Harpole et al. 2016)"},"properties":{"noteIndex":0},"schema":"https://github.com/citation-style-language/schema/raw/master/csl-citation.json"}</w:instrText>
      </w:r>
      <w:r w:rsidR="0066728C">
        <w:rPr>
          <w:rFonts w:ascii="Arial" w:hAnsi="Arial" w:cs="Arial"/>
          <w:bCs/>
        </w:rPr>
        <w:fldChar w:fldCharType="separate"/>
      </w:r>
      <w:r w:rsidR="0066728C" w:rsidRPr="0066728C">
        <w:rPr>
          <w:rFonts w:ascii="Arial" w:hAnsi="Arial" w:cs="Arial"/>
          <w:bCs/>
          <w:noProof/>
        </w:rPr>
        <w:t>(Fay et al. 2015, Harpole et al. 2016)</w:t>
      </w:r>
      <w:r w:rsidR="0066728C">
        <w:rPr>
          <w:rFonts w:ascii="Arial" w:hAnsi="Arial" w:cs="Arial"/>
          <w:bCs/>
        </w:rPr>
        <w:fldChar w:fldCharType="end"/>
      </w:r>
      <w:r w:rsidR="00A85EE4">
        <w:rPr>
          <w:rFonts w:ascii="Arial" w:hAnsi="Arial" w:cs="Arial"/>
          <w:bCs/>
        </w:rPr>
        <w:t xml:space="preserve">. </w:t>
      </w:r>
      <w:r w:rsidR="00C5778F">
        <w:rPr>
          <w:rFonts w:ascii="Arial" w:hAnsi="Arial" w:cs="Arial"/>
          <w:bCs/>
        </w:rPr>
        <w:t xml:space="preserve">In this perspective, plant species exhibit </w:t>
      </w:r>
      <w:r w:rsidR="00725AAA">
        <w:rPr>
          <w:rFonts w:ascii="Arial" w:hAnsi="Arial" w:cs="Arial"/>
          <w:bCs/>
        </w:rPr>
        <w:t xml:space="preserve">nutrient-specific niches that impart specialization </w:t>
      </w:r>
      <w:r w:rsidR="002F472D">
        <w:rPr>
          <w:rFonts w:ascii="Arial" w:hAnsi="Arial" w:cs="Arial"/>
          <w:bCs/>
        </w:rPr>
        <w:t xml:space="preserve">on </w:t>
      </w:r>
      <w:r w:rsidR="00795405">
        <w:rPr>
          <w:rFonts w:ascii="Arial" w:hAnsi="Arial" w:cs="Arial"/>
          <w:bCs/>
        </w:rPr>
        <w:t>different belowground</w:t>
      </w:r>
      <w:r w:rsidR="002F472D">
        <w:rPr>
          <w:rFonts w:ascii="Arial" w:hAnsi="Arial" w:cs="Arial"/>
          <w:bCs/>
        </w:rPr>
        <w:t xml:space="preserve"> resources</w:t>
      </w:r>
      <w:r w:rsidR="003A01E0">
        <w:rPr>
          <w:rFonts w:ascii="Arial" w:hAnsi="Arial" w:cs="Arial"/>
          <w:bCs/>
        </w:rPr>
        <w:t xml:space="preserve">. Under these multi-dimensional trade-offs, biodiversity loss is interpreted through a loss of </w:t>
      </w:r>
      <w:r w:rsidR="003A01E0" w:rsidRPr="003A01E0">
        <w:rPr>
          <w:rFonts w:ascii="Arial" w:hAnsi="Arial" w:cs="Arial"/>
          <w:bCs/>
          <w:i/>
          <w:iCs/>
        </w:rPr>
        <w:t>niche dimensionality</w:t>
      </w:r>
      <w:r w:rsidR="00F973D1">
        <w:rPr>
          <w:rFonts w:ascii="Arial" w:hAnsi="Arial" w:cs="Arial"/>
          <w:bCs/>
        </w:rPr>
        <w:t xml:space="preserve">, where </w:t>
      </w:r>
      <w:r w:rsidR="001D376A">
        <w:rPr>
          <w:rFonts w:ascii="Arial" w:hAnsi="Arial" w:cs="Arial"/>
          <w:bCs/>
        </w:rPr>
        <w:t>nutrient addition</w:t>
      </w:r>
      <w:r w:rsidR="00EA25EC">
        <w:rPr>
          <w:rFonts w:ascii="Arial" w:hAnsi="Arial" w:cs="Arial"/>
          <w:bCs/>
        </w:rPr>
        <w:t xml:space="preserve"> removes limitation of that resource, “collapsing” a source of variation on which trade-offs operate</w:t>
      </w:r>
      <w:r w:rsidR="009A1ACE">
        <w:rPr>
          <w:rFonts w:ascii="Arial" w:hAnsi="Arial" w:cs="Arial"/>
          <w:bCs/>
        </w:rPr>
        <w:t xml:space="preserve"> </w:t>
      </w:r>
      <w:r w:rsidR="009A1ACE">
        <w:rPr>
          <w:rFonts w:ascii="Arial" w:hAnsi="Arial" w:cs="Arial"/>
          <w:bCs/>
        </w:rPr>
        <w:fldChar w:fldCharType="begin" w:fldLock="1"/>
      </w:r>
      <w:r w:rsidR="009A1ACE">
        <w:rPr>
          <w:rFonts w:ascii="Arial" w:hAnsi="Arial" w:cs="Arial"/>
          <w:bCs/>
        </w:rPr>
        <w:instrText>ADDIN CSL_CITATION {"citationItems":[{"id":"ITEM-1","itemData":{"DOI":"10.1038/nature05684","ISBN":"0028-0836","ISSN":"0028-0836","PMID":"17384633","abstract":"Intact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-1","issue":"7137","issued":{"date-parts":[["2007"]]},"page":"791-793","title":"Grassland species loss resulting from reduced niche dimension.","type":"article-journal","volume":"446"},"uris":["http://www.mendeley.com/documents/?uuid=90b9a3f6-9e96-4cd1-81f4-5297e3921e1a"]},{"id":"ITEM-2","itemData":{"DOI":"10.1038/nature19324","ISSN":"14764687","abstract":"Niche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9A1ACE">
        <w:rPr>
          <w:rFonts w:ascii="Arial" w:hAnsi="Arial" w:cs="Arial"/>
          <w:bCs/>
        </w:rPr>
        <w:fldChar w:fldCharType="separate"/>
      </w:r>
      <w:r w:rsidR="009A1ACE" w:rsidRPr="009A1ACE">
        <w:rPr>
          <w:rFonts w:ascii="Arial" w:hAnsi="Arial" w:cs="Arial"/>
          <w:bCs/>
          <w:noProof/>
        </w:rPr>
        <w:t>(Harpole and Tilman 2007, Harpole et al. 2016)</w:t>
      </w:r>
      <w:r w:rsidR="009A1ACE">
        <w:rPr>
          <w:rFonts w:ascii="Arial" w:hAnsi="Arial" w:cs="Arial"/>
          <w:bCs/>
        </w:rPr>
        <w:fldChar w:fldCharType="end"/>
      </w:r>
      <w:r w:rsidR="00EA25EC">
        <w:rPr>
          <w:rFonts w:ascii="Arial" w:hAnsi="Arial" w:cs="Arial"/>
          <w:bCs/>
        </w:rPr>
        <w:t>.</w:t>
      </w:r>
    </w:p>
    <w:p w14:paraId="1B3F7499" w14:textId="45827DF3" w:rsidR="00D23E62" w:rsidRDefault="00F24301" w:rsidP="00417EBD">
      <w:pPr>
        <w:rPr>
          <w:rFonts w:ascii="Arial" w:hAnsi="Arial" w:cs="Arial"/>
          <w:bCs/>
        </w:rPr>
      </w:pPr>
      <w:r>
        <w:rPr>
          <w:rFonts w:ascii="Arial" w:hAnsi="Arial" w:cs="Arial"/>
          <w:bCs/>
        </w:rPr>
        <w:t xml:space="preserve">Central to the distinction between these two perspectives </w:t>
      </w:r>
      <w:r w:rsidR="002A3F75">
        <w:rPr>
          <w:rFonts w:ascii="Arial" w:hAnsi="Arial" w:cs="Arial"/>
          <w:bCs/>
        </w:rPr>
        <w:t xml:space="preserve">are </w:t>
      </w:r>
      <w:r w:rsidR="0025067B">
        <w:rPr>
          <w:rFonts w:ascii="Arial" w:hAnsi="Arial" w:cs="Arial"/>
          <w:bCs/>
        </w:rPr>
        <w:t xml:space="preserve">an emphasis on resource supply </w:t>
      </w:r>
      <w:r w:rsidR="00EC71F4">
        <w:rPr>
          <w:rFonts w:ascii="Arial" w:hAnsi="Arial" w:cs="Arial"/>
          <w:bCs/>
        </w:rPr>
        <w:t xml:space="preserve">vs. resource stoichiometry as core determinants of </w:t>
      </w:r>
      <w:r w:rsidR="00F83071">
        <w:rPr>
          <w:rFonts w:ascii="Arial" w:hAnsi="Arial" w:cs="Arial"/>
          <w:bCs/>
        </w:rPr>
        <w:t>species abundance</w:t>
      </w:r>
      <w:r w:rsidR="00A86D2C">
        <w:rPr>
          <w:rFonts w:ascii="Arial" w:hAnsi="Arial" w:cs="Arial"/>
          <w:bCs/>
        </w:rPr>
        <w:t>s</w:t>
      </w:r>
      <w:r w:rsidR="00F83071">
        <w:rPr>
          <w:rFonts w:ascii="Arial" w:hAnsi="Arial" w:cs="Arial"/>
          <w:bCs/>
        </w:rPr>
        <w:t xml:space="preserve"> in plant communities</w:t>
      </w:r>
      <w:r w:rsidR="00C049DA">
        <w:rPr>
          <w:rFonts w:ascii="Arial" w:hAnsi="Arial" w:cs="Arial"/>
          <w:bCs/>
        </w:rPr>
        <w:t xml:space="preserve"> </w:t>
      </w:r>
      <w:r w:rsidR="00C049DA">
        <w:rPr>
          <w:rFonts w:ascii="Arial" w:hAnsi="Arial" w:cs="Arial"/>
          <w:bCs/>
        </w:rPr>
        <w:fldChar w:fldCharType="begin" w:fldLock="1"/>
      </w:r>
      <w:r w:rsidR="006671A6">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C049DA">
        <w:rPr>
          <w:rFonts w:ascii="Arial" w:hAnsi="Arial" w:cs="Arial"/>
          <w:bCs/>
        </w:rPr>
        <w:fldChar w:fldCharType="separate"/>
      </w:r>
      <w:r w:rsidR="003D56EE" w:rsidRPr="003D56EE">
        <w:rPr>
          <w:rFonts w:ascii="Arial" w:hAnsi="Arial" w:cs="Arial"/>
          <w:bCs/>
          <w:noProof/>
        </w:rPr>
        <w:t>(DeMalach and Kadmon 2017, Harpole et al. 2017)</w:t>
      </w:r>
      <w:r w:rsidR="00C049DA">
        <w:rPr>
          <w:rFonts w:ascii="Arial" w:hAnsi="Arial" w:cs="Arial"/>
          <w:bCs/>
        </w:rPr>
        <w:fldChar w:fldCharType="end"/>
      </w:r>
      <w:r w:rsidR="00F83071">
        <w:rPr>
          <w:rFonts w:ascii="Arial" w:hAnsi="Arial" w:cs="Arial"/>
          <w:bCs/>
        </w:rPr>
        <w:t xml:space="preserve">. </w:t>
      </w:r>
      <w:r w:rsidR="00A00E69">
        <w:rPr>
          <w:rFonts w:ascii="Arial" w:hAnsi="Arial" w:cs="Arial"/>
          <w:bCs/>
        </w:rPr>
        <w:t>When communities are subject to enrichment of different belowground resources</w:t>
      </w:r>
      <w:r w:rsidR="002A768D">
        <w:rPr>
          <w:rFonts w:ascii="Arial" w:hAnsi="Arial" w:cs="Arial"/>
          <w:bCs/>
        </w:rPr>
        <w:t xml:space="preserve">, </w:t>
      </w:r>
      <w:r w:rsidR="00851421">
        <w:rPr>
          <w:rFonts w:ascii="Arial" w:hAnsi="Arial" w:cs="Arial"/>
          <w:bCs/>
        </w:rPr>
        <w:t xml:space="preserve">a </w:t>
      </w:r>
      <w:r w:rsidR="00A675BB">
        <w:rPr>
          <w:rFonts w:ascii="Arial" w:hAnsi="Arial" w:cs="Arial"/>
          <w:bCs/>
        </w:rPr>
        <w:t xml:space="preserve">one-dimensional </w:t>
      </w:r>
      <w:r w:rsidR="00851421">
        <w:rPr>
          <w:rFonts w:ascii="Arial" w:hAnsi="Arial" w:cs="Arial"/>
          <w:bCs/>
        </w:rPr>
        <w:t xml:space="preserve">focus on </w:t>
      </w:r>
      <w:r w:rsidR="00160F6F">
        <w:rPr>
          <w:rFonts w:ascii="Arial" w:hAnsi="Arial" w:cs="Arial"/>
          <w:bCs/>
        </w:rPr>
        <w:t>light competition suggests that changes in species abundances will be directionally consistent</w:t>
      </w:r>
      <w:r w:rsidR="00E03A76">
        <w:rPr>
          <w:rFonts w:ascii="Arial" w:hAnsi="Arial" w:cs="Arial"/>
          <w:bCs/>
        </w:rPr>
        <w:t xml:space="preserve">, varying only in magnitude </w:t>
      </w:r>
      <w:r w:rsidR="002212AE">
        <w:rPr>
          <w:rFonts w:ascii="Arial" w:hAnsi="Arial" w:cs="Arial"/>
          <w:bCs/>
        </w:rPr>
        <w:t>based on shifts in total resource supply generated by fertilization</w:t>
      </w:r>
      <w:r w:rsidR="005357C8">
        <w:rPr>
          <w:rFonts w:ascii="Arial" w:hAnsi="Arial" w:cs="Arial"/>
          <w:bCs/>
        </w:rPr>
        <w:t xml:space="preserve">. </w:t>
      </w:r>
      <w:r w:rsidR="002212AE">
        <w:rPr>
          <w:rFonts w:ascii="Arial" w:hAnsi="Arial" w:cs="Arial"/>
          <w:bCs/>
        </w:rPr>
        <w:t xml:space="preserve">In contrast, </w:t>
      </w:r>
      <w:r w:rsidR="00A675BB">
        <w:rPr>
          <w:rFonts w:ascii="Arial" w:hAnsi="Arial" w:cs="Arial"/>
          <w:bCs/>
        </w:rPr>
        <w:t xml:space="preserve">multi-dimensional trade-offs </w:t>
      </w:r>
      <w:r w:rsidR="009437DE">
        <w:rPr>
          <w:rFonts w:ascii="Arial" w:hAnsi="Arial" w:cs="Arial"/>
          <w:bCs/>
        </w:rPr>
        <w:t xml:space="preserve">in belowground resource use imply </w:t>
      </w:r>
      <w:r w:rsidR="00260CBE">
        <w:rPr>
          <w:rFonts w:ascii="Arial" w:hAnsi="Arial" w:cs="Arial"/>
          <w:bCs/>
        </w:rPr>
        <w:t xml:space="preserve">uncorrelated trajectories of community change </w:t>
      </w:r>
      <w:r w:rsidR="000A2769">
        <w:rPr>
          <w:rFonts w:ascii="Arial" w:hAnsi="Arial" w:cs="Arial"/>
          <w:bCs/>
        </w:rPr>
        <w:t xml:space="preserve">across different types of </w:t>
      </w:r>
      <w:r w:rsidR="00027F3A">
        <w:rPr>
          <w:rFonts w:ascii="Arial" w:hAnsi="Arial" w:cs="Arial"/>
          <w:bCs/>
        </w:rPr>
        <w:t xml:space="preserve">nutrient </w:t>
      </w:r>
      <w:r w:rsidR="000A2769">
        <w:rPr>
          <w:rFonts w:ascii="Arial" w:hAnsi="Arial" w:cs="Arial"/>
          <w:bCs/>
        </w:rPr>
        <w:t>enrichment</w:t>
      </w:r>
      <w:r w:rsidR="002937A1">
        <w:rPr>
          <w:rFonts w:ascii="Arial" w:hAnsi="Arial" w:cs="Arial"/>
          <w:bCs/>
        </w:rPr>
        <w:t>; s</w:t>
      </w:r>
      <w:r w:rsidR="00EC5354">
        <w:rPr>
          <w:rFonts w:ascii="Arial" w:hAnsi="Arial" w:cs="Arial"/>
          <w:bCs/>
        </w:rPr>
        <w:t xml:space="preserve">hifts in resource stoichiometry </w:t>
      </w:r>
      <w:r w:rsidR="00E2058A">
        <w:rPr>
          <w:rFonts w:ascii="Arial" w:hAnsi="Arial" w:cs="Arial"/>
          <w:bCs/>
        </w:rPr>
        <w:t>act on</w:t>
      </w:r>
      <w:r w:rsidR="002937A1">
        <w:rPr>
          <w:rFonts w:ascii="Arial" w:hAnsi="Arial" w:cs="Arial"/>
          <w:bCs/>
        </w:rPr>
        <w:t xml:space="preserve"> niche differentiation between interacting species</w:t>
      </w:r>
      <w:r w:rsidR="00E2058A">
        <w:rPr>
          <w:rFonts w:ascii="Arial" w:hAnsi="Arial" w:cs="Arial"/>
          <w:bCs/>
        </w:rPr>
        <w:t>,</w:t>
      </w:r>
      <w:r w:rsidR="002937A1">
        <w:rPr>
          <w:rFonts w:ascii="Arial" w:hAnsi="Arial" w:cs="Arial"/>
          <w:bCs/>
        </w:rPr>
        <w:t xml:space="preserve"> </w:t>
      </w:r>
      <w:r w:rsidR="00825FC4">
        <w:rPr>
          <w:rFonts w:ascii="Arial" w:hAnsi="Arial" w:cs="Arial"/>
          <w:bCs/>
        </w:rPr>
        <w:t>that</w:t>
      </w:r>
      <w:r w:rsidR="002937A1">
        <w:rPr>
          <w:rFonts w:ascii="Arial" w:hAnsi="Arial" w:cs="Arial"/>
          <w:bCs/>
        </w:rPr>
        <w:t xml:space="preserve"> vary in </w:t>
      </w:r>
      <w:r w:rsidR="008E143C">
        <w:rPr>
          <w:rFonts w:ascii="Arial" w:hAnsi="Arial" w:cs="Arial"/>
          <w:bCs/>
        </w:rPr>
        <w:t>their ability to utilize specific belowground resources.</w:t>
      </w:r>
    </w:p>
    <w:p w14:paraId="3A6DD405" w14:textId="63A744D5" w:rsidR="00602C91" w:rsidRDefault="0056197F" w:rsidP="00417EBD">
      <w:pPr>
        <w:rPr>
          <w:rFonts w:ascii="Arial" w:hAnsi="Arial" w:cs="Arial"/>
          <w:bCs/>
        </w:rPr>
      </w:pPr>
      <w:r>
        <w:rPr>
          <w:rFonts w:ascii="Arial" w:hAnsi="Arial" w:cs="Arial"/>
          <w:bCs/>
        </w:rPr>
        <w:t>In natural communities</w:t>
      </w:r>
      <w:r w:rsidR="002E1C51">
        <w:rPr>
          <w:rFonts w:ascii="Arial" w:hAnsi="Arial" w:cs="Arial"/>
          <w:bCs/>
        </w:rPr>
        <w:t xml:space="preserve"> subject to enrichment by multiple resources</w:t>
      </w:r>
      <w:r>
        <w:rPr>
          <w:rFonts w:ascii="Arial" w:hAnsi="Arial" w:cs="Arial"/>
          <w:bCs/>
        </w:rPr>
        <w:t xml:space="preserve">, </w:t>
      </w:r>
      <w:r w:rsidR="00C404C2">
        <w:rPr>
          <w:rFonts w:ascii="Arial" w:hAnsi="Arial" w:cs="Arial"/>
          <w:bCs/>
        </w:rPr>
        <w:t xml:space="preserve">trade-offs governed by </w:t>
      </w:r>
      <w:r w:rsidR="0005308C">
        <w:rPr>
          <w:rFonts w:ascii="Arial" w:hAnsi="Arial" w:cs="Arial"/>
          <w:bCs/>
        </w:rPr>
        <w:t xml:space="preserve">investment to belowground vs. aboveground tissues and multi-dimensional tradeoffs for soil resources are likely to operate simultaneously. </w:t>
      </w:r>
      <w:r w:rsidR="00041177">
        <w:rPr>
          <w:rFonts w:ascii="Arial" w:hAnsi="Arial" w:cs="Arial"/>
          <w:bCs/>
        </w:rPr>
        <w:t xml:space="preserve">However, the strength of each mechanism is </w:t>
      </w:r>
      <w:r w:rsidR="00041177">
        <w:rPr>
          <w:rFonts w:ascii="Arial" w:hAnsi="Arial" w:cs="Arial"/>
          <w:bCs/>
        </w:rPr>
        <w:lastRenderedPageBreak/>
        <w:t xml:space="preserve">likely to be constrained by </w:t>
      </w:r>
      <w:r w:rsidR="002E1C51">
        <w:rPr>
          <w:rFonts w:ascii="Arial" w:hAnsi="Arial" w:cs="Arial"/>
          <w:bCs/>
        </w:rPr>
        <w:t xml:space="preserve">plant physiology, environmental characteristics, and </w:t>
      </w:r>
      <w:r w:rsidR="00394EB0">
        <w:rPr>
          <w:rFonts w:ascii="Arial" w:hAnsi="Arial" w:cs="Arial"/>
          <w:bCs/>
        </w:rPr>
        <w:t>community properties of locally interacting species</w:t>
      </w:r>
      <w:r w:rsidR="005E0582">
        <w:rPr>
          <w:rFonts w:ascii="Arial" w:hAnsi="Arial" w:cs="Arial"/>
          <w:bCs/>
        </w:rPr>
        <w:t xml:space="preserve"> </w:t>
      </w:r>
      <w:r w:rsidR="002E3E7B">
        <w:rPr>
          <w:rFonts w:ascii="Arial" w:hAnsi="Arial" w:cs="Arial"/>
          <w:bCs/>
        </w:rPr>
        <w:fldChar w:fldCharType="begin" w:fldLock="1"/>
      </w:r>
      <w:r w:rsidR="00A37DC6">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exclusion?","type":"article-journal","volume":"76"},"uris":["http://www.mendeley.com/documents/?uuid=0df8644e-59c1-43d5-8f49-569f79e9c493"]}],"mendeley":{"formattedCitation":"(Passarge et al. 2006, Hautier et al. 2018)","plainTextFormattedCitation":"(Passarge et al. 2006, Hautier et al. 2018)","previouslyFormattedCitation":"(Passarge et al. 2006, Hautier et al. 2018)"},"properties":{"noteIndex":0},"schema":"https://github.com/citation-style-language/schema/raw/master/csl-citation.json"}</w:instrText>
      </w:r>
      <w:r w:rsidR="002E3E7B">
        <w:rPr>
          <w:rFonts w:ascii="Arial" w:hAnsi="Arial" w:cs="Arial"/>
          <w:bCs/>
        </w:rPr>
        <w:fldChar w:fldCharType="separate"/>
      </w:r>
      <w:r w:rsidR="002E3E7B" w:rsidRPr="002E3E7B">
        <w:rPr>
          <w:rFonts w:ascii="Arial" w:hAnsi="Arial" w:cs="Arial"/>
          <w:bCs/>
          <w:noProof/>
        </w:rPr>
        <w:t>(Passarge et al. 2006, Hautier et al. 2018)</w:t>
      </w:r>
      <w:r w:rsidR="002E3E7B">
        <w:rPr>
          <w:rFonts w:ascii="Arial" w:hAnsi="Arial" w:cs="Arial"/>
          <w:bCs/>
        </w:rPr>
        <w:fldChar w:fldCharType="end"/>
      </w:r>
      <w:r w:rsidR="00394EB0">
        <w:rPr>
          <w:rFonts w:ascii="Arial" w:hAnsi="Arial" w:cs="Arial"/>
          <w:bCs/>
        </w:rPr>
        <w:t>.</w:t>
      </w:r>
    </w:p>
    <w:p w14:paraId="72B0FA87" w14:textId="5ED7BD8B" w:rsidR="00656500" w:rsidRDefault="00612853" w:rsidP="00417EBD">
      <w:pPr>
        <w:rPr>
          <w:rFonts w:ascii="Arial" w:hAnsi="Arial" w:cs="Arial"/>
          <w:bCs/>
        </w:rPr>
      </w:pPr>
      <w:r>
        <w:rPr>
          <w:rFonts w:ascii="Arial" w:hAnsi="Arial" w:cs="Arial"/>
          <w:bCs/>
        </w:rPr>
        <w:t xml:space="preserve">Broadly speaking, </w:t>
      </w:r>
      <w:r w:rsidR="006D55F6">
        <w:rPr>
          <w:rFonts w:ascii="Arial" w:hAnsi="Arial" w:cs="Arial"/>
          <w:bCs/>
        </w:rPr>
        <w:t xml:space="preserve">stoichiometric analyses of plant tissue chemistry </w:t>
      </w:r>
      <w:r w:rsidR="00493680">
        <w:rPr>
          <w:rFonts w:ascii="Arial" w:hAnsi="Arial" w:cs="Arial"/>
          <w:bCs/>
        </w:rPr>
        <w:t xml:space="preserve">suggest that </w:t>
      </w:r>
      <w:r w:rsidR="00BE327D">
        <w:rPr>
          <w:rFonts w:ascii="Arial" w:hAnsi="Arial" w:cs="Arial"/>
          <w:bCs/>
        </w:rPr>
        <w:t xml:space="preserve">demand for belowground resources </w:t>
      </w:r>
      <w:r w:rsidR="00B95E88">
        <w:rPr>
          <w:rFonts w:ascii="Arial" w:hAnsi="Arial" w:cs="Arial"/>
          <w:bCs/>
        </w:rPr>
        <w:t>may scale proportionally with plant growth rate</w:t>
      </w:r>
      <w:r w:rsidR="00E9431D">
        <w:rPr>
          <w:rFonts w:ascii="Arial" w:hAnsi="Arial" w:cs="Arial"/>
          <w:bCs/>
        </w:rPr>
        <w:t xml:space="preserve"> </w:t>
      </w:r>
      <w:r w:rsidR="00E9431D">
        <w:rPr>
          <w:rFonts w:ascii="Arial" w:hAnsi="Arial" w:cs="Arial"/>
          <w:bCs/>
        </w:rPr>
        <w:fldChar w:fldCharType="begin" w:fldLock="1"/>
      </w:r>
      <w:r w:rsidR="00E9431D">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Communities","type":"article-journal","volume":"39"},"uris":["http://www.mendeley.com/documents/?uuid=8f85ca5f-a61b-485d-a6ef-30bbfc2f48ce"]},{"id":"ITEM-2","itemData":{"DOI":"10.1093/treephys/24.4.447","ISSN":"0829318X","abstract":"Theoretical considerations based on nutrition experiments suggest that nutrient ratios of terrestrial plants are similar to the Redfield ratio found in marine phytoplankton. Laboratory experiments have shown that seedlings of many different plant species have similar nutrient concentration ratios when supplied with nutrients at free access. However, at free access, nutrients are likely to be taken up in amounts in excess of a plant's requirements for growth. In further experiments, therefore, the supply rate of each nutrient was reduced so that excessive uptake did not occur. Again, similar nutrient ratios were found among the plant species tested, although the ratios differed from those found in plants given free access to nutrients. Based on the law of the minimum, we suggest that optimum nutrient ratios be defined as the ratios found in plants when all nutrients are limiting growth simultaneously. The literature on nutrient concentrations was surveyed to investigate nutrient ratios in terrestrial ecosystems. Nutrients taken into consideration were nitrogen, phosphorus, potassium, calcium and magnesium. Based on the assumption that nitrogen is either the limiting nutrient or, when not limiting, is taken up only in small excess amounts, we calculated nutrient ratios from published data. The calculated ratios corresponded closely to the ratios determined in laboratory and field experiments.","author":[{"dropping-particle":"","family":"Knecht","given":"Magnus F.","non-dropping-particle":"","parse-names":false,"suffix":""},{"dropping-particle":"","family":"Göransson","given":"Anders","non-dropping-particle":"","parse-names":false,"suffix":""}],"container-title":"Tree Physiology","id":"ITEM-2","issue":"4","issued":{"date-parts":[["2004"]]},"page":"447-460","title":"Terrestrial plants require nutrients in similar proportions","type":"article-journal","volume":"24"},"uris":["http://www.mendeley.com/documents/?uuid=4e3737a8-1739-467d-a5f7-8d44caee2d8f"]}],"mendeley":{"formattedCitation":"(Knecht and Göransson 2004, Ågren 2008)","plainTextFormattedCitation":"(Knecht and Göransson 2004, Ågren 2008)","previouslyFormattedCitation":"(Knecht and Göransson 2004, Ågren 2008)"},"properties":{"noteIndex":0},"schema":"https://github.com/citation-style-language/schema/raw/master/csl-citation.json"}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(Knecht and Göransson 2004, Ågren 2008)</w:t>
      </w:r>
      <w:r w:rsidR="00E9431D">
        <w:rPr>
          <w:rFonts w:ascii="Arial" w:hAnsi="Arial" w:cs="Arial"/>
          <w:bCs/>
        </w:rPr>
        <w:fldChar w:fldCharType="end"/>
      </w:r>
      <w:r w:rsidR="00F73397">
        <w:rPr>
          <w:rFonts w:ascii="Arial" w:hAnsi="Arial" w:cs="Arial"/>
          <w:bCs/>
        </w:rPr>
        <w:t>.</w:t>
      </w:r>
      <w:r w:rsidR="00A31212">
        <w:rPr>
          <w:rFonts w:ascii="Arial" w:hAnsi="Arial" w:cs="Arial"/>
          <w:bCs/>
        </w:rPr>
        <w:t xml:space="preserve"> This evidence supporting a generally one-dimensional niche </w:t>
      </w:r>
      <w:r w:rsidR="00C92C83">
        <w:rPr>
          <w:rFonts w:ascii="Arial" w:hAnsi="Arial" w:cs="Arial"/>
          <w:bCs/>
        </w:rPr>
        <w:t xml:space="preserve">axis </w:t>
      </w:r>
      <w:r w:rsidR="00CC6FC3">
        <w:rPr>
          <w:rFonts w:ascii="Arial" w:hAnsi="Arial" w:cs="Arial"/>
          <w:bCs/>
        </w:rPr>
        <w:t>between</w:t>
      </w:r>
      <w:r w:rsidR="00D63D09">
        <w:rPr>
          <w:rFonts w:ascii="Arial" w:hAnsi="Arial" w:cs="Arial"/>
          <w:bCs/>
        </w:rPr>
        <w:t xml:space="preserve"> </w:t>
      </w:r>
      <w:r w:rsidR="00A31212">
        <w:rPr>
          <w:rFonts w:ascii="Arial" w:hAnsi="Arial" w:cs="Arial"/>
          <w:bCs/>
        </w:rPr>
        <w:t xml:space="preserve">low and high fertility environments is further compounded </w:t>
      </w:r>
      <w:r w:rsidR="009A2BD9">
        <w:rPr>
          <w:rFonts w:ascii="Arial" w:hAnsi="Arial" w:cs="Arial"/>
          <w:bCs/>
        </w:rPr>
        <w:t xml:space="preserve">by </w:t>
      </w:r>
      <w:r w:rsidR="00FC306A">
        <w:rPr>
          <w:rFonts w:ascii="Arial" w:hAnsi="Arial" w:cs="Arial"/>
          <w:bCs/>
        </w:rPr>
        <w:t>physiological constraints</w:t>
      </w:r>
      <w:r w:rsidR="00111A40">
        <w:rPr>
          <w:rFonts w:ascii="Arial" w:hAnsi="Arial" w:cs="Arial"/>
          <w:bCs/>
        </w:rPr>
        <w:t xml:space="preserve"> on root architecture</w:t>
      </w:r>
      <w:r w:rsidR="00E9431D">
        <w:rPr>
          <w:rFonts w:ascii="Arial" w:hAnsi="Arial" w:cs="Arial"/>
          <w:bCs/>
        </w:rPr>
        <w:t xml:space="preserve"> </w:t>
      </w:r>
      <w:r w:rsidR="00E9431D">
        <w:rPr>
          <w:rFonts w:ascii="Arial" w:hAnsi="Arial" w:cs="Arial"/>
          <w:bCs/>
        </w:rPr>
        <w:fldChar w:fldCharType="begin" w:fldLock="1"/>
      </w:r>
      <w:r w:rsidR="0021309B">
        <w:rPr>
          <w:rFonts w:ascii="Arial" w:hAnsi="Arial" w:cs="Arial"/>
          <w:bCs/>
        </w:rPr>
        <w:instrText>ADDIN CSL_CITATION {"citationItems":[{"id":"ITEM-1","itemData":{"DOI":"10.1146/annurev.es.11.110180.001313","ISSN":"0066-4162","abstract":"Crop responses to nutrient stress were compared with the responses of spp. which have evolved under more natural environments often low in mineral nutrients.","author":[{"dropping-particle":"","family":"Chapin","given":"F S","non-dropping-particle":"","parse-names":false,"suffix":""}],"container-title":"Annual Review of Ecology and Systematics","id":"ITEM-1","issue":"1","issued":{"date-parts":[["1980"]]},"page":"233-260","title":"The Mineral Nutrition of Wild Plants","type":"article-journal","volume":"11"},"uris":["http://www.mendeley.com/documents/?uuid=46da05eb-4505-40f3-912e-a6c5ec47ca8d"]}],"mendeley":{"formattedCitation":"(Chapin 1980)","plainTextFormattedCitation":"(Chapin 1980)","previouslyFormattedCitation":"(Chapin 1980)"},"properties":{"noteIndex":0},"schema":"https://github.com/citation-style-language/schema/raw/master/csl-citation.json"}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(Chapin 1980)</w:t>
      </w:r>
      <w:r w:rsidR="00E9431D">
        <w:rPr>
          <w:rFonts w:ascii="Arial" w:hAnsi="Arial" w:cs="Arial"/>
          <w:bCs/>
        </w:rPr>
        <w:fldChar w:fldCharType="end"/>
      </w:r>
      <w:r w:rsidR="00111A40">
        <w:rPr>
          <w:rFonts w:ascii="Arial" w:hAnsi="Arial" w:cs="Arial"/>
          <w:bCs/>
        </w:rPr>
        <w:t xml:space="preserve">. </w:t>
      </w:r>
      <w:r w:rsidR="00651EF1">
        <w:rPr>
          <w:rFonts w:ascii="Arial" w:hAnsi="Arial" w:cs="Arial"/>
          <w:bCs/>
        </w:rPr>
        <w:t>Physiological</w:t>
      </w:r>
      <w:r w:rsidR="00111A40">
        <w:rPr>
          <w:rFonts w:ascii="Arial" w:hAnsi="Arial" w:cs="Arial"/>
          <w:bCs/>
        </w:rPr>
        <w:t xml:space="preserve"> adaptations designed to increase the uptake of one mineral nutrient are likely to operate similarly for others; large, deep root systems composed of fine roots generally exhibit greater absorptive capacity than less </w:t>
      </w:r>
      <w:proofErr w:type="spellStart"/>
      <w:r w:rsidR="00111A40">
        <w:rPr>
          <w:rFonts w:ascii="Arial" w:hAnsi="Arial" w:cs="Arial"/>
          <w:bCs/>
        </w:rPr>
        <w:t>expansive</w:t>
      </w:r>
      <w:proofErr w:type="spellEnd"/>
      <w:r w:rsidR="00111A40">
        <w:rPr>
          <w:rFonts w:ascii="Arial" w:hAnsi="Arial" w:cs="Arial"/>
          <w:bCs/>
        </w:rPr>
        <w:t xml:space="preserve"> one</w:t>
      </w:r>
      <w:r w:rsidR="00651EF1">
        <w:rPr>
          <w:rFonts w:ascii="Arial" w:hAnsi="Arial" w:cs="Arial"/>
          <w:bCs/>
        </w:rPr>
        <w:t>s.</w:t>
      </w:r>
    </w:p>
    <w:p w14:paraId="36E0DB25" w14:textId="086F741E" w:rsidR="00651EF1" w:rsidRDefault="00651EF1" w:rsidP="00417EBD">
      <w:pPr>
        <w:rPr>
          <w:rFonts w:ascii="Arial" w:hAnsi="Arial" w:cs="Arial"/>
          <w:bCs/>
        </w:rPr>
      </w:pPr>
      <w:r>
        <w:rPr>
          <w:rFonts w:ascii="Arial" w:hAnsi="Arial" w:cs="Arial"/>
          <w:bCs/>
        </w:rPr>
        <w:t xml:space="preserve">These broad patterns are subject to further sub-specialization, however. </w:t>
      </w:r>
      <w:r w:rsidR="009F40EF">
        <w:rPr>
          <w:rFonts w:ascii="Arial" w:hAnsi="Arial" w:cs="Arial"/>
          <w:bCs/>
        </w:rPr>
        <w:t xml:space="preserve">Plants are known to exhibit variation in tissue stoichiometry, </w:t>
      </w:r>
      <w:r w:rsidR="007E0363">
        <w:rPr>
          <w:rFonts w:ascii="Arial" w:hAnsi="Arial" w:cs="Arial"/>
          <w:bCs/>
        </w:rPr>
        <w:t xml:space="preserve">resource use </w:t>
      </w:r>
      <w:r w:rsidR="009F40EF">
        <w:rPr>
          <w:rFonts w:ascii="Arial" w:hAnsi="Arial" w:cs="Arial"/>
          <w:bCs/>
        </w:rPr>
        <w:t xml:space="preserve">plasticity, and </w:t>
      </w:r>
      <w:r w:rsidR="006556F7">
        <w:rPr>
          <w:rFonts w:ascii="Arial" w:hAnsi="Arial" w:cs="Arial"/>
          <w:bCs/>
        </w:rPr>
        <w:t xml:space="preserve">present </w:t>
      </w:r>
      <w:r w:rsidR="009F40EF">
        <w:rPr>
          <w:rFonts w:ascii="Arial" w:hAnsi="Arial" w:cs="Arial"/>
          <w:bCs/>
        </w:rPr>
        <w:t xml:space="preserve">adaptations that </w:t>
      </w:r>
      <w:r w:rsidR="00D95E08">
        <w:rPr>
          <w:rFonts w:ascii="Arial" w:hAnsi="Arial" w:cs="Arial"/>
          <w:bCs/>
        </w:rPr>
        <w:t>increase the uptake and use of specific resource types</w:t>
      </w:r>
      <w:r w:rsidR="0021309B">
        <w:rPr>
          <w:rFonts w:ascii="Arial" w:hAnsi="Arial" w:cs="Arial"/>
          <w:bCs/>
        </w:rPr>
        <w:t xml:space="preserve"> </w:t>
      </w:r>
      <w:r w:rsidR="0021309B">
        <w:rPr>
          <w:rFonts w:ascii="Arial" w:hAnsi="Arial" w:cs="Arial"/>
          <w:bCs/>
        </w:rPr>
        <w:fldChar w:fldCharType="begin" w:fldLock="1"/>
      </w:r>
      <w:r w:rsidR="0021309B">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Ågren 2008)","plainTextFormattedCitation":"(Güsewell 2004, Ågren 2008)","previouslyFormattedCitation":"(Güsewell 2004, Ågren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(Güsewell 2004, Ågren 2008)</w:t>
      </w:r>
      <w:r w:rsidR="0021309B">
        <w:rPr>
          <w:rFonts w:ascii="Arial" w:hAnsi="Arial" w:cs="Arial"/>
          <w:bCs/>
        </w:rPr>
        <w:fldChar w:fldCharType="end"/>
      </w:r>
      <w:r w:rsidR="00D95E08">
        <w:rPr>
          <w:rFonts w:ascii="Arial" w:hAnsi="Arial" w:cs="Arial"/>
          <w:bCs/>
        </w:rPr>
        <w:t xml:space="preserve">. </w:t>
      </w:r>
      <w:r w:rsidR="00BD72BD">
        <w:rPr>
          <w:rFonts w:ascii="Arial" w:hAnsi="Arial" w:cs="Arial"/>
          <w:bCs/>
        </w:rPr>
        <w:t xml:space="preserve">Specialized root structures </w:t>
      </w:r>
      <w:r w:rsidR="00FD757D">
        <w:rPr>
          <w:rFonts w:ascii="Arial" w:hAnsi="Arial" w:cs="Arial"/>
          <w:bCs/>
        </w:rPr>
        <w:t xml:space="preserve">may increase rates of phosphorous extraction from recalcitrant soil types, while </w:t>
      </w:r>
      <w:r w:rsidR="004F1167">
        <w:rPr>
          <w:rFonts w:ascii="Arial" w:hAnsi="Arial" w:cs="Arial"/>
          <w:bCs/>
        </w:rPr>
        <w:t xml:space="preserve">in many species, </w:t>
      </w:r>
      <w:r w:rsidR="00FD757D">
        <w:rPr>
          <w:rFonts w:ascii="Arial" w:hAnsi="Arial" w:cs="Arial"/>
          <w:bCs/>
        </w:rPr>
        <w:t>microbial symbionts</w:t>
      </w:r>
      <w:r w:rsidR="00B43DAD">
        <w:rPr>
          <w:rFonts w:ascii="Arial" w:hAnsi="Arial" w:cs="Arial"/>
          <w:bCs/>
        </w:rPr>
        <w:t xml:space="preserve"> are known to reduce plant dependence on available soil nitrogen </w:t>
      </w:r>
      <w:r w:rsidR="004F1167">
        <w:rPr>
          <w:rFonts w:ascii="Arial" w:hAnsi="Arial" w:cs="Arial"/>
          <w:bCs/>
        </w:rPr>
        <w:t>and other micronutrients</w:t>
      </w:r>
      <w:r w:rsidR="0021309B">
        <w:rPr>
          <w:rFonts w:ascii="Arial" w:hAnsi="Arial" w:cs="Arial"/>
          <w:bCs/>
        </w:rPr>
        <w:t xml:space="preserve"> </w:t>
      </w:r>
      <w:r w:rsidR="0021309B">
        <w:rPr>
          <w:rFonts w:ascii="Arial" w:hAnsi="Arial" w:cs="Arial"/>
          <w:bCs/>
        </w:rPr>
        <w:fldChar w:fldCharType="begin" w:fldLock="1"/>
      </w:r>
      <w:r w:rsidR="003D56EE">
        <w:rPr>
          <w:rFonts w:ascii="Arial" w:hAnsi="Arial" w:cs="Arial"/>
          <w:bCs/>
        </w:rPr>
        <w:instrText>ADDIN CSL_CITATION {"citationItems":[{"id":"ITEM-1","itemData":{"DOI":"10.1016/j.tree.2007.10.008","ISSN":"01695347","abstract":"Nitrogen (N) tends to limit plant productivity on young soils; phosphorus (P) becomes increasingly limiting in ancient soils because it gradually disappears through leaching and erosion. Plant traits that are regarded as adaptations to N- and P-limited conditions include mycorrhizas and cluster roots. Mycorrhizas 'scavenge' P from solution or 'mine' insoluble organic N. Cluster roots function in severely P-impoverished landscapes, 'mining' P fixed as insoluble inorganic phosphates. The 'scavenging' and 'mining' strategies of mycorrhizal species without and non-mycorrhizal species with cluster roots, respectively, allow functioning on soils that differ markedly in P availability. Based on recent advances in our understanding of these contrasting strategies of nutrient acquisition, we provide an explanation for the distribution of mycorrhizal species on less P-impoverished soils, and for why, globally, cluster-bearing species dominate on severely P-impoverished, ancient soils, where P sensitivity is relatively common. © 2007 Elsevier Ltd. All rights reserved.","author":[{"dropping-particle":"","family":"Lambers","given":"Hans","non-dropping-particle":"","parse-names":false,"suffix":""},{"dropping-particle":"","family":"Raven","given":"John A.","non-dropping-particle":"","parse-names":false,"suffix":""},{"dropping-particle":"","family":"Shaver","given":"Gaius R.","non-dropping-particle":"","parse-names":false,"suffix":""},{"dropping-particle":"","family":"Smith","given":"Sally E.","non-dropping-particle":"","parse-names":false,"suffix":""}],"container-title":"Trends in Ecology and Evolution","id":"ITEM-1","issue":"2","issued":{"date-parts":[["2008"]]},"page":"95-103","title":"Plant nutrient-acquisition strategies change with soil age","type":"article-journal","volume":"23"},"uris":["http://www.mendeley.com/documents/?uuid=9123ae38-9478-4832-ad6f-5011b17960bc"]},{"id":"ITEM-2","itemData":{"DOI":"10.1073/pnas.0408648102","ISBN":"0027-8424","ISSN":"0027-8424","PMID":"15755810","abstract":"Human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America","id":"ITEM-2","issue":"12","issued":{"date-parts":[["2005"]]},"page":"4387-4392","title":"Functional- and abundance-based mechanisms explain diversity loss due to N fertilization","type":"article-journal","volume":"102"},"uris":["http://www.mendeley.com/documents/?uuid=951350a1-86c0-477d-b942-df7585b98f39"]}],"mendeley":{"formattedCitation":"(Suding et al. 2005, Lambers et al. 2008)","plainTextFormattedCitation":"(Suding et al. 2005, Lambers et al. 2008)","previouslyFormattedCitation":"(Suding et al. 2005, Lambers et al.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(Suding et al. 2005, Lambers et al. 2008)</w:t>
      </w:r>
      <w:r w:rsidR="0021309B">
        <w:rPr>
          <w:rFonts w:ascii="Arial" w:hAnsi="Arial" w:cs="Arial"/>
          <w:bCs/>
        </w:rPr>
        <w:fldChar w:fldCharType="end"/>
      </w:r>
      <w:r w:rsidR="004F1167">
        <w:rPr>
          <w:rFonts w:ascii="Arial" w:hAnsi="Arial" w:cs="Arial"/>
          <w:bCs/>
        </w:rPr>
        <w:t xml:space="preserve">. </w:t>
      </w:r>
    </w:p>
    <w:p w14:paraId="7A73469C" w14:textId="11514DB5" w:rsidR="00C65258" w:rsidRDefault="000D31B5" w:rsidP="00B364F9">
      <w:pPr>
        <w:rPr>
          <w:rFonts w:ascii="Arial" w:hAnsi="Arial" w:cs="Arial"/>
          <w:bCs/>
        </w:rPr>
      </w:pPr>
      <w:r>
        <w:rPr>
          <w:rFonts w:ascii="Arial" w:hAnsi="Arial" w:cs="Arial"/>
          <w:bCs/>
        </w:rPr>
        <w:t xml:space="preserve">In turn, the development of these nutrient-specific tradeoffs will depend other mechanisms of species coexistence </w:t>
      </w:r>
      <w:proofErr w:type="gramStart"/>
      <w:r>
        <w:rPr>
          <w:rFonts w:ascii="Arial" w:hAnsi="Arial" w:cs="Arial"/>
          <w:bCs/>
        </w:rPr>
        <w:t>in a given</w:t>
      </w:r>
      <w:proofErr w:type="gramEnd"/>
      <w:r>
        <w:rPr>
          <w:rFonts w:ascii="Arial" w:hAnsi="Arial" w:cs="Arial"/>
          <w:bCs/>
        </w:rPr>
        <w:t xml:space="preserve"> context. </w:t>
      </w:r>
      <w:r w:rsidR="00607437">
        <w:rPr>
          <w:rFonts w:ascii="Arial" w:hAnsi="Arial" w:cs="Arial"/>
          <w:bCs/>
        </w:rPr>
        <w:t xml:space="preserve">The availability of different </w:t>
      </w:r>
      <w:r>
        <w:rPr>
          <w:rFonts w:ascii="Arial" w:hAnsi="Arial" w:cs="Arial"/>
          <w:bCs/>
        </w:rPr>
        <w:t>belowground resources present</w:t>
      </w:r>
      <w:r w:rsidR="00607437">
        <w:rPr>
          <w:rFonts w:ascii="Arial" w:hAnsi="Arial" w:cs="Arial"/>
          <w:bCs/>
        </w:rPr>
        <w:t xml:space="preserve">s </w:t>
      </w:r>
      <w:r>
        <w:rPr>
          <w:rFonts w:ascii="Arial" w:hAnsi="Arial" w:cs="Arial"/>
          <w:bCs/>
        </w:rPr>
        <w:t xml:space="preserve">one subset of the total niche space on which species are distributed; coexistence in many environments is also predicated </w:t>
      </w:r>
      <w:r w:rsidR="00607437">
        <w:rPr>
          <w:rFonts w:ascii="Arial" w:hAnsi="Arial" w:cs="Arial"/>
          <w:bCs/>
        </w:rPr>
        <w:t xml:space="preserve">on trade-offs </w:t>
      </w:r>
      <w:r w:rsidR="005906CF">
        <w:rPr>
          <w:rFonts w:ascii="Arial" w:hAnsi="Arial" w:cs="Arial"/>
          <w:bCs/>
        </w:rPr>
        <w:t xml:space="preserve">in water use and storage, herbivore </w:t>
      </w:r>
      <w:r w:rsidR="004217D8">
        <w:rPr>
          <w:rFonts w:ascii="Arial" w:hAnsi="Arial" w:cs="Arial"/>
          <w:bCs/>
        </w:rPr>
        <w:t xml:space="preserve">defense, or </w:t>
      </w:r>
      <w:r w:rsidR="00731617">
        <w:rPr>
          <w:rFonts w:ascii="Arial" w:hAnsi="Arial" w:cs="Arial"/>
          <w:bCs/>
        </w:rPr>
        <w:t xml:space="preserve">tolerance of disturbance. Adaptations that produce niche differentiation on these axes may </w:t>
      </w:r>
      <w:r w:rsidR="00694220">
        <w:rPr>
          <w:rFonts w:ascii="Arial" w:hAnsi="Arial" w:cs="Arial"/>
          <w:bCs/>
        </w:rPr>
        <w:t xml:space="preserve">constrain development of others; </w:t>
      </w:r>
      <w:r w:rsidR="00C4294C">
        <w:rPr>
          <w:rFonts w:ascii="Arial" w:hAnsi="Arial" w:cs="Arial"/>
          <w:bCs/>
        </w:rPr>
        <w:t xml:space="preserve">greater plant investment into root tissues to provide drought tolerance, for example, may necessarily </w:t>
      </w:r>
      <w:r w:rsidR="007F4E3F">
        <w:rPr>
          <w:rFonts w:ascii="Arial" w:hAnsi="Arial" w:cs="Arial"/>
          <w:bCs/>
        </w:rPr>
        <w:t xml:space="preserve">decrease </w:t>
      </w:r>
      <w:r w:rsidR="00510808">
        <w:rPr>
          <w:rFonts w:ascii="Arial" w:hAnsi="Arial" w:cs="Arial"/>
          <w:bCs/>
        </w:rPr>
        <w:t>competitive ability under high resource conditions.</w:t>
      </w:r>
    </w:p>
    <w:p w14:paraId="771ED585" w14:textId="0A2A2ECA" w:rsidR="00B364F9" w:rsidRDefault="00895CBD" w:rsidP="00B364F9">
      <w:pPr>
        <w:rPr>
          <w:rFonts w:ascii="Arial" w:hAnsi="Arial" w:cs="Arial"/>
          <w:bCs/>
        </w:rPr>
      </w:pPr>
      <w:r>
        <w:rPr>
          <w:rFonts w:ascii="Arial" w:hAnsi="Arial" w:cs="Arial"/>
          <w:bCs/>
        </w:rPr>
        <w:t xml:space="preserve">Finally, </w:t>
      </w:r>
      <w:r w:rsidR="007D10E8">
        <w:rPr>
          <w:rFonts w:ascii="Arial" w:hAnsi="Arial" w:cs="Arial"/>
          <w:bCs/>
        </w:rPr>
        <w:t xml:space="preserve">resource competition theory </w:t>
      </w:r>
      <w:r w:rsidR="002708BE">
        <w:rPr>
          <w:rFonts w:ascii="Arial" w:hAnsi="Arial" w:cs="Arial"/>
          <w:bCs/>
        </w:rPr>
        <w:t xml:space="preserve">emphasizes that </w:t>
      </w:r>
      <w:r w:rsidR="00100A81">
        <w:rPr>
          <w:rFonts w:ascii="Arial" w:hAnsi="Arial" w:cs="Arial"/>
          <w:bCs/>
        </w:rPr>
        <w:t xml:space="preserve">successful species </w:t>
      </w:r>
      <w:r w:rsidR="00A67CD4">
        <w:rPr>
          <w:rFonts w:ascii="Arial" w:hAnsi="Arial" w:cs="Arial"/>
          <w:bCs/>
        </w:rPr>
        <w:t>can</w:t>
      </w:r>
      <w:r w:rsidR="00100A81">
        <w:rPr>
          <w:rFonts w:ascii="Arial" w:hAnsi="Arial" w:cs="Arial"/>
          <w:bCs/>
        </w:rPr>
        <w:t xml:space="preserve"> reduce </w:t>
      </w:r>
      <w:r w:rsidR="00A67CD4">
        <w:rPr>
          <w:rFonts w:ascii="Arial" w:hAnsi="Arial" w:cs="Arial"/>
          <w:bCs/>
        </w:rPr>
        <w:t xml:space="preserve">resources to lower </w:t>
      </w:r>
      <w:r w:rsidR="00972796">
        <w:rPr>
          <w:rFonts w:ascii="Arial" w:hAnsi="Arial" w:cs="Arial"/>
          <w:bCs/>
        </w:rPr>
        <w:t xml:space="preserve">concentrations </w:t>
      </w:r>
      <w:r w:rsidR="00100A81">
        <w:rPr>
          <w:rFonts w:ascii="Arial" w:hAnsi="Arial" w:cs="Arial"/>
          <w:bCs/>
        </w:rPr>
        <w:t xml:space="preserve">than their </w:t>
      </w:r>
      <w:r w:rsidR="003B5F58">
        <w:rPr>
          <w:rFonts w:ascii="Arial" w:hAnsi="Arial" w:cs="Arial"/>
          <w:bCs/>
        </w:rPr>
        <w:t xml:space="preserve">competitors – as such, variation in trajectories of community change following </w:t>
      </w:r>
      <w:r w:rsidR="00B542E8">
        <w:rPr>
          <w:rFonts w:ascii="Arial" w:hAnsi="Arial" w:cs="Arial"/>
          <w:bCs/>
        </w:rPr>
        <w:t xml:space="preserve">multiple </w:t>
      </w:r>
      <w:r w:rsidR="003B5F58">
        <w:rPr>
          <w:rFonts w:ascii="Arial" w:hAnsi="Arial" w:cs="Arial"/>
          <w:bCs/>
        </w:rPr>
        <w:t xml:space="preserve">resource enrichment will depend on </w:t>
      </w:r>
      <w:r w:rsidR="00A67CD4">
        <w:rPr>
          <w:rFonts w:ascii="Arial" w:hAnsi="Arial" w:cs="Arial"/>
          <w:bCs/>
        </w:rPr>
        <w:t xml:space="preserve">characteristics of interacting species </w:t>
      </w:r>
      <w:r w:rsidR="003B5F58">
        <w:rPr>
          <w:rFonts w:ascii="Arial" w:hAnsi="Arial" w:cs="Arial"/>
          <w:bCs/>
        </w:rPr>
        <w:t xml:space="preserve">prior to </w:t>
      </w:r>
      <w:r w:rsidR="00D95146">
        <w:rPr>
          <w:rFonts w:ascii="Arial" w:hAnsi="Arial" w:cs="Arial"/>
          <w:bCs/>
        </w:rPr>
        <w:t xml:space="preserve">fertilization. Greater taxonomic or functional diversity, for example, may be correlated with greater </w:t>
      </w:r>
      <w:r w:rsidR="00082EEB">
        <w:rPr>
          <w:rFonts w:ascii="Arial" w:hAnsi="Arial" w:cs="Arial"/>
          <w:bCs/>
        </w:rPr>
        <w:t xml:space="preserve">niche differentiation across belowground resources, leading </w:t>
      </w:r>
      <w:r w:rsidR="00B95216">
        <w:rPr>
          <w:rFonts w:ascii="Arial" w:hAnsi="Arial" w:cs="Arial"/>
          <w:bCs/>
        </w:rPr>
        <w:t>to effects that differ</w:t>
      </w:r>
      <w:r w:rsidR="00F436F2">
        <w:rPr>
          <w:rFonts w:ascii="Arial" w:hAnsi="Arial" w:cs="Arial"/>
          <w:bCs/>
        </w:rPr>
        <w:t xml:space="preserve"> in direction</w:t>
      </w:r>
      <w:r w:rsidR="00B95216">
        <w:rPr>
          <w:rFonts w:ascii="Arial" w:hAnsi="Arial" w:cs="Arial"/>
          <w:bCs/>
        </w:rPr>
        <w:t xml:space="preserve">. </w:t>
      </w:r>
    </w:p>
    <w:p w14:paraId="6D206B16" w14:textId="751B0D29" w:rsidR="002F0044" w:rsidRDefault="002F216E" w:rsidP="002F0044">
      <w:pPr>
        <w:rPr>
          <w:rFonts w:ascii="Arial" w:hAnsi="Arial" w:cs="Arial"/>
          <w:bCs/>
        </w:rPr>
      </w:pPr>
      <w:r>
        <w:rPr>
          <w:rFonts w:ascii="Arial" w:hAnsi="Arial" w:cs="Arial"/>
          <w:bCs/>
        </w:rPr>
        <w:t xml:space="preserve">To understand the importance of belowground resource supply and stoichiometry </w:t>
      </w:r>
      <w:r w:rsidR="000472B9">
        <w:rPr>
          <w:rFonts w:ascii="Arial" w:hAnsi="Arial" w:cs="Arial"/>
          <w:bCs/>
        </w:rPr>
        <w:t>to plant coexistence, we use data from the Nutrient Network</w:t>
      </w:r>
      <w:r w:rsidR="002E6DB1">
        <w:rPr>
          <w:rFonts w:ascii="Arial" w:hAnsi="Arial" w:cs="Arial"/>
          <w:bCs/>
        </w:rPr>
        <w:t xml:space="preserve">, a </w:t>
      </w:r>
      <w:r w:rsidR="000472B9">
        <w:rPr>
          <w:rFonts w:ascii="Arial" w:hAnsi="Arial" w:cs="Arial"/>
          <w:bCs/>
        </w:rPr>
        <w:t xml:space="preserve">globally distributed experiment </w:t>
      </w:r>
      <w:r w:rsidR="006F607C">
        <w:rPr>
          <w:rFonts w:ascii="Arial" w:hAnsi="Arial" w:cs="Arial"/>
          <w:bCs/>
        </w:rPr>
        <w:t xml:space="preserve">manipulating the available of individual soil resources. </w:t>
      </w:r>
      <w:r w:rsidR="002F0044">
        <w:rPr>
          <w:rFonts w:ascii="Arial" w:hAnsi="Arial" w:cs="Arial"/>
          <w:bCs/>
        </w:rPr>
        <w:t xml:space="preserve">Rather than comparing </w:t>
      </w:r>
      <w:r w:rsidR="009A77FA">
        <w:rPr>
          <w:rFonts w:ascii="Arial" w:hAnsi="Arial" w:cs="Arial"/>
          <w:bCs/>
        </w:rPr>
        <w:t xml:space="preserve">the relative fit of models assuming </w:t>
      </w:r>
      <w:r w:rsidR="00A926C6">
        <w:rPr>
          <w:rFonts w:ascii="Arial" w:hAnsi="Arial" w:cs="Arial"/>
          <w:bCs/>
        </w:rPr>
        <w:t xml:space="preserve">one-dimensional or multi-dimensional trade-offs in belowground resource acquisition, we synthesize these perspectives </w:t>
      </w:r>
      <w:r w:rsidR="004A5B3D">
        <w:rPr>
          <w:rFonts w:ascii="Arial" w:hAnsi="Arial" w:cs="Arial"/>
          <w:bCs/>
        </w:rPr>
        <w:t xml:space="preserve">to capture how these </w:t>
      </w:r>
      <w:r w:rsidR="00796922">
        <w:rPr>
          <w:rFonts w:ascii="Arial" w:hAnsi="Arial" w:cs="Arial"/>
          <w:bCs/>
        </w:rPr>
        <w:t>mechanisms</w:t>
      </w:r>
      <w:r w:rsidR="004A5B3D">
        <w:rPr>
          <w:rFonts w:ascii="Arial" w:hAnsi="Arial" w:cs="Arial"/>
          <w:bCs/>
        </w:rPr>
        <w:t xml:space="preserve"> interact </w:t>
      </w:r>
      <w:r w:rsidR="004B44E0">
        <w:rPr>
          <w:rFonts w:ascii="Arial" w:hAnsi="Arial" w:cs="Arial"/>
          <w:bCs/>
        </w:rPr>
        <w:t>to control community composition.</w:t>
      </w:r>
      <w:r w:rsidR="00E37A35">
        <w:rPr>
          <w:rFonts w:ascii="Arial" w:hAnsi="Arial" w:cs="Arial"/>
          <w:bCs/>
        </w:rPr>
        <w:t xml:space="preserve"> </w:t>
      </w:r>
    </w:p>
    <w:p w14:paraId="6E0F15A2" w14:textId="099CA28E" w:rsidR="00056516" w:rsidRDefault="00FD11AD" w:rsidP="00B364F9">
      <w:pPr>
        <w:rPr>
          <w:rFonts w:ascii="Arial" w:hAnsi="Arial" w:cs="Arial"/>
          <w:bCs/>
        </w:rPr>
      </w:pPr>
      <w:r>
        <w:rPr>
          <w:rFonts w:ascii="Arial" w:hAnsi="Arial" w:cs="Arial"/>
          <w:bCs/>
        </w:rPr>
        <w:t xml:space="preserve">To capture variation in </w:t>
      </w:r>
      <w:proofErr w:type="gramStart"/>
      <w:r>
        <w:rPr>
          <w:rFonts w:ascii="Arial" w:hAnsi="Arial" w:cs="Arial"/>
          <w:bCs/>
        </w:rPr>
        <w:t>community</w:t>
      </w:r>
      <w:proofErr w:type="gramEnd"/>
      <w:r>
        <w:rPr>
          <w:rFonts w:ascii="Arial" w:hAnsi="Arial" w:cs="Arial"/>
          <w:bCs/>
        </w:rPr>
        <w:t xml:space="preserve"> </w:t>
      </w:r>
      <w:r w:rsidR="00720AA0">
        <w:rPr>
          <w:rFonts w:ascii="Arial" w:hAnsi="Arial" w:cs="Arial"/>
          <w:bCs/>
        </w:rPr>
        <w:t xml:space="preserve">change following </w:t>
      </w:r>
      <w:r>
        <w:rPr>
          <w:rFonts w:ascii="Arial" w:hAnsi="Arial" w:cs="Arial"/>
          <w:bCs/>
        </w:rPr>
        <w:t xml:space="preserve">fertilization of different belowground resources, we constructed a null model based on a “neutral” assumption </w:t>
      </w:r>
      <w:r w:rsidR="006671A6">
        <w:rPr>
          <w:rFonts w:ascii="Arial" w:hAnsi="Arial" w:cs="Arial"/>
          <w:bCs/>
        </w:rPr>
        <w:t>(</w:t>
      </w:r>
      <w:proofErr w:type="spellStart"/>
      <w:r w:rsidR="006671A6" w:rsidRPr="00813753">
        <w:rPr>
          <w:rFonts w:ascii="Arial" w:hAnsi="Arial" w:cs="Arial"/>
          <w:bCs/>
          <w:i/>
          <w:iCs/>
        </w:rPr>
        <w:t>sensu</w:t>
      </w:r>
      <w:proofErr w:type="spellEnd"/>
      <w:r w:rsidR="006671A6">
        <w:rPr>
          <w:rFonts w:ascii="Arial" w:hAnsi="Arial" w:cs="Arial"/>
          <w:bCs/>
        </w:rPr>
        <w:t xml:space="preserve"> </w:t>
      </w:r>
      <w:r w:rsidR="00A436CC">
        <w:rPr>
          <w:rFonts w:ascii="Arial" w:hAnsi="Arial" w:cs="Arial"/>
          <w:bCs/>
        </w:rPr>
        <w:t>Hubbell 2001)</w:t>
      </w:r>
      <w:r w:rsidR="00ED490E">
        <w:rPr>
          <w:rFonts w:ascii="Arial" w:hAnsi="Arial" w:cs="Arial"/>
          <w:bCs/>
        </w:rPr>
        <w:t xml:space="preserve"> </w:t>
      </w:r>
      <w:r>
        <w:rPr>
          <w:rFonts w:ascii="Arial" w:hAnsi="Arial" w:cs="Arial"/>
          <w:bCs/>
        </w:rPr>
        <w:t xml:space="preserve">that species </w:t>
      </w:r>
      <w:r w:rsidR="00ED490E">
        <w:rPr>
          <w:rFonts w:ascii="Arial" w:hAnsi="Arial" w:cs="Arial"/>
          <w:bCs/>
        </w:rPr>
        <w:t>respond only to changes in nutrient supply, rather than stoichiometry</w:t>
      </w:r>
      <w:r w:rsidR="00640702">
        <w:rPr>
          <w:rFonts w:ascii="Arial" w:hAnsi="Arial" w:cs="Arial"/>
          <w:bCs/>
        </w:rPr>
        <w:t xml:space="preserve">. Under </w:t>
      </w:r>
      <w:r w:rsidR="00861A04">
        <w:rPr>
          <w:rFonts w:ascii="Arial" w:hAnsi="Arial" w:cs="Arial"/>
          <w:bCs/>
        </w:rPr>
        <w:t xml:space="preserve">a </w:t>
      </w:r>
      <w:r w:rsidR="00640702">
        <w:rPr>
          <w:rFonts w:ascii="Arial" w:hAnsi="Arial" w:cs="Arial"/>
          <w:bCs/>
        </w:rPr>
        <w:t xml:space="preserve">neutral expectation, </w:t>
      </w:r>
      <w:r w:rsidR="00BA36CE">
        <w:rPr>
          <w:rFonts w:ascii="Arial" w:hAnsi="Arial" w:cs="Arial"/>
          <w:bCs/>
        </w:rPr>
        <w:t>communities will exhibit consistent trajectories across treatments</w:t>
      </w:r>
      <w:r w:rsidR="00E37A35">
        <w:rPr>
          <w:rFonts w:ascii="Arial" w:hAnsi="Arial" w:cs="Arial"/>
          <w:bCs/>
        </w:rPr>
        <w:t>, forming a one-dimensional axis of change</w:t>
      </w:r>
      <w:r w:rsidR="00BA36CE">
        <w:rPr>
          <w:rFonts w:ascii="Arial" w:hAnsi="Arial" w:cs="Arial"/>
          <w:bCs/>
        </w:rPr>
        <w:t xml:space="preserve">. </w:t>
      </w:r>
      <w:r w:rsidR="00861A04">
        <w:rPr>
          <w:rFonts w:ascii="Arial" w:hAnsi="Arial" w:cs="Arial"/>
          <w:bCs/>
        </w:rPr>
        <w:t>The degree of deviation from this null</w:t>
      </w:r>
      <w:r w:rsidR="00D21A0E">
        <w:rPr>
          <w:rFonts w:ascii="Arial" w:hAnsi="Arial" w:cs="Arial"/>
          <w:bCs/>
        </w:rPr>
        <w:t xml:space="preserve"> model thus forms a measure of </w:t>
      </w:r>
      <w:r w:rsidR="00D21A0E" w:rsidRPr="00D21A0E">
        <w:rPr>
          <w:rFonts w:ascii="Arial" w:hAnsi="Arial" w:cs="Arial"/>
          <w:bCs/>
          <w:i/>
          <w:iCs/>
        </w:rPr>
        <w:t>response dimensionality</w:t>
      </w:r>
      <w:r w:rsidR="00D21A0E">
        <w:rPr>
          <w:rFonts w:ascii="Arial" w:hAnsi="Arial" w:cs="Arial"/>
          <w:bCs/>
        </w:rPr>
        <w:t xml:space="preserve"> – variation among trajectories of change following different treatments – that </w:t>
      </w:r>
      <w:r w:rsidR="00216002">
        <w:rPr>
          <w:rFonts w:ascii="Arial" w:hAnsi="Arial" w:cs="Arial"/>
          <w:bCs/>
        </w:rPr>
        <w:t>may be used to infer</w:t>
      </w:r>
      <w:r w:rsidR="00D55E54">
        <w:rPr>
          <w:rFonts w:ascii="Arial" w:hAnsi="Arial" w:cs="Arial"/>
          <w:bCs/>
        </w:rPr>
        <w:t xml:space="preserve"> </w:t>
      </w:r>
      <w:r w:rsidR="007B6F79">
        <w:rPr>
          <w:rFonts w:ascii="Arial" w:hAnsi="Arial" w:cs="Arial"/>
          <w:bCs/>
        </w:rPr>
        <w:t>the trade-offs governing species coexistence.</w:t>
      </w:r>
    </w:p>
    <w:p w14:paraId="78875FBC" w14:textId="7795A822" w:rsidR="00E63ABE" w:rsidRDefault="00A95548">
      <w:pPr>
        <w:rPr>
          <w:rFonts w:ascii="Arial" w:hAnsi="Arial" w:cs="Arial"/>
          <w:bCs/>
        </w:rPr>
      </w:pPr>
      <w:r>
        <w:rPr>
          <w:rFonts w:ascii="Arial" w:hAnsi="Arial" w:cs="Arial"/>
          <w:bCs/>
        </w:rPr>
        <w:lastRenderedPageBreak/>
        <w:t>A</w:t>
      </w:r>
      <w:r w:rsidR="008E767D">
        <w:rPr>
          <w:rFonts w:ascii="Arial" w:hAnsi="Arial" w:cs="Arial"/>
          <w:bCs/>
        </w:rPr>
        <w:t xml:space="preserve">cross sites, </w:t>
      </w:r>
      <w:r>
        <w:rPr>
          <w:rFonts w:ascii="Arial" w:hAnsi="Arial" w:cs="Arial"/>
          <w:bCs/>
        </w:rPr>
        <w:t>a one-dimensional trade-off governed by light competition will act as a strong determinant of species responses</w:t>
      </w:r>
      <w:r w:rsidR="007D000A">
        <w:rPr>
          <w:rFonts w:ascii="Arial" w:hAnsi="Arial" w:cs="Arial"/>
          <w:bCs/>
        </w:rPr>
        <w:t xml:space="preserve"> to nutrient enrichment, </w:t>
      </w:r>
      <w:r w:rsidR="00EB7EF6">
        <w:rPr>
          <w:rFonts w:ascii="Arial" w:hAnsi="Arial" w:cs="Arial"/>
          <w:bCs/>
        </w:rPr>
        <w:t xml:space="preserve">yielding a high relative fit of our null model. </w:t>
      </w:r>
      <w:r w:rsidR="003F22B7">
        <w:rPr>
          <w:rFonts w:ascii="Arial" w:hAnsi="Arial" w:cs="Arial"/>
          <w:bCs/>
        </w:rPr>
        <w:t xml:space="preserve">However, we </w:t>
      </w:r>
      <w:r w:rsidR="00814FA0">
        <w:rPr>
          <w:rFonts w:ascii="Arial" w:hAnsi="Arial" w:cs="Arial"/>
          <w:bCs/>
        </w:rPr>
        <w:t xml:space="preserve">hypothesize that this null model will better capture community responses </w:t>
      </w:r>
      <w:r w:rsidR="005231C5">
        <w:rPr>
          <w:rFonts w:ascii="Arial" w:hAnsi="Arial" w:cs="Arial"/>
          <w:bCs/>
        </w:rPr>
        <w:t xml:space="preserve">under in spatially or temporally heterogeneous systems, and those of lower productivity, where specialization on individual resource types is unlikely to form an important axis of niche differentiation. In contrast, we expect multi-dimensional tradeoffs in belowground resource use to be more </w:t>
      </w:r>
      <w:r w:rsidR="00C2161E">
        <w:rPr>
          <w:rFonts w:ascii="Arial" w:hAnsi="Arial" w:cs="Arial"/>
          <w:bCs/>
        </w:rPr>
        <w:t xml:space="preserve">important in systems </w:t>
      </w:r>
      <w:r w:rsidR="003701E2">
        <w:rPr>
          <w:rFonts w:ascii="Arial" w:hAnsi="Arial" w:cs="Arial"/>
          <w:bCs/>
        </w:rPr>
        <w:t xml:space="preserve">where diversity is maintained by local coexistence mechanisms in </w:t>
      </w:r>
      <w:r w:rsidR="00D14EF8">
        <w:rPr>
          <w:rFonts w:ascii="Arial" w:hAnsi="Arial" w:cs="Arial"/>
          <w:bCs/>
        </w:rPr>
        <w:t xml:space="preserve">taxonomically </w:t>
      </w:r>
      <w:r w:rsidR="006D3A8A">
        <w:rPr>
          <w:rFonts w:ascii="Arial" w:hAnsi="Arial" w:cs="Arial"/>
          <w:bCs/>
        </w:rPr>
        <w:t xml:space="preserve">diverse, resource-rich </w:t>
      </w:r>
      <w:r w:rsidR="003701E2">
        <w:rPr>
          <w:rFonts w:ascii="Arial" w:hAnsi="Arial" w:cs="Arial"/>
          <w:bCs/>
        </w:rPr>
        <w:t>environments</w:t>
      </w:r>
      <w:r w:rsidR="006D3A8A">
        <w:rPr>
          <w:rFonts w:ascii="Arial" w:hAnsi="Arial" w:cs="Arial"/>
          <w:bCs/>
        </w:rPr>
        <w:t>.</w:t>
      </w:r>
      <w:r w:rsidR="003701E2">
        <w:rPr>
          <w:rFonts w:ascii="Arial" w:hAnsi="Arial" w:cs="Arial"/>
          <w:bCs/>
        </w:rPr>
        <w:t xml:space="preserve"> </w:t>
      </w:r>
    </w:p>
    <w:p w14:paraId="4F76B6A7" w14:textId="77777777" w:rsidR="003F22B7" w:rsidRPr="00955D5C" w:rsidRDefault="003F22B7">
      <w:pPr>
        <w:rPr>
          <w:rFonts w:ascii="Arial" w:hAnsi="Arial" w:cs="Arial"/>
          <w:bCs/>
        </w:rPr>
      </w:pPr>
    </w:p>
    <w:p w14:paraId="4A0A0434" w14:textId="1A8DE565"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2D774586" w:rsidR="00ED3A53" w:rsidRPr="005E35A5" w:rsidRDefault="00337F21" w:rsidP="00337F21">
      <w:pPr>
        <w:rPr>
          <w:rFonts w:ascii="Arial" w:hAnsi="Arial" w:cs="Arial"/>
          <w:bCs/>
        </w:rPr>
      </w:pPr>
      <w:r w:rsidRPr="000D1D59">
        <w:rPr>
          <w:rFonts w:ascii="Arial" w:hAnsi="Arial" w:cs="Arial"/>
          <w:bCs/>
        </w:rPr>
        <w:t>The 50 study sites are part of the Nutrient Network, a cooperative, globally distributed experiment.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potassium </w:t>
      </w:r>
      <w:r w:rsidR="00A24ADC">
        <w:rPr>
          <w:rFonts w:ascii="Arial" w:hAnsi="Arial" w:cs="Arial"/>
          <w:bCs/>
        </w:rPr>
        <w:t xml:space="preserve">with </w:t>
      </w:r>
      <w:r w:rsidR="0072569F" w:rsidRPr="000D1D59">
        <w:rPr>
          <w:rFonts w:ascii="Arial" w:hAnsi="Arial" w:cs="Arial"/>
          <w:bCs/>
        </w:rPr>
        <w:t>other micronutrient</w:t>
      </w:r>
      <w:r w:rsidR="0019467D">
        <w:rPr>
          <w:rFonts w:ascii="Arial" w:hAnsi="Arial" w:cs="Arial"/>
          <w:bCs/>
        </w:rPr>
        <w:t>s</w:t>
      </w:r>
      <w:r w:rsidR="0072569F" w:rsidRPr="000D1D59">
        <w:rPr>
          <w:rFonts w:ascii="Arial" w:hAnsi="Arial" w:cs="Arial"/>
          <w:bCs/>
        </w:rPr>
        <w:t xml:space="preserve"> </w:t>
      </w:r>
      <w:r w:rsidR="00A24ADC">
        <w:rPr>
          <w:rFonts w:ascii="Arial" w:hAnsi="Arial" w:cs="Arial"/>
          <w:bCs/>
        </w:rPr>
        <w:t>(</w:t>
      </w:r>
      <w:r w:rsidR="0072569F" w:rsidRPr="000D1D59">
        <w:rPr>
          <w:rFonts w:ascii="Arial" w:hAnsi="Arial" w:cs="Arial"/>
          <w:bCs/>
        </w:rPr>
        <w:t>K</w:t>
      </w:r>
      <w:r w:rsidR="001B582A" w:rsidRPr="000D1D59">
        <w:rPr>
          <w:rFonts w:ascii="Arial" w:hAnsi="Arial" w:cs="Arial"/>
          <w:bCs/>
          <w:vertAlign w:val="subscript"/>
        </w:rPr>
        <w:t>µ</w:t>
      </w:r>
      <w:r w:rsidR="0072569F" w:rsidRPr="000D1D59">
        <w:rPr>
          <w:rFonts w:ascii="Arial" w:hAnsi="Arial" w:cs="Arial"/>
          <w:bCs/>
        </w:rPr>
        <w:t>) fertilization treatments, in addition to fencing treatments crossed with +NPK</w:t>
      </w:r>
      <w:r w:rsidR="001B582A" w:rsidRPr="000D1D59">
        <w:rPr>
          <w:rFonts w:ascii="Arial" w:hAnsi="Arial" w:cs="Arial"/>
          <w:bCs/>
          <w:vertAlign w:val="subscript"/>
        </w:rPr>
        <w:t>µ</w:t>
      </w:r>
      <w:r w:rsidR="0072569F" w:rsidRPr="000D1D59">
        <w:rPr>
          <w:rFonts w:ascii="Arial" w:hAnsi="Arial" w:cs="Arial"/>
          <w:bCs/>
        </w:rPr>
        <w:t xml:space="preserve"> enrichment.</w:t>
      </w:r>
      <w:r w:rsidR="00ED3A53">
        <w:rPr>
          <w:rFonts w:ascii="Arial" w:hAnsi="Arial" w:cs="Arial"/>
          <w:bCs/>
        </w:rPr>
        <w:t xml:space="preserve"> All nutrient enrichment treatments </w:t>
      </w:r>
      <w:r w:rsidR="005E35A5">
        <w:rPr>
          <w:rFonts w:ascii="Arial" w:hAnsi="Arial" w:cs="Arial"/>
          <w:bCs/>
        </w:rPr>
        <w:t>were applied at a rate of 10 g N/P/K m</w:t>
      </w:r>
      <w:r w:rsidR="005E35A5">
        <w:rPr>
          <w:rFonts w:ascii="Arial" w:hAnsi="Arial" w:cs="Arial"/>
          <w:bCs/>
          <w:vertAlign w:val="superscript"/>
        </w:rPr>
        <w:t>-2</w:t>
      </w:r>
      <w:r w:rsidR="005E35A5">
        <w:rPr>
          <w:rFonts w:ascii="Arial" w:hAnsi="Arial" w:cs="Arial"/>
          <w:bCs/>
        </w:rPr>
        <w:t xml:space="preserve"> year</w:t>
      </w:r>
      <w:r w:rsidR="005E35A5">
        <w:rPr>
          <w:rFonts w:ascii="Arial" w:hAnsi="Arial" w:cs="Arial"/>
          <w:bCs/>
          <w:vertAlign w:val="superscript"/>
        </w:rPr>
        <w:t>-1</w:t>
      </w:r>
      <w:r w:rsidR="005E35A5">
        <w:rPr>
          <w:rFonts w:ascii="Arial" w:hAnsi="Arial" w:cs="Arial"/>
          <w:bCs/>
        </w:rPr>
        <w:t>, with micronutrients supplied during the first treatment year.</w:t>
      </w:r>
    </w:p>
    <w:p w14:paraId="7E7C25E7" w14:textId="3553CECE" w:rsidR="00813753" w:rsidRPr="000D1D59" w:rsidRDefault="0072569F" w:rsidP="00337F21">
      <w:pPr>
        <w:rPr>
          <w:rFonts w:ascii="Arial" w:hAnsi="Arial" w:cs="Arial"/>
          <w:bCs/>
        </w:rPr>
      </w:pPr>
      <w:r w:rsidRPr="000D1D59">
        <w:rPr>
          <w:rFonts w:ascii="Arial" w:hAnsi="Arial" w:cs="Arial"/>
          <w:bCs/>
        </w:rPr>
        <w:t xml:space="preserve"> For our analysis, experimental results were filtered to control plots and those receiving single nutrient addition treatments (+N, +P, or +K</w:t>
      </w:r>
      <w:r w:rsidR="001B582A" w:rsidRPr="000D1D59">
        <w:rPr>
          <w:rFonts w:ascii="Arial" w:hAnsi="Arial" w:cs="Arial"/>
          <w:bCs/>
          <w:vertAlign w:val="subscript"/>
        </w:rPr>
        <w:t>µ</w:t>
      </w:r>
      <w:r w:rsidRPr="000D1D59">
        <w:rPr>
          <w:rFonts w:ascii="Arial" w:hAnsi="Arial" w:cs="Arial"/>
          <w:bCs/>
        </w:rPr>
        <w:t xml:space="preserve">) without fencing, </w:t>
      </w:r>
      <w:r w:rsidR="008C5E3F" w:rsidRPr="000D1D59">
        <w:rPr>
          <w:rFonts w:ascii="Arial" w:hAnsi="Arial" w:cs="Arial"/>
          <w:bCs/>
        </w:rPr>
        <w:t xml:space="preserve">resulting in </w:t>
      </w:r>
      <w:r w:rsidRPr="000D1D59">
        <w:rPr>
          <w:rFonts w:ascii="Arial" w:hAnsi="Arial" w:cs="Arial"/>
          <w:bCs/>
        </w:rPr>
        <w:t>12</w:t>
      </w:r>
      <w:r w:rsidR="005B17D7" w:rsidRPr="000D1D59">
        <w:rPr>
          <w:rFonts w:ascii="Arial" w:hAnsi="Arial" w:cs="Arial"/>
          <w:bCs/>
        </w:rPr>
        <w:t xml:space="preserve"> – </w:t>
      </w:r>
      <w:r w:rsidR="00691900" w:rsidRPr="000D1D59">
        <w:rPr>
          <w:rFonts w:ascii="Arial" w:hAnsi="Arial" w:cs="Arial"/>
          <w:bCs/>
        </w:rPr>
        <w:t xml:space="preserve">20 </w:t>
      </w:r>
      <w:r w:rsidRPr="000D1D59">
        <w:rPr>
          <w:rFonts w:ascii="Arial" w:hAnsi="Arial" w:cs="Arial"/>
          <w:bCs/>
        </w:rPr>
        <w:t>plots per site.</w:t>
      </w:r>
      <w:r w:rsidR="008C5E3F" w:rsidRPr="000D1D59">
        <w:rPr>
          <w:rFonts w:ascii="Arial" w:hAnsi="Arial" w:cs="Arial"/>
          <w:bCs/>
        </w:rPr>
        <w:t xml:space="preserve"> Treatment plots each received 10g / m</w:t>
      </w:r>
      <w:r w:rsidR="008C5E3F" w:rsidRPr="000D1D59">
        <w:rPr>
          <w:rFonts w:ascii="Arial" w:hAnsi="Arial" w:cs="Arial"/>
          <w:bCs/>
          <w:vertAlign w:val="superscript"/>
        </w:rPr>
        <w:t>2</w:t>
      </w:r>
      <w:r w:rsidR="008C5E3F" w:rsidRPr="000D1D59">
        <w:rPr>
          <w:rFonts w:ascii="Arial" w:hAnsi="Arial" w:cs="Arial"/>
          <w:bCs/>
        </w:rPr>
        <w:t xml:space="preserve"> </w:t>
      </w:r>
      <w:r w:rsidR="00D13A7C" w:rsidRPr="000D1D59">
        <w:rPr>
          <w:rFonts w:ascii="Arial" w:hAnsi="Arial" w:cs="Arial"/>
          <w:bCs/>
        </w:rPr>
        <w:t>yr</w:t>
      </w:r>
      <w:r w:rsidR="00D13A7C" w:rsidRPr="000D1D59">
        <w:rPr>
          <w:rFonts w:ascii="Arial" w:hAnsi="Arial" w:cs="Arial"/>
          <w:bCs/>
          <w:vertAlign w:val="superscript"/>
        </w:rPr>
        <w:t>-1</w:t>
      </w:r>
      <w:r w:rsidR="00D13A7C" w:rsidRPr="000D1D59">
        <w:rPr>
          <w:rFonts w:ascii="Arial" w:hAnsi="Arial" w:cs="Arial"/>
          <w:bCs/>
        </w:rPr>
        <w:t xml:space="preserve"> of</w:t>
      </w:r>
      <w:r w:rsidR="000A00A2" w:rsidRPr="000D1D59">
        <w:rPr>
          <w:rFonts w:ascii="Arial" w:hAnsi="Arial" w:cs="Arial"/>
          <w:bCs/>
        </w:rPr>
        <w:t xml:space="preserve"> broadcast</w:t>
      </w:r>
      <w:r w:rsidR="00D13A7C" w:rsidRPr="000D1D59">
        <w:rPr>
          <w:rFonts w:ascii="Arial" w:hAnsi="Arial" w:cs="Arial"/>
          <w:bCs/>
        </w:rPr>
        <w:t xml:space="preserve"> fertil</w:t>
      </w:r>
      <w:r w:rsidR="000A00A2" w:rsidRPr="000D1D59">
        <w:rPr>
          <w:rFonts w:ascii="Arial" w:hAnsi="Arial" w:cs="Arial"/>
          <w:bCs/>
        </w:rPr>
        <w:t>i</w:t>
      </w:r>
      <w:r w:rsidR="00D13A7C" w:rsidRPr="000D1D59">
        <w:rPr>
          <w:rFonts w:ascii="Arial" w:hAnsi="Arial" w:cs="Arial"/>
          <w:bCs/>
        </w:rPr>
        <w:t>zer</w:t>
      </w:r>
      <w:r w:rsidR="008C5E3F" w:rsidRPr="000D1D59">
        <w:rPr>
          <w:rFonts w:ascii="Arial" w:hAnsi="Arial" w:cs="Arial"/>
          <w:bCs/>
        </w:rPr>
        <w:t xml:space="preserve">. </w:t>
      </w:r>
      <w:r w:rsidR="00A139B3" w:rsidRPr="000D1D59">
        <w:rPr>
          <w:rFonts w:ascii="Arial" w:hAnsi="Arial" w:cs="Arial"/>
          <w:bCs/>
        </w:rPr>
        <w:t xml:space="preserve">All sites used in this analysis were observed for at least 5 years, including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486A0B2" w14:textId="77777777" w:rsidR="002261C2"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percent.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w:t>
      </w:r>
      <w:proofErr w:type="spellStart"/>
      <w:r w:rsidR="002261C2">
        <w:rPr>
          <w:rFonts w:ascii="Arial" w:hAnsi="Arial" w:cs="Arial"/>
          <w:bCs/>
        </w:rPr>
        <w:t>ceptometer</w:t>
      </w:r>
      <w:proofErr w:type="spellEnd"/>
      <w:r w:rsidR="002261C2">
        <w:rPr>
          <w:rFonts w:ascii="Arial" w:hAnsi="Arial" w:cs="Arial"/>
          <w:bCs/>
        </w:rPr>
        <w:t xml:space="preserve">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3D03C250" w:rsidR="00E5571C" w:rsidRPr="000D1D59"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massed.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8" w:history="1">
        <w:r w:rsidR="00E5571C" w:rsidRPr="00201F60">
          <w:rPr>
            <w:rStyle w:val="Hyperlink"/>
            <w:rFonts w:ascii="Arial" w:hAnsi="Arial" w:cs="Arial"/>
            <w:bCs/>
          </w:rPr>
          <w:t>http://www.nutnet.org/exp_protocol</w:t>
        </w:r>
      </w:hyperlink>
      <w:r w:rsidR="009A0FA7">
        <w:rPr>
          <w:rFonts w:ascii="Arial" w:hAnsi="Arial" w:cs="Arial"/>
          <w:bCs/>
        </w:rPr>
        <w:t>.</w:t>
      </w: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Transformation yielded stronger adherence to model assumptions while still providing a natural </w:t>
      </w:r>
      <w:r w:rsidRPr="000D1D59">
        <w:rPr>
          <w:rFonts w:ascii="Arial" w:hAnsi="Arial" w:cs="Arial"/>
          <w:bCs/>
        </w:rPr>
        <w:lastRenderedPageBreak/>
        <w:t xml:space="preserve">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0288" cy="280334"/>
                    </a:xfrm>
                    <a:prstGeom prst="rect">
                      <a:avLst/>
                    </a:prstGeom>
                  </pic:spPr>
                </pic:pic>
              </a:graphicData>
            </a:graphic>
          </wp:inline>
        </w:drawing>
      </w:r>
    </w:p>
    <w:p w14:paraId="1BEAE48F" w14:textId="6BCF21F7"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for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proofErr w:type="spellStart"/>
      <w:r w:rsidR="00EF6427" w:rsidRPr="000D1D59">
        <w:rPr>
          <w:rFonts w:ascii="Arial" w:hAnsi="Arial" w:cs="Arial"/>
          <w:i/>
          <w:iCs/>
        </w:rPr>
        <w:t>i</w:t>
      </w:r>
      <w:proofErr w:type="spellEnd"/>
      <w:r w:rsidR="00EF6427" w:rsidRPr="000D1D59">
        <w:rPr>
          <w:rFonts w:ascii="Arial" w:hAnsi="Arial" w:cs="Arial"/>
          <w:i/>
          <w:iCs/>
        </w:rPr>
        <w:t xml:space="preserve">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72A712C0" w14:textId="5F7E37E7" w:rsidR="0032386F" w:rsidRPr="000D1D59" w:rsidRDefault="0032386F" w:rsidP="00307621">
      <w:pPr>
        <w:rPr>
          <w:rFonts w:ascii="Arial" w:hAnsi="Arial" w:cs="Arial"/>
          <w:bCs/>
        </w:rPr>
      </w:pPr>
      <w:r w:rsidRPr="000D1D59">
        <w:rPr>
          <w:rFonts w:ascii="Arial" w:hAnsi="Arial" w:cs="Arial"/>
          <w:bCs/>
        </w:rPr>
        <w:t>Significance of model terms were evaluated using residual permutation procedures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 All model fitting conducted using</w:t>
      </w:r>
      <w:r w:rsidRPr="000D1D59">
        <w:rPr>
          <w:rFonts w:ascii="Arial" w:hAnsi="Arial" w:cs="Arial"/>
          <w:bCs/>
        </w:rPr>
        <w:t xml:space="preserve"> RRPP (Collyer and Adams 2018).</w:t>
      </w:r>
    </w:p>
    <w:p w14:paraId="499531C4" w14:textId="77777777" w:rsidR="00A6061D" w:rsidRPr="000D1D59" w:rsidRDefault="00A6061D" w:rsidP="00307621">
      <w:pPr>
        <w:rPr>
          <w:rFonts w:ascii="Arial" w:hAnsi="Arial" w:cs="Arial"/>
          <w:bCs/>
          <w:i/>
          <w:iCs/>
        </w:rPr>
      </w:pPr>
    </w:p>
    <w:p w14:paraId="2603C4FB" w14:textId="10B7A8CC" w:rsidR="00307621" w:rsidRDefault="00556B1D" w:rsidP="00337F21">
      <w:pPr>
        <w:rPr>
          <w:rFonts w:ascii="Arial" w:hAnsi="Arial" w:cs="Arial"/>
          <w:bCs/>
          <w:i/>
          <w:iCs/>
        </w:rPr>
      </w:pPr>
      <w:r w:rsidRPr="000D1D59">
        <w:rPr>
          <w:rFonts w:ascii="Arial" w:hAnsi="Arial" w:cs="Arial"/>
          <w:bCs/>
          <w:i/>
          <w:iCs/>
        </w:rPr>
        <w:t>Response Dimensionality</w:t>
      </w:r>
    </w:p>
    <w:p w14:paraId="492E1106" w14:textId="4ACA7002" w:rsidR="00A414DE" w:rsidRDefault="00F8115E" w:rsidP="00A414DE">
      <w:pPr>
        <w:rPr>
          <w:rFonts w:ascii="Arial" w:hAnsi="Arial" w:cs="Arial"/>
          <w:bCs/>
        </w:rPr>
      </w:pPr>
      <w:r>
        <w:rPr>
          <w:rFonts w:ascii="Arial" w:hAnsi="Arial" w:cs="Arial"/>
          <w:bCs/>
        </w:rPr>
        <w:t xml:space="preserve">To evaluate </w:t>
      </w:r>
      <w:r w:rsidR="000E0FCC">
        <w:rPr>
          <w:rFonts w:ascii="Arial" w:hAnsi="Arial" w:cs="Arial"/>
          <w:bCs/>
        </w:rPr>
        <w:t xml:space="preserve">the similarities between multiple trajectories of community change, we derive a geometric approach based on work of Cardinale et al. (2018). </w:t>
      </w:r>
      <w:r w:rsidR="006A58F9">
        <w:rPr>
          <w:rFonts w:ascii="Arial" w:hAnsi="Arial" w:cs="Arial"/>
          <w:bCs/>
        </w:rPr>
        <w:t xml:space="preserve">Under a “neutral” expectation where the effects of nutrient </w:t>
      </w:r>
      <w:r w:rsidR="00C25169">
        <w:rPr>
          <w:rFonts w:ascii="Arial" w:hAnsi="Arial" w:cs="Arial"/>
          <w:bCs/>
        </w:rPr>
        <w:t xml:space="preserve">enrichment depend solely on changes in total resource supply, rather than stoichiometric ratios, trajectories of community change will be directionally consistent – species exhibit proportionally equal responses to multiple nutrient enrichment treatments, once accounting for </w:t>
      </w:r>
      <w:r w:rsidR="009F4F0B">
        <w:rPr>
          <w:rFonts w:ascii="Arial" w:hAnsi="Arial" w:cs="Arial"/>
          <w:bCs/>
        </w:rPr>
        <w:t>the overall magnitude of community response.</w:t>
      </w:r>
    </w:p>
    <w:p w14:paraId="571F76CD" w14:textId="7C89B2B4" w:rsidR="00D654E8" w:rsidRPr="000D1D59" w:rsidRDefault="00732799" w:rsidP="00732799">
      <w:pPr>
        <w:rPr>
          <w:rFonts w:ascii="Arial" w:hAnsi="Arial" w:cs="Arial"/>
          <w:bCs/>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as a vector</w:t>
      </w:r>
      <w:r w:rsidR="00D253DD" w:rsidRPr="000D1D59">
        <w:rPr>
          <w:rFonts w:ascii="Arial" w:hAnsi="Arial" w:cs="Arial"/>
          <w:bCs/>
        </w:rPr>
        <w:t xml:space="preserve"> describing </w:t>
      </w:r>
      <w:r w:rsidR="006D1630" w:rsidRPr="000D1D59">
        <w:rPr>
          <w:rFonts w:ascii="Arial" w:hAnsi="Arial" w:cs="Arial"/>
          <w:bCs/>
        </w:rPr>
        <w:t xml:space="preserve">a </w:t>
      </w:r>
      <w:r w:rsidR="00D253DD" w:rsidRPr="000D1D59">
        <w:rPr>
          <w:rFonts w:ascii="Arial" w:hAnsi="Arial" w:cs="Arial"/>
          <w:bCs/>
        </w:rPr>
        <w:t xml:space="preserve">species response to three distinct treatments, recorded for all </w:t>
      </w:r>
      <w:r w:rsidR="00D253DD" w:rsidRPr="000D1D59">
        <w:rPr>
          <w:rFonts w:ascii="Arial" w:hAnsi="Arial" w:cs="Arial"/>
          <w:bCs/>
          <w:i/>
          <w:iCs/>
        </w:rPr>
        <w:t>S</w:t>
      </w:r>
      <w:r w:rsidR="00D253DD" w:rsidRPr="000D1D59">
        <w:rPr>
          <w:rFonts w:ascii="Arial" w:hAnsi="Arial" w:cs="Arial"/>
          <w:bCs/>
        </w:rPr>
        <w:t xml:space="preserve"> species</w:t>
      </w:r>
      <w:r w:rsidR="00D654E8" w:rsidRPr="000D1D59">
        <w:rPr>
          <w:rFonts w:ascii="Arial" w:hAnsi="Arial" w:cs="Arial"/>
          <w:bCs/>
        </w:rPr>
        <w:t>:</w:t>
      </w:r>
    </w:p>
    <w:p w14:paraId="20CBB7CF" w14:textId="74368965" w:rsidR="00D654E8" w:rsidRPr="000D1D59" w:rsidRDefault="002F4677" w:rsidP="002F4677">
      <w:pPr>
        <w:jc w:val="center"/>
        <w:rPr>
          <w:rFonts w:ascii="Arial" w:hAnsi="Arial" w:cs="Arial"/>
          <w:bCs/>
        </w:rPr>
      </w:pPr>
      <w:r w:rsidRPr="000D1D59">
        <w:rPr>
          <w:rFonts w:ascii="Arial" w:hAnsi="Arial" w:cs="Arial"/>
          <w:noProof/>
        </w:rPr>
        <w:drawing>
          <wp:inline distT="0" distB="0" distL="0" distR="0" wp14:anchorId="6B41D190" wp14:editId="026FB404">
            <wp:extent cx="3185113" cy="1298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821" cy="1320928"/>
                    </a:xfrm>
                    <a:prstGeom prst="rect">
                      <a:avLst/>
                    </a:prstGeom>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lastRenderedPageBreak/>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605D6D46" w:rsidR="00D253DD" w:rsidRPr="000D1D59" w:rsidRDefault="002F4677" w:rsidP="002F4677">
      <w:pPr>
        <w:jc w:val="center"/>
        <w:rPr>
          <w:rFonts w:ascii="Arial" w:hAnsi="Arial" w:cs="Arial"/>
          <w:bCs/>
        </w:rPr>
      </w:pPr>
      <w:r w:rsidRPr="000D1D59">
        <w:rPr>
          <w:rFonts w:ascii="Arial" w:hAnsi="Arial" w:cs="Arial"/>
          <w:noProof/>
        </w:rPr>
        <w:drawing>
          <wp:inline distT="0" distB="0" distL="0" distR="0" wp14:anchorId="7B35FB6E" wp14:editId="404521AB">
            <wp:extent cx="1603022" cy="80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426" r="3299" b="16241"/>
                    <a:stretch/>
                  </pic:blipFill>
                  <pic:spPr bwMode="auto">
                    <a:xfrm>
                      <a:off x="0" y="0"/>
                      <a:ext cx="1636358" cy="817387"/>
                    </a:xfrm>
                    <a:prstGeom prst="rect">
                      <a:avLst/>
                    </a:prstGeom>
                    <a:ln>
                      <a:noFill/>
                    </a:ln>
                    <a:extLst>
                      <a:ext uri="{53640926-AAD7-44D8-BBD7-CCE9431645EC}">
                        <a14:shadowObscured xmlns:a14="http://schemas.microsoft.com/office/drawing/2010/main"/>
                      </a:ext>
                    </a:extLst>
                  </pic:spPr>
                </pic:pic>
              </a:graphicData>
            </a:graphic>
          </wp:inline>
        </w:drawing>
      </w:r>
    </w:p>
    <w:p w14:paraId="01B6F6D9" w14:textId="0BA785DD" w:rsidR="00D253DD" w:rsidRPr="000D1D59" w:rsidRDefault="00D253DD" w:rsidP="00D253DD">
      <w:pPr>
        <w:rPr>
          <w:rFonts w:ascii="Arial" w:hAnsi="Arial" w:cs="Arial"/>
          <w:bCs/>
        </w:rPr>
      </w:pPr>
      <w:r w:rsidRPr="000D1D59">
        <w:rPr>
          <w:rFonts w:ascii="Arial" w:hAnsi="Arial" w:cs="Arial"/>
          <w:bCs/>
        </w:rPr>
        <w:t xml:space="preserve">Where </w:t>
      </w:r>
      <w:r w:rsidRPr="000D1D59">
        <w:rPr>
          <w:rFonts w:ascii="Arial" w:hAnsi="Arial" w:cs="Arial"/>
          <w:bCs/>
          <w:i/>
          <w:iCs/>
        </w:rPr>
        <w:t>S</w:t>
      </w:r>
      <w:r w:rsidRPr="000D1D59">
        <w:rPr>
          <w:rFonts w:ascii="Arial" w:hAnsi="Arial" w:cs="Arial"/>
          <w:bCs/>
        </w:rPr>
        <w:t xml:space="preserve"> is the number of observed species within a site. </w:t>
      </w:r>
    </w:p>
    <w:p w14:paraId="4CD54324" w14:textId="1AA00894" w:rsidR="00370117" w:rsidRDefault="00D253DD" w:rsidP="00A6061D">
      <w:pPr>
        <w:rPr>
          <w:rFonts w:ascii="Arial" w:hAnsi="Arial" w:cs="Arial"/>
          <w:noProof/>
        </w:rPr>
      </w:pPr>
      <w:r w:rsidRPr="000D1D59">
        <w:rPr>
          <w:rFonts w:ascii="Arial" w:hAnsi="Arial" w:cs="Arial"/>
          <w:bCs/>
        </w:rPr>
        <w:t>To standardize 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A6061D" w:rsidRPr="000D1D59">
        <w:rPr>
          <w:rFonts w:ascii="Arial" w:hAnsi="Arial" w:cs="Arial"/>
          <w:noProof/>
          <w:sz w:val="16"/>
          <w:szCs w:val="16"/>
        </w:rPr>
        <w:drawing>
          <wp:inline distT="0" distB="0" distL="0" distR="0" wp14:anchorId="281B74C3" wp14:editId="5E876FB2">
            <wp:extent cx="748226" cy="2593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2330"/>
                    <a:stretch/>
                  </pic:blipFill>
                  <pic:spPr bwMode="auto">
                    <a:xfrm>
                      <a:off x="0" y="0"/>
                      <a:ext cx="834364" cy="289167"/>
                    </a:xfrm>
                    <a:prstGeom prst="rect">
                      <a:avLst/>
                    </a:prstGeom>
                    <a:ln>
                      <a:noFill/>
                    </a:ln>
                    <a:extLst>
                      <a:ext uri="{53640926-AAD7-44D8-BBD7-CCE9431645EC}">
                        <a14:shadowObscured xmlns:a14="http://schemas.microsoft.com/office/drawing/2010/main"/>
                      </a:ext>
                    </a:extLst>
                  </pic:spPr>
                </pic:pic>
              </a:graphicData>
            </a:graphic>
          </wp:inline>
        </w:drawing>
      </w:r>
    </w:p>
    <w:p w14:paraId="221F2A81" w14:textId="1677CD04" w:rsidR="00370117" w:rsidRDefault="00370117" w:rsidP="00A6061D">
      <w:pPr>
        <w:rPr>
          <w:rFonts w:ascii="Arial" w:hAnsi="Arial" w:cs="Arial"/>
          <w:noProof/>
        </w:rPr>
      </w:pPr>
      <w:r>
        <w:rPr>
          <w:rFonts w:ascii="Arial" w:hAnsi="Arial" w:cs="Arial"/>
          <w:noProof/>
        </w:rPr>
        <w:t xml:space="preserve">For each possible pair of treatments, </w:t>
      </w:r>
      <w:r w:rsidR="00B37ED4">
        <w:rPr>
          <w:rFonts w:ascii="Arial" w:hAnsi="Arial" w:cs="Arial"/>
          <w:noProof/>
        </w:rPr>
        <w:t xml:space="preserve">bivariate </w:t>
      </w:r>
      <w:r w:rsidR="00307586">
        <w:rPr>
          <w:rFonts w:ascii="Arial" w:hAnsi="Arial" w:cs="Arial"/>
          <w:noProof/>
        </w:rPr>
        <w:t xml:space="preserve">relationships between </w:t>
      </w:r>
      <w:r w:rsidR="00FC7015">
        <w:rPr>
          <w:rFonts w:ascii="Arial" w:hAnsi="Arial" w:cs="Arial"/>
          <w:noProof/>
        </w:rPr>
        <w:t>sets of treatment responses</w:t>
      </w:r>
      <w:r w:rsidR="00B3435B">
        <w:rPr>
          <w:rFonts w:ascii="Arial" w:hAnsi="Arial" w:cs="Arial"/>
          <w:noProof/>
        </w:rPr>
        <w:t xml:space="preserve"> may be used to illustrate </w:t>
      </w:r>
      <w:r w:rsidR="00D00F8F">
        <w:rPr>
          <w:rFonts w:ascii="Arial" w:hAnsi="Arial" w:cs="Arial"/>
          <w:noProof/>
        </w:rPr>
        <w:t xml:space="preserve">correlations </w:t>
      </w:r>
      <w:r w:rsidR="005A10CE">
        <w:rPr>
          <w:rFonts w:ascii="Arial" w:hAnsi="Arial" w:cs="Arial"/>
          <w:noProof/>
        </w:rPr>
        <w:t>among trajectories of change (Figure 1a).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1389D67" w14:textId="75BA04CB" w:rsidR="00B339E6" w:rsidRPr="000D1D59" w:rsidRDefault="00F14FF9" w:rsidP="00337F21">
      <w:pPr>
        <w:rPr>
          <w:rFonts w:ascii="Arial" w:hAnsi="Arial" w:cs="Arial"/>
          <w:bCs/>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To assess the </w:t>
      </w:r>
      <w:r w:rsidR="00AF5415" w:rsidRPr="00AF5415">
        <w:rPr>
          <w:rFonts w:ascii="Arial" w:hAnsi="Arial" w:cs="Arial"/>
          <w:i/>
          <w:iCs/>
          <w:noProof/>
        </w:rPr>
        <w:t>dimensionality</w:t>
      </w:r>
      <w:r w:rsidR="00AF5415">
        <w:rPr>
          <w:rFonts w:ascii="Arial" w:hAnsi="Arial" w:cs="Arial"/>
          <w:noProof/>
        </w:rPr>
        <w:t xml:space="preserve"> of community response, </w:t>
      </w:r>
      <w:r w:rsidR="007E209F">
        <w:rPr>
          <w:rFonts w:ascii="Arial" w:hAnsi="Arial" w:cs="Arial"/>
          <w:noProof/>
        </w:rPr>
        <w:t xml:space="preserve">we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a test of 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790B6933"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species responses, we defined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666D0000" w:rsidR="00B75201" w:rsidRPr="000D1D59" w:rsidRDefault="002F4677" w:rsidP="002F4677">
      <w:pPr>
        <w:jc w:val="center"/>
        <w:rPr>
          <w:rFonts w:ascii="Arial" w:hAnsi="Arial" w:cs="Arial"/>
          <w:bCs/>
        </w:rPr>
      </w:pPr>
      <w:r w:rsidRPr="000D1D59">
        <w:rPr>
          <w:rFonts w:ascii="Arial" w:hAnsi="Arial" w:cs="Arial"/>
          <w:noProof/>
        </w:rPr>
        <w:drawing>
          <wp:inline distT="0" distB="0" distL="0" distR="0" wp14:anchorId="22E70250" wp14:editId="47EB2FCD">
            <wp:extent cx="1416909" cy="825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3970" cy="830087"/>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09A489B1" w:rsidR="0090549C" w:rsidRPr="000D1D59" w:rsidRDefault="002F4677" w:rsidP="002F4677">
      <w:pPr>
        <w:jc w:val="center"/>
        <w:rPr>
          <w:rFonts w:ascii="Arial" w:hAnsi="Arial" w:cs="Arial"/>
          <w:bCs/>
        </w:rPr>
      </w:pPr>
      <w:r w:rsidRPr="000D1D59">
        <w:rPr>
          <w:rFonts w:ascii="Arial" w:hAnsi="Arial" w:cs="Arial"/>
          <w:noProof/>
        </w:rPr>
        <w:drawing>
          <wp:inline distT="0" distB="0" distL="0" distR="0" wp14:anchorId="591CC193" wp14:editId="77F57B55">
            <wp:extent cx="1145060" cy="349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3075" cy="364550"/>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23F06D3D" w:rsidR="00B75201" w:rsidRPr="000D1D59" w:rsidRDefault="004E3380" w:rsidP="002F4677">
      <w:pPr>
        <w:jc w:val="center"/>
        <w:rPr>
          <w:rFonts w:ascii="Arial" w:hAnsi="Arial" w:cs="Arial"/>
          <w:bCs/>
        </w:rPr>
      </w:pPr>
      <w:r>
        <w:rPr>
          <w:noProof/>
        </w:rPr>
        <w:drawing>
          <wp:inline distT="0" distB="0" distL="0" distR="0" wp14:anchorId="3A7E51D1" wp14:editId="69395ADD">
            <wp:extent cx="936977" cy="54558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0496" cy="565099"/>
                    </a:xfrm>
                    <a:prstGeom prst="rect">
                      <a:avLst/>
                    </a:prstGeom>
                  </pic:spPr>
                </pic:pic>
              </a:graphicData>
            </a:graphic>
          </wp:inline>
        </w:drawing>
      </w:r>
    </w:p>
    <w:p w14:paraId="285383F1" w14:textId="7122B0CF" w:rsidR="00377595" w:rsidRPr="00A60401" w:rsidRDefault="00377595" w:rsidP="00377595">
      <w:pPr>
        <w:rPr>
          <w:rFonts w:ascii="Arial" w:hAnsi="Arial" w:cs="Arial"/>
          <w:bCs/>
        </w:rPr>
      </w:pPr>
      <w:r>
        <w:rPr>
          <w:rFonts w:ascii="Arial" w:hAnsi="Arial" w:cs="Arial"/>
          <w:bCs/>
        </w:rPr>
        <w:lastRenderedPageBreak/>
        <w:t>Under our null hypothesis, the</w:t>
      </w:r>
      <w:r w:rsidR="00971175">
        <w:rPr>
          <w:rFonts w:ascii="Arial" w:hAnsi="Arial" w:cs="Arial"/>
          <w:bCs/>
        </w:rPr>
        <w:t xml:space="preserve"> set of responses observed for species </w:t>
      </w:r>
      <w:proofErr w:type="spellStart"/>
      <w:r w:rsidR="00971175">
        <w:rPr>
          <w:rFonts w:ascii="Arial" w:hAnsi="Arial" w:cs="Arial"/>
          <w:bCs/>
          <w:i/>
          <w:iCs/>
        </w:rPr>
        <w:t>i</w:t>
      </w:r>
      <w:proofErr w:type="spellEnd"/>
      <w:r w:rsidR="00971175">
        <w:rPr>
          <w:rFonts w:ascii="Arial" w:hAnsi="Arial" w:cs="Arial"/>
          <w:bCs/>
          <w:i/>
          <w:iCs/>
        </w:rPr>
        <w:t xml:space="preserve">, </w:t>
      </w:r>
      <w:proofErr w:type="spellStart"/>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proofErr w:type="spellEnd"/>
      <w:r w:rsidR="00971175">
        <w:rPr>
          <w:rFonts w:ascii="Arial" w:hAnsi="Arial" w:cs="Arial"/>
          <w:bCs/>
        </w:rPr>
        <w:t xml:space="preserve">, will be of equal magnitude to </w:t>
      </w:r>
      <w:r w:rsidR="00A60401">
        <w:rPr>
          <w:rFonts w:ascii="Arial" w:hAnsi="Arial" w:cs="Arial"/>
          <w:bCs/>
        </w:rPr>
        <w:t xml:space="preserve">the projection, </w:t>
      </w:r>
      <w:proofErr w:type="gramStart"/>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w:t>
      </w:r>
      <w:proofErr w:type="gramEnd"/>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p>
    <w:p w14:paraId="0E1CE753" w14:textId="26F97345" w:rsidR="00216FA1" w:rsidRPr="000D1D59" w:rsidRDefault="00B75201" w:rsidP="00337F21">
      <w:pPr>
        <w:rPr>
          <w:rFonts w:ascii="Arial" w:hAnsi="Arial" w:cs="Arial"/>
          <w:bCs/>
        </w:rPr>
      </w:pPr>
      <w:r w:rsidRPr="000D1D59">
        <w:rPr>
          <w:rFonts w:ascii="Arial" w:hAnsi="Arial" w:cs="Arial"/>
          <w:bCs/>
        </w:rPr>
        <w:t xml:space="preserve">Extending this method to all observed species </w:t>
      </w:r>
      <w:r w:rsidR="00216FA1" w:rsidRPr="000D1D59">
        <w:rPr>
          <w:rFonts w:ascii="Arial" w:hAnsi="Arial" w:cs="Arial"/>
          <w:bCs/>
        </w:rPr>
        <w:t>gives an aggregate measure of community dimensionality, bounded between 0 and 1:</w:t>
      </w:r>
    </w:p>
    <w:p w14:paraId="22378DC6" w14:textId="77777777" w:rsidR="00373FB8" w:rsidRDefault="00925250" w:rsidP="00373FB8">
      <w:pPr>
        <w:jc w:val="center"/>
        <w:rPr>
          <w:rFonts w:ascii="Arial" w:hAnsi="Arial" w:cs="Arial"/>
          <w:bCs/>
        </w:rPr>
      </w:pPr>
      <w:r w:rsidRPr="00925250">
        <w:rPr>
          <w:noProof/>
        </w:rPr>
        <w:t xml:space="preserve"> </w:t>
      </w:r>
      <w:r>
        <w:rPr>
          <w:noProof/>
        </w:rPr>
        <w:drawing>
          <wp:inline distT="0" distB="0" distL="0" distR="0" wp14:anchorId="4A161F26" wp14:editId="6FC5890A">
            <wp:extent cx="2220595" cy="796705"/>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868"/>
                    <a:stretch/>
                  </pic:blipFill>
                  <pic:spPr bwMode="auto">
                    <a:xfrm>
                      <a:off x="0" y="0"/>
                      <a:ext cx="2258709" cy="810380"/>
                    </a:xfrm>
                    <a:prstGeom prst="rect">
                      <a:avLst/>
                    </a:prstGeom>
                    <a:ln>
                      <a:noFill/>
                    </a:ln>
                    <a:extLst>
                      <a:ext uri="{53640926-AAD7-44D8-BBD7-CCE9431645EC}">
                        <a14:shadowObscured xmlns:a14="http://schemas.microsoft.com/office/drawing/2010/main"/>
                      </a:ext>
                    </a:extLst>
                  </pic:spPr>
                </pic:pic>
              </a:graphicData>
            </a:graphic>
          </wp:inline>
        </w:drawing>
      </w:r>
    </w:p>
    <w:p w14:paraId="42768D40" w14:textId="36BD9630"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Orthogonal responses (high dimensional), where 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6F6FBE43">
            <wp:extent cx="2243866" cy="790832"/>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6823" cy="820070"/>
                    </a:xfrm>
                    <a:prstGeom prst="rect">
                      <a:avLst/>
                    </a:prstGeom>
                  </pic:spPr>
                </pic:pic>
              </a:graphicData>
            </a:graphic>
          </wp:inline>
        </w:drawing>
      </w:r>
    </w:p>
    <w:p w14:paraId="4A493011" w14:textId="79AD0A32" w:rsidR="002B066D" w:rsidRPr="000D1D59" w:rsidRDefault="002B066D" w:rsidP="002B066D">
      <w:pPr>
        <w:rPr>
          <w:rFonts w:ascii="Arial" w:hAnsi="Arial" w:cs="Arial"/>
          <w:bCs/>
        </w:rPr>
      </w:pPr>
      <w:r w:rsidRPr="000D1D59">
        <w:rPr>
          <w:rFonts w:ascii="Arial" w:hAnsi="Arial" w:cs="Arial"/>
          <w:bCs/>
        </w:rPr>
        <w:t>Where vectors are standardized to unit length.</w:t>
      </w:r>
    </w:p>
    <w:p w14:paraId="7E6D1E6A" w14:textId="57D52446" w:rsidR="00731482" w:rsidRDefault="00731482" w:rsidP="002B066D">
      <w:pPr>
        <w:rPr>
          <w:rFonts w:ascii="Arial" w:hAnsi="Arial" w:cs="Arial"/>
          <w:bCs/>
        </w:rPr>
      </w:pPr>
      <w:r w:rsidRPr="000D1D59">
        <w:rPr>
          <w:rFonts w:ascii="Arial" w:hAnsi="Arial" w:cs="Arial"/>
          <w:bCs/>
        </w:rPr>
        <w:t xml:space="preserve">Conceptually, this geometric approach is </w:t>
      </w:r>
      <w:proofErr w:type="gramStart"/>
      <w:r w:rsidRPr="000D1D59">
        <w:rPr>
          <w:rFonts w:ascii="Arial" w:hAnsi="Arial" w:cs="Arial"/>
          <w:bCs/>
        </w:rPr>
        <w:t>similar to</w:t>
      </w:r>
      <w:proofErr w:type="gramEnd"/>
      <w:r w:rsidRPr="000D1D59">
        <w:rPr>
          <w:rFonts w:ascii="Arial" w:hAnsi="Arial" w:cs="Arial"/>
          <w:bCs/>
        </w:rPr>
        <w:t xml:space="preserve"> dimensionality reduction through principal components analysis (PCA). </w:t>
      </w:r>
      <w:r w:rsidR="007835D1">
        <w:rPr>
          <w:rFonts w:ascii="Arial" w:hAnsi="Arial" w:cs="Arial"/>
          <w:bCs/>
        </w:rPr>
        <w:t>R</w:t>
      </w:r>
      <w:r w:rsidRPr="000D1D59">
        <w:rPr>
          <w:rFonts w:ascii="Arial" w:hAnsi="Arial" w:cs="Arial"/>
          <w:bCs/>
        </w:rPr>
        <w:t xml:space="preserve">ather than defining the first </w:t>
      </w:r>
      <w:r w:rsidR="00CB5B80" w:rsidRPr="000D1D59">
        <w:rPr>
          <w:rFonts w:ascii="Arial" w:hAnsi="Arial" w:cs="Arial"/>
          <w:bCs/>
        </w:rPr>
        <w:t xml:space="preserve">principle component through eigenvalue decomposition, </w:t>
      </w:r>
      <w:r w:rsidR="009C1B2F">
        <w:rPr>
          <w:rFonts w:ascii="Arial" w:hAnsi="Arial" w:cs="Arial"/>
          <w:bCs/>
        </w:rPr>
        <w:t>axes are</w:t>
      </w:r>
      <w:r w:rsidR="00CB5B80" w:rsidRPr="000D1D59">
        <w:rPr>
          <w:rFonts w:ascii="Arial" w:hAnsi="Arial" w:cs="Arial"/>
          <w:bCs/>
        </w:rPr>
        <w:t xml:space="preserve"> pre-specified under a null hypothesis.</w:t>
      </w: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characteristics were obtained from each site using </w:t>
      </w:r>
      <w:proofErr w:type="spellStart"/>
      <w:r w:rsidR="003D5184">
        <w:rPr>
          <w:rFonts w:ascii="Arial" w:hAnsi="Arial" w:cs="Arial"/>
          <w:bCs/>
        </w:rPr>
        <w:t>BioClim</w:t>
      </w:r>
      <w:proofErr w:type="spellEnd"/>
      <w:r w:rsidR="003D5184">
        <w:rPr>
          <w:rFonts w:ascii="Arial" w:hAnsi="Arial" w:cs="Arial"/>
          <w:bCs/>
        </w:rPr>
        <w:t xml:space="preserve">,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w:t>
      </w:r>
      <w:r w:rsidR="00324E82">
        <w:rPr>
          <w:rFonts w:ascii="Arial" w:eastAsiaTheme="minorEastAsia" w:hAnsi="Arial" w:cs="Arial"/>
          <w:bCs/>
        </w:rPr>
        <w:lastRenderedPageBreak/>
        <w:t xml:space="preserve">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7777777"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 xml:space="preserve">e used structural equation modeling (SEM) to evaluate hypothesizes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describing soil and climatic conditions were also combined in pathways with </w:t>
      </w:r>
      <w:r w:rsidR="0050512D">
        <w:rPr>
          <w:rFonts w:ascii="Arial" w:eastAsiaTheme="minorEastAsia" w:hAnsi="Arial" w:cs="Arial"/>
          <w:bCs/>
        </w:rPr>
        <w:t xml:space="preserve">estimates to the site species pool 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11FB72DB" w:rsidR="0029643C" w:rsidRDefault="0059081E" w:rsidP="002B066D">
      <w:pPr>
        <w:rPr>
          <w:rFonts w:ascii="Arial" w:eastAsiaTheme="minorEastAsia" w:hAnsi="Arial" w:cs="Arial"/>
          <w:bCs/>
        </w:rPr>
      </w:pPr>
      <w:r>
        <w:rPr>
          <w:rFonts w:ascii="Arial" w:eastAsiaTheme="minorEastAsia" w:hAnsi="Arial" w:cs="Arial"/>
          <w:bCs/>
        </w:rPr>
        <w:t>All statistical analyses were performed in R version 4.0.2.</w:t>
      </w:r>
      <w:r w:rsidR="00FB1827">
        <w:rPr>
          <w:rFonts w:ascii="Arial" w:eastAsiaTheme="minorEastAsia" w:hAnsi="Arial" w:cs="Arial"/>
          <w:bCs/>
        </w:rPr>
        <w:t xml:space="preserve"> Semi-Major Axis (SMA) regression was performed using “</w:t>
      </w:r>
      <w:proofErr w:type="spellStart"/>
      <w:r w:rsidR="00FB1827">
        <w:rPr>
          <w:rFonts w:ascii="Arial" w:eastAsiaTheme="minorEastAsia" w:hAnsi="Arial" w:cs="Arial"/>
          <w:bCs/>
        </w:rPr>
        <w:t>smatr</w:t>
      </w:r>
      <w:proofErr w:type="spellEnd"/>
      <w:r w:rsidR="00FB1827">
        <w:rPr>
          <w:rFonts w:ascii="Arial" w:eastAsiaTheme="minorEastAsia" w:hAnsi="Arial" w:cs="Arial"/>
          <w:bCs/>
        </w:rPr>
        <w:t>”. Linear mixed effects modeling was conducted using “lme4” and “</w:t>
      </w:r>
      <w:proofErr w:type="spellStart"/>
      <w:r w:rsidR="00FB1827">
        <w:rPr>
          <w:rFonts w:ascii="Arial" w:eastAsiaTheme="minorEastAsia" w:hAnsi="Arial" w:cs="Arial"/>
          <w:bCs/>
        </w:rPr>
        <w:t>lmerTest</w:t>
      </w:r>
      <w:proofErr w:type="spellEnd"/>
      <w:r w:rsidR="00FB1827">
        <w:rPr>
          <w:rFonts w:ascii="Arial" w:eastAsiaTheme="minorEastAsia" w:hAnsi="Arial" w:cs="Arial"/>
          <w:bCs/>
        </w:rPr>
        <w:t xml:space="preserve">” packages. </w:t>
      </w:r>
      <w:r w:rsidR="005B41FA">
        <w:rPr>
          <w:rFonts w:ascii="Arial" w:eastAsiaTheme="minorEastAsia" w:hAnsi="Arial" w:cs="Arial"/>
          <w:bCs/>
        </w:rPr>
        <w:t>SEM analyses were conducted using “</w:t>
      </w:r>
      <w:proofErr w:type="spellStart"/>
      <w:r w:rsidR="005B41FA">
        <w:rPr>
          <w:rFonts w:ascii="Arial" w:eastAsiaTheme="minorEastAsia" w:hAnsi="Arial" w:cs="Arial"/>
          <w:bCs/>
        </w:rPr>
        <w:t>lavaan</w:t>
      </w:r>
      <w:proofErr w:type="spellEnd"/>
      <w:r w:rsidR="005B41FA">
        <w:rPr>
          <w:rFonts w:ascii="Arial" w:eastAsiaTheme="minorEastAsia" w:hAnsi="Arial" w:cs="Arial"/>
          <w:bCs/>
        </w:rPr>
        <w:t xml:space="preserve">”. </w:t>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5B0D06BE" w:rsidR="00723637" w:rsidRDefault="00723637" w:rsidP="00337F21">
      <w:pPr>
        <w:rPr>
          <w:rFonts w:ascii="Arial" w:hAnsi="Arial" w:cs="Arial"/>
          <w:bCs/>
        </w:rPr>
      </w:pPr>
      <w:r>
        <w:rPr>
          <w:rFonts w:ascii="Arial" w:hAnsi="Arial" w:cs="Arial"/>
          <w:bCs/>
          <w:i/>
          <w:iCs/>
        </w:rPr>
        <w:t>Community Responses to Nutrient Enrichment</w:t>
      </w:r>
    </w:p>
    <w:p w14:paraId="71B93A1C" w14:textId="3D844864"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w:t>
      </w:r>
      <w:proofErr w:type="gramStart"/>
      <w:r w:rsidR="00607D38">
        <w:rPr>
          <w:rFonts w:ascii="Arial" w:hAnsi="Arial" w:cs="Arial"/>
          <w:bCs/>
        </w:rPr>
        <w:t>a majority of</w:t>
      </w:r>
      <w:proofErr w:type="gramEnd"/>
      <w:r w:rsidR="00607D38">
        <w:rPr>
          <w:rFonts w:ascii="Arial" w:hAnsi="Arial" w:cs="Arial"/>
          <w:bCs/>
        </w:rPr>
        <w:t xml:space="preserve"> sites exhibited significant effects of N enrichment, </w:t>
      </w:r>
      <w:r w:rsidR="001816B3">
        <w:rPr>
          <w:rFonts w:ascii="Arial" w:hAnsi="Arial" w:cs="Arial"/>
          <w:bCs/>
        </w:rPr>
        <w:t xml:space="preserve">many sites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137CA" w:rsidRPr="004137CA">
        <w:rPr>
          <w:rFonts w:ascii="Arial" w:hAnsi="Arial" w:cs="Arial"/>
          <w:bCs/>
          <w:i/>
          <w:iCs/>
        </w:rPr>
        <w:t>T</w:t>
      </w:r>
      <w:r w:rsidR="004137CA">
        <w:rPr>
          <w:rFonts w:ascii="Arial" w:hAnsi="Arial" w:cs="Arial"/>
          <w:bCs/>
          <w:vertAlign w:val="subscript"/>
        </w:rPr>
        <w:t>96</w:t>
      </w:r>
      <w:r w:rsidR="004137CA">
        <w:rPr>
          <w:rFonts w:ascii="Arial" w:hAnsi="Arial" w:cs="Arial"/>
          <w:bCs/>
        </w:rPr>
        <w:t xml:space="preserve"> = 3.1</w:t>
      </w:r>
      <w:r w:rsidR="00531E4A">
        <w:rPr>
          <w:rFonts w:ascii="Arial" w:hAnsi="Arial" w:cs="Arial"/>
          <w:bCs/>
        </w:rPr>
        <w:t>0</w:t>
      </w:r>
      <w:r w:rsidR="00EA1865">
        <w:rPr>
          <w:rFonts w:ascii="Arial" w:hAnsi="Arial" w:cs="Arial"/>
          <w:bCs/>
        </w:rPr>
        <w:t>, P &lt; 0.0</w:t>
      </w:r>
      <w:r w:rsidR="001361E1">
        <w:rPr>
          <w:rFonts w:ascii="Arial" w:hAnsi="Arial" w:cs="Arial"/>
          <w:bCs/>
        </w:rPr>
        <w:t>1</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53B17937" w:rsidR="003F21C3" w:rsidRP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31B54129"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equal to one 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75D823A6"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F030CF" w:rsidRPr="00F030CF">
        <w:rPr>
          <w:rFonts w:ascii="Arial" w:hAnsi="Arial" w:cs="Arial"/>
          <w:bCs/>
          <w:highlight w:val="yellow"/>
        </w:rPr>
        <w:t>Appendix X</w:t>
      </w:r>
      <w:r w:rsidR="00416384">
        <w:rPr>
          <w:rFonts w:ascii="Arial" w:hAnsi="Arial" w:cs="Arial"/>
          <w:bCs/>
        </w:rPr>
        <w:t>).</w:t>
      </w:r>
    </w:p>
    <w:p w14:paraId="736FE256" w14:textId="09DBC220" w:rsidR="00EC2FD8" w:rsidRDefault="00EC2FD8" w:rsidP="00337F21">
      <w:pPr>
        <w:rPr>
          <w:rFonts w:ascii="Arial" w:hAnsi="Arial" w:cs="Arial"/>
          <w:bCs/>
        </w:rPr>
      </w:pPr>
      <w:r>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lastRenderedPageBreak/>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7880886D" w:rsidR="00CD76BD" w:rsidRDefault="00CB0B56" w:rsidP="000B0469">
      <w:pPr>
        <w:rPr>
          <w:rFonts w:ascii="Arial" w:hAnsi="Arial" w:cs="Arial"/>
          <w:b/>
        </w:rPr>
      </w:pPr>
      <w:r>
        <w:rPr>
          <w:rFonts w:ascii="Arial" w:hAnsi="Arial" w:cs="Arial"/>
          <w:bCs/>
          <w:i/>
          <w:iCs/>
        </w:rPr>
        <w:t>Site Variation in Response Dimensionality</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762C870D"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abundance of legumes combined to have negative effects on the dimensionality </w:t>
      </w:r>
      <w:r w:rsidR="009D18FB">
        <w:rPr>
          <w:rFonts w:ascii="Arial" w:hAnsi="Arial" w:cs="Arial"/>
          <w:bCs/>
        </w:rPr>
        <w:t>of community response to treatment.</w:t>
      </w:r>
    </w:p>
    <w:p w14:paraId="6D8FB446" w14:textId="77777777" w:rsidR="00472D99" w:rsidRDefault="00472D99">
      <w:pPr>
        <w:rPr>
          <w:rFonts w:ascii="Arial" w:hAnsi="Arial" w:cs="Arial"/>
          <w:b/>
        </w:rPr>
      </w:pPr>
      <w:r>
        <w:rPr>
          <w:rFonts w:ascii="Arial" w:hAnsi="Arial" w:cs="Arial"/>
          <w:b/>
        </w:rPr>
        <w:br w:type="page"/>
      </w:r>
    </w:p>
    <w:p w14:paraId="6FE1F57F" w14:textId="489DECBC" w:rsidR="00C75355" w:rsidRDefault="00C75355" w:rsidP="00337F21">
      <w:pPr>
        <w:rPr>
          <w:rFonts w:ascii="Arial" w:hAnsi="Arial" w:cs="Arial"/>
          <w:b/>
        </w:rPr>
      </w:pPr>
      <w:r>
        <w:rPr>
          <w:rFonts w:ascii="Arial" w:hAnsi="Arial" w:cs="Arial"/>
          <w:b/>
        </w:rPr>
        <w:lastRenderedPageBreak/>
        <w:t>Discussion</w:t>
      </w:r>
    </w:p>
    <w:p w14:paraId="00D99B3F" w14:textId="77777777" w:rsidR="0098062E" w:rsidRDefault="0098062E" w:rsidP="00337F21">
      <w:pPr>
        <w:rPr>
          <w:rFonts w:ascii="Arial" w:hAnsi="Arial" w:cs="Arial"/>
          <w:bCs/>
        </w:rPr>
      </w:pPr>
    </w:p>
    <w:p w14:paraId="2C3D4728" w14:textId="77777777" w:rsidR="004D7777" w:rsidRDefault="004D7777" w:rsidP="00337F21">
      <w:pPr>
        <w:rPr>
          <w:rFonts w:ascii="Arial" w:hAnsi="Arial" w:cs="Arial"/>
          <w:bCs/>
        </w:rPr>
      </w:pPr>
    </w:p>
    <w:p w14:paraId="0159E5B1" w14:textId="792F546A" w:rsidR="00F63531" w:rsidRDefault="00F63531" w:rsidP="00337F21">
      <w:pPr>
        <w:rPr>
          <w:rFonts w:ascii="Arial" w:hAnsi="Arial" w:cs="Arial"/>
          <w:b/>
          <w:u w:val="single"/>
        </w:rPr>
      </w:pPr>
      <w:r>
        <w:rPr>
          <w:rFonts w:ascii="Arial" w:hAnsi="Arial" w:cs="Arial"/>
          <w:b/>
          <w:u w:val="single"/>
        </w:rPr>
        <w:t>CORE POINT</w:t>
      </w:r>
    </w:p>
    <w:p w14:paraId="439BB012" w14:textId="77777777" w:rsidR="00B537A5" w:rsidRDefault="00B537A5" w:rsidP="00337F21">
      <w:pPr>
        <w:rPr>
          <w:rFonts w:ascii="Arial" w:hAnsi="Arial" w:cs="Arial"/>
          <w:bCs/>
        </w:rPr>
      </w:pPr>
    </w:p>
    <w:p w14:paraId="2A0EDC04" w14:textId="4AAAEDF0" w:rsidR="00F63531" w:rsidRDefault="00F63531" w:rsidP="00337F21">
      <w:pPr>
        <w:rPr>
          <w:rFonts w:ascii="Arial" w:hAnsi="Arial" w:cs="Arial"/>
          <w:bCs/>
        </w:rPr>
      </w:pPr>
      <w:r>
        <w:rPr>
          <w:rFonts w:ascii="Arial" w:hAnsi="Arial" w:cs="Arial"/>
          <w:bCs/>
        </w:rPr>
        <w:t>Both mechanisms have a role to play; their strength will depend on how the niche space is occupied</w:t>
      </w:r>
      <w:r w:rsidR="00DD7E5B">
        <w:rPr>
          <w:rFonts w:ascii="Arial" w:hAnsi="Arial" w:cs="Arial"/>
          <w:bCs/>
        </w:rPr>
        <w:t>.</w:t>
      </w:r>
    </w:p>
    <w:p w14:paraId="5D591765" w14:textId="5ECDD67C" w:rsidR="00625A0C" w:rsidRDefault="00D77532" w:rsidP="00D77532">
      <w:pPr>
        <w:pStyle w:val="ListParagraph"/>
        <w:numPr>
          <w:ilvl w:val="0"/>
          <w:numId w:val="6"/>
        </w:numPr>
        <w:rPr>
          <w:rFonts w:ascii="Arial" w:hAnsi="Arial" w:cs="Arial"/>
          <w:b/>
        </w:rPr>
      </w:pPr>
      <w:r>
        <w:rPr>
          <w:rFonts w:ascii="Arial" w:hAnsi="Arial" w:cs="Arial"/>
          <w:b/>
        </w:rPr>
        <w:t>Mechanisms of coexistence</w:t>
      </w:r>
    </w:p>
    <w:p w14:paraId="19AA3E1F" w14:textId="2DFCF5D4" w:rsidR="00D77532" w:rsidRDefault="00D77532" w:rsidP="00D77532">
      <w:pPr>
        <w:pStyle w:val="ListParagraph"/>
        <w:numPr>
          <w:ilvl w:val="1"/>
          <w:numId w:val="6"/>
        </w:numPr>
        <w:rPr>
          <w:rFonts w:ascii="Arial" w:hAnsi="Arial" w:cs="Arial"/>
          <w:bCs/>
        </w:rPr>
      </w:pPr>
      <w:r w:rsidRPr="00D77532">
        <w:rPr>
          <w:rFonts w:ascii="Arial" w:hAnsi="Arial" w:cs="Arial"/>
          <w:bCs/>
        </w:rPr>
        <w:t xml:space="preserve">Evidence for simultaneous </w:t>
      </w:r>
      <w:r w:rsidR="00772487">
        <w:rPr>
          <w:rFonts w:ascii="Arial" w:hAnsi="Arial" w:cs="Arial"/>
          <w:bCs/>
        </w:rPr>
        <w:t>mechanisms of change</w:t>
      </w:r>
    </w:p>
    <w:p w14:paraId="5C6F9D28" w14:textId="79FABCD1" w:rsidR="00772487" w:rsidRDefault="002200A4" w:rsidP="00D77532">
      <w:pPr>
        <w:pStyle w:val="ListParagraph"/>
        <w:numPr>
          <w:ilvl w:val="1"/>
          <w:numId w:val="6"/>
        </w:numPr>
        <w:rPr>
          <w:rFonts w:ascii="Arial" w:hAnsi="Arial" w:cs="Arial"/>
          <w:bCs/>
        </w:rPr>
      </w:pPr>
      <w:r>
        <w:rPr>
          <w:rFonts w:ascii="Arial" w:hAnsi="Arial" w:cs="Arial"/>
          <w:bCs/>
        </w:rPr>
        <w:t xml:space="preserve">Trade-offs will be bounded by the dimensionality of limiting resources; </w:t>
      </w:r>
      <w:r w:rsidR="00BF352D">
        <w:rPr>
          <w:rFonts w:ascii="Arial" w:hAnsi="Arial" w:cs="Arial"/>
          <w:bCs/>
        </w:rPr>
        <w:t xml:space="preserve">high dimensional niche spaces may also give rise to high dimensional trade-offs. </w:t>
      </w:r>
    </w:p>
    <w:p w14:paraId="232A9CA2" w14:textId="4756EA96" w:rsidR="00BF352D" w:rsidRDefault="00BF352D" w:rsidP="00BF352D">
      <w:pPr>
        <w:pStyle w:val="ListParagraph"/>
        <w:numPr>
          <w:ilvl w:val="0"/>
          <w:numId w:val="6"/>
        </w:numPr>
        <w:rPr>
          <w:rFonts w:ascii="Arial" w:hAnsi="Arial" w:cs="Arial"/>
          <w:bCs/>
        </w:rPr>
      </w:pPr>
      <w:r>
        <w:rPr>
          <w:rFonts w:ascii="Arial" w:hAnsi="Arial" w:cs="Arial"/>
          <w:bCs/>
        </w:rPr>
        <w:t>The development of these trade-offs will be constrained by relevant sources of niche variation</w:t>
      </w:r>
    </w:p>
    <w:p w14:paraId="6C724911" w14:textId="77777777" w:rsidR="009B2111" w:rsidRPr="009B2111" w:rsidRDefault="009B2111" w:rsidP="009B2111">
      <w:pPr>
        <w:rPr>
          <w:rFonts w:ascii="Arial" w:hAnsi="Arial" w:cs="Arial"/>
          <w:bCs/>
        </w:rPr>
      </w:pPr>
    </w:p>
    <w:p w14:paraId="584DEF4C" w14:textId="77777777" w:rsidR="00625A0C" w:rsidRDefault="00625A0C" w:rsidP="00337F21">
      <w:pPr>
        <w:rPr>
          <w:rFonts w:ascii="Arial" w:hAnsi="Arial" w:cs="Arial"/>
          <w:b/>
        </w:rPr>
      </w:pPr>
    </w:p>
    <w:p w14:paraId="1525CC1E" w14:textId="2A7FE7F5" w:rsidR="00C75355" w:rsidRPr="00B30374" w:rsidRDefault="00C75355" w:rsidP="00C75355">
      <w:pPr>
        <w:pStyle w:val="ListParagraph"/>
        <w:numPr>
          <w:ilvl w:val="0"/>
          <w:numId w:val="4"/>
        </w:numPr>
        <w:rPr>
          <w:rFonts w:ascii="Arial" w:hAnsi="Arial" w:cs="Arial"/>
          <w:b/>
        </w:rPr>
      </w:pPr>
      <w:r>
        <w:rPr>
          <w:rFonts w:ascii="Arial" w:hAnsi="Arial" w:cs="Arial"/>
          <w:bCs/>
        </w:rPr>
        <w:t>Comment on the number of sites exhibiting multiple resource limitation</w:t>
      </w:r>
    </w:p>
    <w:p w14:paraId="07F27DA5" w14:textId="3DDF7AE2" w:rsidR="00B30374" w:rsidRPr="00C75355" w:rsidRDefault="00B30374" w:rsidP="00C75355">
      <w:pPr>
        <w:pStyle w:val="ListParagraph"/>
        <w:numPr>
          <w:ilvl w:val="0"/>
          <w:numId w:val="4"/>
        </w:numPr>
        <w:rPr>
          <w:rFonts w:ascii="Arial" w:hAnsi="Arial" w:cs="Arial"/>
          <w:b/>
        </w:rPr>
      </w:pPr>
      <w:r>
        <w:rPr>
          <w:rFonts w:ascii="Arial" w:hAnsi="Arial" w:cs="Arial"/>
          <w:bCs/>
        </w:rPr>
        <w:t>Both resource supply and resource stoichiometry act</w:t>
      </w:r>
      <w:r w:rsidR="00522057">
        <w:rPr>
          <w:rFonts w:ascii="Arial" w:hAnsi="Arial" w:cs="Arial"/>
          <w:bCs/>
        </w:rPr>
        <w:t xml:space="preserve"> simultaneously to govern species </w:t>
      </w:r>
      <w:proofErr w:type="gramStart"/>
      <w:r w:rsidR="00522057">
        <w:rPr>
          <w:rFonts w:ascii="Arial" w:hAnsi="Arial" w:cs="Arial"/>
          <w:bCs/>
        </w:rPr>
        <w:t>abundances;</w:t>
      </w:r>
      <w:proofErr w:type="gramEnd"/>
      <w:r w:rsidR="00522057">
        <w:rPr>
          <w:rFonts w:ascii="Arial" w:hAnsi="Arial" w:cs="Arial"/>
          <w:bCs/>
        </w:rPr>
        <w:t xml:space="preserve"> </w:t>
      </w:r>
    </w:p>
    <w:p w14:paraId="0AA1463D" w14:textId="5B50DD82" w:rsidR="00C75355" w:rsidRPr="00C75355" w:rsidRDefault="00C75355" w:rsidP="00C75355">
      <w:pPr>
        <w:pStyle w:val="ListParagraph"/>
        <w:numPr>
          <w:ilvl w:val="0"/>
          <w:numId w:val="4"/>
        </w:numPr>
        <w:rPr>
          <w:rFonts w:ascii="Arial" w:hAnsi="Arial" w:cs="Arial"/>
          <w:b/>
        </w:rPr>
      </w:pPr>
      <w:r>
        <w:rPr>
          <w:rFonts w:ascii="Arial" w:hAnsi="Arial" w:cs="Arial"/>
          <w:bCs/>
        </w:rPr>
        <w:t xml:space="preserve">Reflect on </w:t>
      </w:r>
      <w:proofErr w:type="gramStart"/>
      <w:r>
        <w:rPr>
          <w:rFonts w:ascii="Arial" w:hAnsi="Arial" w:cs="Arial"/>
          <w:bCs/>
        </w:rPr>
        <w:t>patterns;</w:t>
      </w:r>
      <w:proofErr w:type="gramEnd"/>
    </w:p>
    <w:p w14:paraId="484EAF13" w14:textId="6226BC14" w:rsidR="00C75355" w:rsidRPr="00C75355" w:rsidRDefault="00C75355" w:rsidP="00C75355">
      <w:pPr>
        <w:pStyle w:val="ListParagraph"/>
        <w:numPr>
          <w:ilvl w:val="1"/>
          <w:numId w:val="4"/>
        </w:numPr>
        <w:rPr>
          <w:rFonts w:ascii="Arial" w:hAnsi="Arial" w:cs="Arial"/>
          <w:b/>
        </w:rPr>
      </w:pPr>
      <w:r>
        <w:rPr>
          <w:rFonts w:ascii="Arial" w:hAnsi="Arial" w:cs="Arial"/>
          <w:bCs/>
        </w:rPr>
        <w:t>1:1:1 relationship forms a dominant pattern, as was expected by our null model</w:t>
      </w:r>
    </w:p>
    <w:p w14:paraId="030A24F5" w14:textId="6B15F6D7" w:rsidR="00C75355" w:rsidRPr="00C75355" w:rsidRDefault="00C75355" w:rsidP="00C75355">
      <w:pPr>
        <w:pStyle w:val="ListParagraph"/>
        <w:numPr>
          <w:ilvl w:val="1"/>
          <w:numId w:val="4"/>
        </w:numPr>
        <w:rPr>
          <w:rFonts w:ascii="Arial" w:hAnsi="Arial" w:cs="Arial"/>
          <w:b/>
        </w:rPr>
      </w:pPr>
      <w:r>
        <w:rPr>
          <w:rFonts w:ascii="Arial" w:hAnsi="Arial" w:cs="Arial"/>
          <w:bCs/>
        </w:rPr>
        <w:t>Trade-offs related to plant functional strategy</w:t>
      </w:r>
    </w:p>
    <w:p w14:paraId="2A137BFA" w14:textId="09BA2E12" w:rsidR="0071548A" w:rsidRPr="00522057" w:rsidRDefault="00C75355" w:rsidP="00522057">
      <w:pPr>
        <w:pStyle w:val="ListParagraph"/>
        <w:numPr>
          <w:ilvl w:val="2"/>
          <w:numId w:val="4"/>
        </w:numPr>
        <w:rPr>
          <w:rFonts w:ascii="Arial" w:hAnsi="Arial" w:cs="Arial"/>
          <w:b/>
        </w:rPr>
      </w:pPr>
      <w:r>
        <w:rPr>
          <w:rFonts w:ascii="Arial" w:hAnsi="Arial" w:cs="Arial"/>
          <w:bCs/>
        </w:rPr>
        <w:t>FAB-ACES paper? Read to get ideas</w:t>
      </w:r>
    </w:p>
    <w:p w14:paraId="4686181E" w14:textId="0647871E" w:rsidR="00522057" w:rsidRPr="00522057" w:rsidRDefault="00522057" w:rsidP="00522057">
      <w:pPr>
        <w:pStyle w:val="ListParagraph"/>
        <w:numPr>
          <w:ilvl w:val="0"/>
          <w:numId w:val="4"/>
        </w:numPr>
        <w:rPr>
          <w:rFonts w:ascii="Arial" w:hAnsi="Arial" w:cs="Arial"/>
          <w:b/>
        </w:rPr>
      </w:pPr>
      <w:r>
        <w:rPr>
          <w:rFonts w:ascii="Arial" w:hAnsi="Arial" w:cs="Arial"/>
          <w:bCs/>
        </w:rPr>
        <w:t xml:space="preserve">The importance of these two mechanisms to overall community functioning will depend on </w:t>
      </w:r>
    </w:p>
    <w:p w14:paraId="78A98D6E" w14:textId="0ADF4C5E" w:rsidR="00C75355" w:rsidRPr="00C75355" w:rsidRDefault="00C75355" w:rsidP="00C75355">
      <w:pPr>
        <w:pStyle w:val="ListParagraph"/>
        <w:numPr>
          <w:ilvl w:val="0"/>
          <w:numId w:val="4"/>
        </w:numPr>
        <w:rPr>
          <w:rFonts w:ascii="Arial" w:hAnsi="Arial" w:cs="Arial"/>
          <w:b/>
        </w:rPr>
      </w:pPr>
      <w:r>
        <w:rPr>
          <w:rFonts w:ascii="Arial" w:hAnsi="Arial" w:cs="Arial"/>
          <w:bCs/>
        </w:rPr>
        <w:t>Site heterogeneity</w:t>
      </w:r>
    </w:p>
    <w:p w14:paraId="33815691" w14:textId="7B5198D2" w:rsidR="00C75355" w:rsidRPr="00C75355" w:rsidRDefault="00C75355" w:rsidP="00C75355">
      <w:pPr>
        <w:pStyle w:val="ListParagraph"/>
        <w:numPr>
          <w:ilvl w:val="1"/>
          <w:numId w:val="4"/>
        </w:numPr>
        <w:rPr>
          <w:rFonts w:ascii="Arial" w:hAnsi="Arial" w:cs="Arial"/>
          <w:b/>
        </w:rPr>
      </w:pPr>
      <w:r>
        <w:rPr>
          <w:rFonts w:ascii="Arial" w:hAnsi="Arial" w:cs="Arial"/>
          <w:bCs/>
        </w:rPr>
        <w:t>While site characteristics are known to predict sensitivity to nutrient enrichment, these may also direct community response</w:t>
      </w:r>
    </w:p>
    <w:p w14:paraId="0460A974" w14:textId="41A3FBCD" w:rsidR="00C75355" w:rsidRPr="00C75355" w:rsidRDefault="00C75355" w:rsidP="00C75355">
      <w:pPr>
        <w:pStyle w:val="ListParagraph"/>
        <w:numPr>
          <w:ilvl w:val="1"/>
          <w:numId w:val="4"/>
        </w:numPr>
        <w:rPr>
          <w:rFonts w:ascii="Arial" w:hAnsi="Arial" w:cs="Arial"/>
          <w:b/>
        </w:rPr>
      </w:pPr>
      <w:r>
        <w:rPr>
          <w:rFonts w:ascii="Arial" w:hAnsi="Arial" w:cs="Arial"/>
          <w:bCs/>
        </w:rPr>
        <w:t xml:space="preserve">Site-level patterns of evolutionary characteristics are </w:t>
      </w:r>
      <w:proofErr w:type="gramStart"/>
      <w:r>
        <w:rPr>
          <w:rFonts w:ascii="Arial" w:hAnsi="Arial" w:cs="Arial"/>
          <w:bCs/>
        </w:rPr>
        <w:t>important;</w:t>
      </w:r>
      <w:proofErr w:type="gramEnd"/>
      <w:r>
        <w:rPr>
          <w:rFonts w:ascii="Arial" w:hAnsi="Arial" w:cs="Arial"/>
          <w:bCs/>
        </w:rPr>
        <w:tab/>
      </w:r>
    </w:p>
    <w:p w14:paraId="4AFFC3C9" w14:textId="74E8D035" w:rsidR="00C75355" w:rsidRPr="0071548A" w:rsidRDefault="00593DC9" w:rsidP="00C75355">
      <w:pPr>
        <w:pStyle w:val="ListParagraph"/>
        <w:numPr>
          <w:ilvl w:val="2"/>
          <w:numId w:val="4"/>
        </w:numPr>
        <w:rPr>
          <w:rFonts w:ascii="Arial" w:hAnsi="Arial" w:cs="Arial"/>
          <w:b/>
        </w:rPr>
      </w:pPr>
      <w:r>
        <w:rPr>
          <w:rFonts w:ascii="Arial" w:hAnsi="Arial" w:cs="Arial"/>
          <w:bCs/>
        </w:rPr>
        <w:t>Low dimensional responses at desert grassland sites, for example.</w:t>
      </w:r>
    </w:p>
    <w:p w14:paraId="22887013" w14:textId="02288D6D" w:rsidR="0071548A" w:rsidRPr="00C75355" w:rsidRDefault="0071548A" w:rsidP="0071548A">
      <w:pPr>
        <w:pStyle w:val="ListParagraph"/>
        <w:numPr>
          <w:ilvl w:val="1"/>
          <w:numId w:val="4"/>
        </w:numPr>
        <w:rPr>
          <w:rFonts w:ascii="Arial" w:hAnsi="Arial" w:cs="Arial"/>
          <w:b/>
        </w:rPr>
      </w:pPr>
      <w:r>
        <w:rPr>
          <w:rFonts w:ascii="Arial" w:hAnsi="Arial" w:cs="Arial"/>
          <w:b/>
        </w:rPr>
        <w:t>Mechanisms of coexistence critical to understanding response to global change factors</w:t>
      </w:r>
    </w:p>
    <w:p w14:paraId="15E10313" w14:textId="6FF52DE8" w:rsidR="00B46B13" w:rsidRDefault="00AB1B8F" w:rsidP="00AB1B8F">
      <w:pPr>
        <w:pStyle w:val="ListParagraph"/>
        <w:numPr>
          <w:ilvl w:val="0"/>
          <w:numId w:val="4"/>
        </w:numPr>
        <w:rPr>
          <w:rFonts w:ascii="Arial" w:hAnsi="Arial" w:cs="Arial"/>
          <w:bCs/>
        </w:rPr>
      </w:pPr>
      <w:r w:rsidRPr="00AB1B8F">
        <w:rPr>
          <w:rFonts w:ascii="Arial" w:hAnsi="Arial" w:cs="Arial"/>
          <w:bCs/>
        </w:rPr>
        <w:t>Plasticity in species response</w:t>
      </w:r>
    </w:p>
    <w:p w14:paraId="2BEEFDA4" w14:textId="0818F7F6" w:rsidR="00B7687C" w:rsidRDefault="00E37A35" w:rsidP="00AB1B8F">
      <w:pPr>
        <w:pStyle w:val="ListParagraph"/>
        <w:numPr>
          <w:ilvl w:val="0"/>
          <w:numId w:val="4"/>
        </w:numPr>
        <w:rPr>
          <w:rFonts w:ascii="Arial" w:hAnsi="Arial" w:cs="Arial"/>
          <w:bCs/>
        </w:rPr>
      </w:pPr>
      <w:r>
        <w:rPr>
          <w:rFonts w:ascii="Arial" w:hAnsi="Arial" w:cs="Arial"/>
          <w:bCs/>
        </w:rPr>
        <w:t>First global analysis of dimensionality of community response</w:t>
      </w:r>
    </w:p>
    <w:p w14:paraId="40ED5A4E" w14:textId="77777777" w:rsidR="00B7687C" w:rsidRDefault="00B7687C">
      <w:pPr>
        <w:rPr>
          <w:rFonts w:ascii="Arial" w:hAnsi="Arial" w:cs="Arial"/>
          <w:bCs/>
        </w:rPr>
      </w:pPr>
      <w:r>
        <w:rPr>
          <w:rFonts w:ascii="Arial" w:hAnsi="Arial" w:cs="Arial"/>
          <w:bCs/>
        </w:rPr>
        <w:br w:type="page"/>
      </w:r>
    </w:p>
    <w:p w14:paraId="7CDE0F69" w14:textId="77777777" w:rsidR="00B7687C" w:rsidRPr="00B7687C" w:rsidRDefault="00B7687C" w:rsidP="00B7687C">
      <w:pPr>
        <w:widowControl w:val="0"/>
        <w:autoSpaceDE w:val="0"/>
        <w:autoSpaceDN w:val="0"/>
        <w:adjustRightInd w:val="0"/>
        <w:spacing w:line="240" w:lineRule="auto"/>
        <w:ind w:left="480" w:hanging="480"/>
        <w:rPr>
          <w:rFonts w:ascii="Arial" w:hAnsi="Arial" w:cs="Arial"/>
          <w:b/>
        </w:rPr>
      </w:pPr>
      <w:r w:rsidRPr="00B7687C">
        <w:rPr>
          <w:rFonts w:ascii="Arial" w:hAnsi="Arial" w:cs="Arial"/>
          <w:b/>
        </w:rPr>
        <w:lastRenderedPageBreak/>
        <w:t>References</w:t>
      </w:r>
    </w:p>
    <w:p w14:paraId="5FB5D73F" w14:textId="66C3B405"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Pr="00B7687C">
        <w:rPr>
          <w:rFonts w:ascii="Arial" w:hAnsi="Arial" w:cs="Arial"/>
          <w:noProof/>
          <w:szCs w:val="24"/>
        </w:rPr>
        <w:t>Ågren, G. I. 2008. Stoichiometry and Nutrition of Plant Growth in Natural Communities. Annual Review of Ecology, Evolution, and Systematics 39:153–170.</w:t>
      </w:r>
    </w:p>
    <w:p w14:paraId="5E0F6952"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Chapin, F. S. 1980. The Mineral Nutrition of Wild Plants. Annual Review of Ecology and Systematics 11:233–260.</w:t>
      </w:r>
    </w:p>
    <w:p w14:paraId="10485C0A"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DeMalach, N., and R. Kadmon. 2017. Light competition explains diversity decline better than niche dimensionality. Functional Ecology 31:1834–1838.</w:t>
      </w:r>
    </w:p>
    <w:p w14:paraId="42FF98AA"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Dybzinski, R., and D. Tilman. 2007. Resource use patterns predict long-term outcomes of plant competition for nutrients and light. American Naturalist 170:305–318.</w:t>
      </w:r>
    </w:p>
    <w:p w14:paraId="629091F7"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Fay, P. A., S. M. Prober, W. S. Harpole, J. M. H. Knops, J. D. Bakker, E. T. Borer, E. M. Lind, A. S. MacDougall, E. W. Seabloom, P. D. Wragg, P. B. Adler, D. M. Blumenthal, Y. M. Buckley, C. Chu, E. E. Cleland, S. L. Collins, K. F. Davies, G. Du, X. Feng, J. Firn, D. S. Gruner, N. Hagenah, Y. Hautier, R. W. Heckman, V. L. Jin, K. P. Kirkman, J. Klein, L. M. Ladwig, Q. Li, R. L. McCulley, B. A. Melbourne, C. E. Mitchell, J. L. Moore, J. W. Morgan, A. C. Risch, M. Schütz, C. J. Stevens, D. A. Wedin, and L. H. Yang. 2015. Grassland productivity limited by multiple nutrients. Nature Plants 1:1–5.</w:t>
      </w:r>
    </w:p>
    <w:p w14:paraId="5F3C9342"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31EA45B6"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Güsewell, S. 2004. N:P ratios in terrestrial plants: Variation and functional significance. New Phytologist 164:243–266.</w:t>
      </w:r>
    </w:p>
    <w:p w14:paraId="03811ED4"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0B8857FA"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08A3C4B3"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Harpole, W. S., and D. Tilman. 2007. Grassland species loss resulting from reduced niche dimension. Nature 446:791–793.</w:t>
      </w:r>
    </w:p>
    <w:p w14:paraId="0DBDC752"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Hautier, Y., P. a Niklaus, and A. Hector. 2009. Competition for light causes plant biodiversity loss after eutrophication. Science (New York, N.Y.) 324:636–638.</w:t>
      </w:r>
    </w:p>
    <w:p w14:paraId="4494426C"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Hautier, Y., E. Vojtech, and A. Hector. 2018. The importance of competition for light depends on productivity and disturbance. Ecology and Evolution 8:10655–10661.</w:t>
      </w:r>
    </w:p>
    <w:p w14:paraId="06C4F477"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lastRenderedPageBreak/>
        <w:t>Knecht, M. F., and A. Göransson. 2004. Terrestrial plants require nutrients in similar proportions. Tree Physiology 24:447–460.</w:t>
      </w:r>
    </w:p>
    <w:p w14:paraId="4CE33ACB"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Lambers, H., J. A. Raven, G. R. Shaver, and S. E. Smith. 2008. Plant nutrient-acquisition strategies change with soil age. Trends in Ecology and Evolution 23:95–103.</w:t>
      </w:r>
    </w:p>
    <w:p w14:paraId="4453551D"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Mattson, D. A., and W. J. Herms. 1992. The Dilemma of Plants: To Grow or Defend. The Quarterly Review of Biology 67:283–335.</w:t>
      </w:r>
    </w:p>
    <w:p w14:paraId="4BF50B6E"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Pacala, S. W., and M. Rees. 1998. Models suggesting field experiments to test two hypotheses explaining successional diversity. The American naturalist 152:729–737.</w:t>
      </w:r>
    </w:p>
    <w:p w14:paraId="12C46942"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Passarge, J., S. Hol, M. Escher, and J. Huisman. 2006. Competition for nutrients and light: Stable coexistence, alternative stable states, or competitive exclusion? Ecological Monographs 76:57–72.</w:t>
      </w:r>
    </w:p>
    <w:p w14:paraId="1406CAD7"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63A066FB"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Tilman, D. 1994. Competition and Biodiversity in Spatially Structured Habitats. Ecology 75:2–16.</w:t>
      </w:r>
    </w:p>
    <w:p w14:paraId="1B9B92F6"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szCs w:val="24"/>
        </w:rPr>
      </w:pPr>
      <w:r w:rsidRPr="00B7687C">
        <w:rPr>
          <w:rFonts w:ascii="Arial" w:hAnsi="Arial" w:cs="Arial"/>
          <w:noProof/>
          <w:szCs w:val="24"/>
        </w:rPr>
        <w:t>Tilman, G. D. 1984. Plant Dominance Along an Experimental Nutrient Gradient. Ecology 65:1445–1453.</w:t>
      </w:r>
    </w:p>
    <w:p w14:paraId="3A61B0CC" w14:textId="77777777" w:rsidR="00B7687C" w:rsidRPr="00B7687C" w:rsidRDefault="00B7687C" w:rsidP="00B7687C">
      <w:pPr>
        <w:widowControl w:val="0"/>
        <w:autoSpaceDE w:val="0"/>
        <w:autoSpaceDN w:val="0"/>
        <w:adjustRightInd w:val="0"/>
        <w:spacing w:line="240" w:lineRule="auto"/>
        <w:ind w:left="480" w:hanging="480"/>
        <w:rPr>
          <w:rFonts w:ascii="Arial" w:hAnsi="Arial" w:cs="Arial"/>
          <w:noProof/>
        </w:rPr>
      </w:pPr>
      <w:r w:rsidRPr="00B7687C">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0070F2A3" w14:textId="416DCD3B" w:rsidR="00E37A35" w:rsidRPr="00B7687C" w:rsidRDefault="00B7687C" w:rsidP="00B7687C">
      <w:pPr>
        <w:rPr>
          <w:rFonts w:ascii="Arial" w:hAnsi="Arial" w:cs="Arial"/>
          <w:bCs/>
        </w:rPr>
      </w:pPr>
      <w:r>
        <w:rPr>
          <w:rFonts w:ascii="Arial" w:hAnsi="Arial" w:cs="Arial"/>
          <w:bCs/>
        </w:rPr>
        <w:fldChar w:fldCharType="end"/>
      </w:r>
    </w:p>
    <w:sectPr w:rsidR="00E37A35" w:rsidRPr="00B76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78482" w14:textId="77777777" w:rsidR="00DF171F" w:rsidRDefault="00DF171F" w:rsidP="00D253DD">
      <w:pPr>
        <w:spacing w:after="0" w:line="240" w:lineRule="auto"/>
      </w:pPr>
      <w:r>
        <w:separator/>
      </w:r>
    </w:p>
  </w:endnote>
  <w:endnote w:type="continuationSeparator" w:id="0">
    <w:p w14:paraId="27A952A5" w14:textId="77777777" w:rsidR="00DF171F" w:rsidRDefault="00DF171F"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9BD59" w14:textId="77777777" w:rsidR="00DF171F" w:rsidRDefault="00DF171F" w:rsidP="00D253DD">
      <w:pPr>
        <w:spacing w:after="0" w:line="240" w:lineRule="auto"/>
      </w:pPr>
      <w:r>
        <w:separator/>
      </w:r>
    </w:p>
  </w:footnote>
  <w:footnote w:type="continuationSeparator" w:id="0">
    <w:p w14:paraId="7DA73652" w14:textId="77777777" w:rsidR="00DF171F" w:rsidRDefault="00DF171F"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1114E"/>
    <w:rsid w:val="00014588"/>
    <w:rsid w:val="00014F1D"/>
    <w:rsid w:val="000202B3"/>
    <w:rsid w:val="00022761"/>
    <w:rsid w:val="00022890"/>
    <w:rsid w:val="00024987"/>
    <w:rsid w:val="00027F3A"/>
    <w:rsid w:val="00033C88"/>
    <w:rsid w:val="00033D5C"/>
    <w:rsid w:val="00036BAD"/>
    <w:rsid w:val="00041177"/>
    <w:rsid w:val="000444EA"/>
    <w:rsid w:val="000472B9"/>
    <w:rsid w:val="00051869"/>
    <w:rsid w:val="0005308C"/>
    <w:rsid w:val="00056516"/>
    <w:rsid w:val="00063FD5"/>
    <w:rsid w:val="00074B53"/>
    <w:rsid w:val="000773F8"/>
    <w:rsid w:val="000778D8"/>
    <w:rsid w:val="00082EEB"/>
    <w:rsid w:val="00084C54"/>
    <w:rsid w:val="00085AD1"/>
    <w:rsid w:val="00087492"/>
    <w:rsid w:val="00093E8E"/>
    <w:rsid w:val="000943D7"/>
    <w:rsid w:val="000A00A2"/>
    <w:rsid w:val="000A094D"/>
    <w:rsid w:val="000A2769"/>
    <w:rsid w:val="000A338A"/>
    <w:rsid w:val="000A3976"/>
    <w:rsid w:val="000B0469"/>
    <w:rsid w:val="000B656A"/>
    <w:rsid w:val="000B6936"/>
    <w:rsid w:val="000C1A95"/>
    <w:rsid w:val="000C367D"/>
    <w:rsid w:val="000C463D"/>
    <w:rsid w:val="000C75AC"/>
    <w:rsid w:val="000D0932"/>
    <w:rsid w:val="000D1D59"/>
    <w:rsid w:val="000D31B5"/>
    <w:rsid w:val="000E0FCC"/>
    <w:rsid w:val="000F04B7"/>
    <w:rsid w:val="000F0630"/>
    <w:rsid w:val="000F4B98"/>
    <w:rsid w:val="000F6B7E"/>
    <w:rsid w:val="00100A81"/>
    <w:rsid w:val="00101432"/>
    <w:rsid w:val="00102BB1"/>
    <w:rsid w:val="00105150"/>
    <w:rsid w:val="001103A2"/>
    <w:rsid w:val="00111A40"/>
    <w:rsid w:val="00117E5E"/>
    <w:rsid w:val="00120CA8"/>
    <w:rsid w:val="001227C5"/>
    <w:rsid w:val="00127AFD"/>
    <w:rsid w:val="00130588"/>
    <w:rsid w:val="00133CCE"/>
    <w:rsid w:val="001361E1"/>
    <w:rsid w:val="00141EA9"/>
    <w:rsid w:val="001476F3"/>
    <w:rsid w:val="00151718"/>
    <w:rsid w:val="00152B6D"/>
    <w:rsid w:val="00153AC2"/>
    <w:rsid w:val="00160F6F"/>
    <w:rsid w:val="0016419F"/>
    <w:rsid w:val="00177B10"/>
    <w:rsid w:val="00180676"/>
    <w:rsid w:val="001811E4"/>
    <w:rsid w:val="001816B3"/>
    <w:rsid w:val="00183192"/>
    <w:rsid w:val="001853DA"/>
    <w:rsid w:val="00190CCF"/>
    <w:rsid w:val="00192170"/>
    <w:rsid w:val="00193437"/>
    <w:rsid w:val="0019467D"/>
    <w:rsid w:val="00196537"/>
    <w:rsid w:val="001A0100"/>
    <w:rsid w:val="001A0448"/>
    <w:rsid w:val="001A12D1"/>
    <w:rsid w:val="001B0D07"/>
    <w:rsid w:val="001B27B0"/>
    <w:rsid w:val="001B45BE"/>
    <w:rsid w:val="001B582A"/>
    <w:rsid w:val="001B64D2"/>
    <w:rsid w:val="001B69B5"/>
    <w:rsid w:val="001C5F68"/>
    <w:rsid w:val="001C62B6"/>
    <w:rsid w:val="001D376A"/>
    <w:rsid w:val="001D414C"/>
    <w:rsid w:val="001D61A0"/>
    <w:rsid w:val="001E0B91"/>
    <w:rsid w:val="001E190D"/>
    <w:rsid w:val="001F4702"/>
    <w:rsid w:val="001F5C10"/>
    <w:rsid w:val="001F72E1"/>
    <w:rsid w:val="00201D49"/>
    <w:rsid w:val="00207162"/>
    <w:rsid w:val="0021309B"/>
    <w:rsid w:val="0021574F"/>
    <w:rsid w:val="00216002"/>
    <w:rsid w:val="00216F13"/>
    <w:rsid w:val="00216FA1"/>
    <w:rsid w:val="002200A4"/>
    <w:rsid w:val="002212AE"/>
    <w:rsid w:val="002261C2"/>
    <w:rsid w:val="00226D34"/>
    <w:rsid w:val="00226DDB"/>
    <w:rsid w:val="00232EED"/>
    <w:rsid w:val="002360D5"/>
    <w:rsid w:val="002368B4"/>
    <w:rsid w:val="0023694C"/>
    <w:rsid w:val="00241FBC"/>
    <w:rsid w:val="002441AF"/>
    <w:rsid w:val="00247520"/>
    <w:rsid w:val="0025067B"/>
    <w:rsid w:val="00250A04"/>
    <w:rsid w:val="002548AC"/>
    <w:rsid w:val="00254B9A"/>
    <w:rsid w:val="00254C06"/>
    <w:rsid w:val="002559EA"/>
    <w:rsid w:val="00257821"/>
    <w:rsid w:val="00260CBE"/>
    <w:rsid w:val="002648A7"/>
    <w:rsid w:val="002708BE"/>
    <w:rsid w:val="002744D0"/>
    <w:rsid w:val="002747E4"/>
    <w:rsid w:val="0027748D"/>
    <w:rsid w:val="00285DAA"/>
    <w:rsid w:val="00290C5A"/>
    <w:rsid w:val="002937A1"/>
    <w:rsid w:val="0029643C"/>
    <w:rsid w:val="00296F86"/>
    <w:rsid w:val="002A011F"/>
    <w:rsid w:val="002A10C5"/>
    <w:rsid w:val="002A3F75"/>
    <w:rsid w:val="002A768D"/>
    <w:rsid w:val="002B066D"/>
    <w:rsid w:val="002B176B"/>
    <w:rsid w:val="002B409E"/>
    <w:rsid w:val="002B7871"/>
    <w:rsid w:val="002C7699"/>
    <w:rsid w:val="002D0D4F"/>
    <w:rsid w:val="002D10C1"/>
    <w:rsid w:val="002D3D21"/>
    <w:rsid w:val="002D403D"/>
    <w:rsid w:val="002D53FC"/>
    <w:rsid w:val="002D786A"/>
    <w:rsid w:val="002E14AC"/>
    <w:rsid w:val="002E1C51"/>
    <w:rsid w:val="002E2614"/>
    <w:rsid w:val="002E31C6"/>
    <w:rsid w:val="002E3E7B"/>
    <w:rsid w:val="002E6DB1"/>
    <w:rsid w:val="002F0044"/>
    <w:rsid w:val="002F216E"/>
    <w:rsid w:val="002F449C"/>
    <w:rsid w:val="002F4677"/>
    <w:rsid w:val="002F4689"/>
    <w:rsid w:val="002F472D"/>
    <w:rsid w:val="002F4ADF"/>
    <w:rsid w:val="002F62EB"/>
    <w:rsid w:val="00303E7D"/>
    <w:rsid w:val="003045F4"/>
    <w:rsid w:val="00307586"/>
    <w:rsid w:val="00307621"/>
    <w:rsid w:val="00313AFE"/>
    <w:rsid w:val="00321871"/>
    <w:rsid w:val="0032386F"/>
    <w:rsid w:val="00324E82"/>
    <w:rsid w:val="003258C2"/>
    <w:rsid w:val="00336974"/>
    <w:rsid w:val="00337F21"/>
    <w:rsid w:val="00340589"/>
    <w:rsid w:val="00340BD9"/>
    <w:rsid w:val="00347932"/>
    <w:rsid w:val="00351E73"/>
    <w:rsid w:val="00354D6A"/>
    <w:rsid w:val="00356F57"/>
    <w:rsid w:val="003616DD"/>
    <w:rsid w:val="00362E72"/>
    <w:rsid w:val="003630FA"/>
    <w:rsid w:val="0036321B"/>
    <w:rsid w:val="0036597A"/>
    <w:rsid w:val="00370117"/>
    <w:rsid w:val="003701E2"/>
    <w:rsid w:val="0037021B"/>
    <w:rsid w:val="00373FB8"/>
    <w:rsid w:val="00376310"/>
    <w:rsid w:val="00377595"/>
    <w:rsid w:val="003775BD"/>
    <w:rsid w:val="0038775E"/>
    <w:rsid w:val="003879EF"/>
    <w:rsid w:val="003934BE"/>
    <w:rsid w:val="00394EB0"/>
    <w:rsid w:val="003A01E0"/>
    <w:rsid w:val="003A174E"/>
    <w:rsid w:val="003A22A5"/>
    <w:rsid w:val="003A2480"/>
    <w:rsid w:val="003A4463"/>
    <w:rsid w:val="003A5788"/>
    <w:rsid w:val="003B013C"/>
    <w:rsid w:val="003B22B2"/>
    <w:rsid w:val="003B2CD7"/>
    <w:rsid w:val="003B5F58"/>
    <w:rsid w:val="003B7E58"/>
    <w:rsid w:val="003C1674"/>
    <w:rsid w:val="003C718B"/>
    <w:rsid w:val="003D28AD"/>
    <w:rsid w:val="003D29CE"/>
    <w:rsid w:val="003D3739"/>
    <w:rsid w:val="003D5184"/>
    <w:rsid w:val="003D56EE"/>
    <w:rsid w:val="003D6478"/>
    <w:rsid w:val="003E002D"/>
    <w:rsid w:val="003F21C3"/>
    <w:rsid w:val="003F22B7"/>
    <w:rsid w:val="003F3272"/>
    <w:rsid w:val="003F6F1A"/>
    <w:rsid w:val="00400D94"/>
    <w:rsid w:val="00401455"/>
    <w:rsid w:val="004029C4"/>
    <w:rsid w:val="00410E07"/>
    <w:rsid w:val="004127E9"/>
    <w:rsid w:val="004137CA"/>
    <w:rsid w:val="00416384"/>
    <w:rsid w:val="00417EBD"/>
    <w:rsid w:val="004217D8"/>
    <w:rsid w:val="00423913"/>
    <w:rsid w:val="004259AA"/>
    <w:rsid w:val="004271E9"/>
    <w:rsid w:val="00427EAE"/>
    <w:rsid w:val="00435ECD"/>
    <w:rsid w:val="00441350"/>
    <w:rsid w:val="0044588F"/>
    <w:rsid w:val="00451B1D"/>
    <w:rsid w:val="00452F72"/>
    <w:rsid w:val="00460616"/>
    <w:rsid w:val="0046187B"/>
    <w:rsid w:val="00463DFE"/>
    <w:rsid w:val="00466760"/>
    <w:rsid w:val="00472D99"/>
    <w:rsid w:val="00486921"/>
    <w:rsid w:val="0048706F"/>
    <w:rsid w:val="00487487"/>
    <w:rsid w:val="00491160"/>
    <w:rsid w:val="0049192B"/>
    <w:rsid w:val="00491E89"/>
    <w:rsid w:val="00493680"/>
    <w:rsid w:val="004965E8"/>
    <w:rsid w:val="004A11E0"/>
    <w:rsid w:val="004A48EC"/>
    <w:rsid w:val="004A5532"/>
    <w:rsid w:val="004A5B3D"/>
    <w:rsid w:val="004A7148"/>
    <w:rsid w:val="004A78D6"/>
    <w:rsid w:val="004B043C"/>
    <w:rsid w:val="004B44E0"/>
    <w:rsid w:val="004B6B5B"/>
    <w:rsid w:val="004B7934"/>
    <w:rsid w:val="004C47A3"/>
    <w:rsid w:val="004C5B39"/>
    <w:rsid w:val="004D49D7"/>
    <w:rsid w:val="004D7777"/>
    <w:rsid w:val="004E3380"/>
    <w:rsid w:val="004E4355"/>
    <w:rsid w:val="004F1167"/>
    <w:rsid w:val="004F2018"/>
    <w:rsid w:val="004F5216"/>
    <w:rsid w:val="004F7DB3"/>
    <w:rsid w:val="00500004"/>
    <w:rsid w:val="00500611"/>
    <w:rsid w:val="00502835"/>
    <w:rsid w:val="00503275"/>
    <w:rsid w:val="0050512D"/>
    <w:rsid w:val="005059BA"/>
    <w:rsid w:val="005100D5"/>
    <w:rsid w:val="00510808"/>
    <w:rsid w:val="00512D75"/>
    <w:rsid w:val="005134FA"/>
    <w:rsid w:val="00522057"/>
    <w:rsid w:val="00522F21"/>
    <w:rsid w:val="005231C5"/>
    <w:rsid w:val="00527DA6"/>
    <w:rsid w:val="00531E4A"/>
    <w:rsid w:val="005357C8"/>
    <w:rsid w:val="005359D3"/>
    <w:rsid w:val="00536BD2"/>
    <w:rsid w:val="00546CA2"/>
    <w:rsid w:val="0055069A"/>
    <w:rsid w:val="0055376C"/>
    <w:rsid w:val="00554D0A"/>
    <w:rsid w:val="005568B4"/>
    <w:rsid w:val="00556B1D"/>
    <w:rsid w:val="00556DFB"/>
    <w:rsid w:val="0056197F"/>
    <w:rsid w:val="00574CB9"/>
    <w:rsid w:val="00575228"/>
    <w:rsid w:val="00575858"/>
    <w:rsid w:val="00576E84"/>
    <w:rsid w:val="0058457B"/>
    <w:rsid w:val="00585864"/>
    <w:rsid w:val="00585E30"/>
    <w:rsid w:val="005876CC"/>
    <w:rsid w:val="00587E49"/>
    <w:rsid w:val="005905E5"/>
    <w:rsid w:val="005906CF"/>
    <w:rsid w:val="0059081E"/>
    <w:rsid w:val="00591EC5"/>
    <w:rsid w:val="00593DC9"/>
    <w:rsid w:val="005941AE"/>
    <w:rsid w:val="00594F24"/>
    <w:rsid w:val="005A045B"/>
    <w:rsid w:val="005A10CE"/>
    <w:rsid w:val="005A493E"/>
    <w:rsid w:val="005A4CF3"/>
    <w:rsid w:val="005B1480"/>
    <w:rsid w:val="005B17D7"/>
    <w:rsid w:val="005B41FA"/>
    <w:rsid w:val="005C15EB"/>
    <w:rsid w:val="005C1FF9"/>
    <w:rsid w:val="005C29D2"/>
    <w:rsid w:val="005D032E"/>
    <w:rsid w:val="005D1827"/>
    <w:rsid w:val="005D1EC0"/>
    <w:rsid w:val="005D2058"/>
    <w:rsid w:val="005D233D"/>
    <w:rsid w:val="005D6743"/>
    <w:rsid w:val="005D7D0A"/>
    <w:rsid w:val="005E0582"/>
    <w:rsid w:val="005E1086"/>
    <w:rsid w:val="005E35A5"/>
    <w:rsid w:val="005E5412"/>
    <w:rsid w:val="005E65A5"/>
    <w:rsid w:val="005E7372"/>
    <w:rsid w:val="005F3FB6"/>
    <w:rsid w:val="005F5948"/>
    <w:rsid w:val="005F7B09"/>
    <w:rsid w:val="00601532"/>
    <w:rsid w:val="00602114"/>
    <w:rsid w:val="00602C91"/>
    <w:rsid w:val="00606D73"/>
    <w:rsid w:val="00607437"/>
    <w:rsid w:val="00607D38"/>
    <w:rsid w:val="006110F9"/>
    <w:rsid w:val="00612853"/>
    <w:rsid w:val="006129A3"/>
    <w:rsid w:val="006163E7"/>
    <w:rsid w:val="0061644B"/>
    <w:rsid w:val="006214EE"/>
    <w:rsid w:val="00625A0C"/>
    <w:rsid w:val="006347B4"/>
    <w:rsid w:val="00640319"/>
    <w:rsid w:val="00640702"/>
    <w:rsid w:val="00643D83"/>
    <w:rsid w:val="00645956"/>
    <w:rsid w:val="00645F4D"/>
    <w:rsid w:val="00646824"/>
    <w:rsid w:val="00646A52"/>
    <w:rsid w:val="00647ABB"/>
    <w:rsid w:val="00650F11"/>
    <w:rsid w:val="00651EF1"/>
    <w:rsid w:val="00653A14"/>
    <w:rsid w:val="00654230"/>
    <w:rsid w:val="006549AE"/>
    <w:rsid w:val="006556F7"/>
    <w:rsid w:val="00656500"/>
    <w:rsid w:val="006575DB"/>
    <w:rsid w:val="006671A6"/>
    <w:rsid w:val="0066728C"/>
    <w:rsid w:val="0067106A"/>
    <w:rsid w:val="00671457"/>
    <w:rsid w:val="00673DD3"/>
    <w:rsid w:val="00677C99"/>
    <w:rsid w:val="00690E36"/>
    <w:rsid w:val="00691900"/>
    <w:rsid w:val="00694220"/>
    <w:rsid w:val="006A0038"/>
    <w:rsid w:val="006A1432"/>
    <w:rsid w:val="006A37BB"/>
    <w:rsid w:val="006A3DD0"/>
    <w:rsid w:val="006A58F9"/>
    <w:rsid w:val="006B02F9"/>
    <w:rsid w:val="006B7EE7"/>
    <w:rsid w:val="006C4C7D"/>
    <w:rsid w:val="006C6D50"/>
    <w:rsid w:val="006D1630"/>
    <w:rsid w:val="006D3A8A"/>
    <w:rsid w:val="006D4E4F"/>
    <w:rsid w:val="006D55F6"/>
    <w:rsid w:val="006D623F"/>
    <w:rsid w:val="006D683D"/>
    <w:rsid w:val="006D722E"/>
    <w:rsid w:val="006E0557"/>
    <w:rsid w:val="006E55D8"/>
    <w:rsid w:val="006F0B58"/>
    <w:rsid w:val="006F607C"/>
    <w:rsid w:val="00703826"/>
    <w:rsid w:val="00705017"/>
    <w:rsid w:val="007065DB"/>
    <w:rsid w:val="00706939"/>
    <w:rsid w:val="00712928"/>
    <w:rsid w:val="00713FE8"/>
    <w:rsid w:val="0071548A"/>
    <w:rsid w:val="007202C6"/>
    <w:rsid w:val="00720AA0"/>
    <w:rsid w:val="00723637"/>
    <w:rsid w:val="00723EFF"/>
    <w:rsid w:val="0072569F"/>
    <w:rsid w:val="00725AAA"/>
    <w:rsid w:val="00726BF5"/>
    <w:rsid w:val="00731482"/>
    <w:rsid w:val="00731617"/>
    <w:rsid w:val="00732799"/>
    <w:rsid w:val="00735F0B"/>
    <w:rsid w:val="007364F6"/>
    <w:rsid w:val="00742182"/>
    <w:rsid w:val="00743477"/>
    <w:rsid w:val="00745979"/>
    <w:rsid w:val="00754F85"/>
    <w:rsid w:val="0076069F"/>
    <w:rsid w:val="00762874"/>
    <w:rsid w:val="00762DB9"/>
    <w:rsid w:val="00762DE7"/>
    <w:rsid w:val="00763402"/>
    <w:rsid w:val="00763604"/>
    <w:rsid w:val="007648EF"/>
    <w:rsid w:val="00771916"/>
    <w:rsid w:val="00772487"/>
    <w:rsid w:val="007740A0"/>
    <w:rsid w:val="00774FFB"/>
    <w:rsid w:val="007776A7"/>
    <w:rsid w:val="00782C1C"/>
    <w:rsid w:val="00782C2C"/>
    <w:rsid w:val="007835D1"/>
    <w:rsid w:val="00787436"/>
    <w:rsid w:val="00787748"/>
    <w:rsid w:val="007912FB"/>
    <w:rsid w:val="00795405"/>
    <w:rsid w:val="00795EA2"/>
    <w:rsid w:val="00796922"/>
    <w:rsid w:val="007971FD"/>
    <w:rsid w:val="007A06C6"/>
    <w:rsid w:val="007A1E0A"/>
    <w:rsid w:val="007A2E03"/>
    <w:rsid w:val="007A324B"/>
    <w:rsid w:val="007B1FED"/>
    <w:rsid w:val="007B36D5"/>
    <w:rsid w:val="007B3F55"/>
    <w:rsid w:val="007B513E"/>
    <w:rsid w:val="007B56D6"/>
    <w:rsid w:val="007B6F79"/>
    <w:rsid w:val="007B7292"/>
    <w:rsid w:val="007C0B33"/>
    <w:rsid w:val="007C30A9"/>
    <w:rsid w:val="007C4B4F"/>
    <w:rsid w:val="007C72CA"/>
    <w:rsid w:val="007C7827"/>
    <w:rsid w:val="007D000A"/>
    <w:rsid w:val="007D10E8"/>
    <w:rsid w:val="007D1A60"/>
    <w:rsid w:val="007D4AD5"/>
    <w:rsid w:val="007E0363"/>
    <w:rsid w:val="007E055E"/>
    <w:rsid w:val="007E0D97"/>
    <w:rsid w:val="007E209F"/>
    <w:rsid w:val="007E2D21"/>
    <w:rsid w:val="007E578F"/>
    <w:rsid w:val="007E72EB"/>
    <w:rsid w:val="007F0529"/>
    <w:rsid w:val="007F2B3F"/>
    <w:rsid w:val="007F378B"/>
    <w:rsid w:val="007F385E"/>
    <w:rsid w:val="007F479C"/>
    <w:rsid w:val="007F4E3F"/>
    <w:rsid w:val="007F6283"/>
    <w:rsid w:val="00805C45"/>
    <w:rsid w:val="00806992"/>
    <w:rsid w:val="008100C1"/>
    <w:rsid w:val="00813753"/>
    <w:rsid w:val="00813F5B"/>
    <w:rsid w:val="0081497A"/>
    <w:rsid w:val="00814FA0"/>
    <w:rsid w:val="00816ED4"/>
    <w:rsid w:val="00825646"/>
    <w:rsid w:val="008259B9"/>
    <w:rsid w:val="00825FC4"/>
    <w:rsid w:val="00837F9D"/>
    <w:rsid w:val="00845777"/>
    <w:rsid w:val="00846EC0"/>
    <w:rsid w:val="00851421"/>
    <w:rsid w:val="00853C9F"/>
    <w:rsid w:val="00854079"/>
    <w:rsid w:val="008541EE"/>
    <w:rsid w:val="00856CA0"/>
    <w:rsid w:val="00861A04"/>
    <w:rsid w:val="008665FC"/>
    <w:rsid w:val="00867F50"/>
    <w:rsid w:val="008734FE"/>
    <w:rsid w:val="00876057"/>
    <w:rsid w:val="00877298"/>
    <w:rsid w:val="00881B80"/>
    <w:rsid w:val="00882921"/>
    <w:rsid w:val="00884233"/>
    <w:rsid w:val="008858EA"/>
    <w:rsid w:val="0089329F"/>
    <w:rsid w:val="00894EED"/>
    <w:rsid w:val="0089537C"/>
    <w:rsid w:val="00895673"/>
    <w:rsid w:val="00895CBD"/>
    <w:rsid w:val="0089793B"/>
    <w:rsid w:val="008A0BAB"/>
    <w:rsid w:val="008A2082"/>
    <w:rsid w:val="008A54C8"/>
    <w:rsid w:val="008A73A0"/>
    <w:rsid w:val="008A7F33"/>
    <w:rsid w:val="008B1432"/>
    <w:rsid w:val="008B3E9D"/>
    <w:rsid w:val="008B4C50"/>
    <w:rsid w:val="008C0103"/>
    <w:rsid w:val="008C2CAD"/>
    <w:rsid w:val="008C3256"/>
    <w:rsid w:val="008C4C3C"/>
    <w:rsid w:val="008C5077"/>
    <w:rsid w:val="008C5E3F"/>
    <w:rsid w:val="008C7F43"/>
    <w:rsid w:val="008D0A89"/>
    <w:rsid w:val="008D44FA"/>
    <w:rsid w:val="008D6C56"/>
    <w:rsid w:val="008E143C"/>
    <w:rsid w:val="008E1497"/>
    <w:rsid w:val="008E37A5"/>
    <w:rsid w:val="008E517C"/>
    <w:rsid w:val="008E60DD"/>
    <w:rsid w:val="008E61DE"/>
    <w:rsid w:val="008E767D"/>
    <w:rsid w:val="008F1E65"/>
    <w:rsid w:val="008F5AF4"/>
    <w:rsid w:val="0090549C"/>
    <w:rsid w:val="0091035E"/>
    <w:rsid w:val="009106E5"/>
    <w:rsid w:val="00912529"/>
    <w:rsid w:val="00914BCA"/>
    <w:rsid w:val="00915A74"/>
    <w:rsid w:val="00920A7D"/>
    <w:rsid w:val="00921D5E"/>
    <w:rsid w:val="00924736"/>
    <w:rsid w:val="00925250"/>
    <w:rsid w:val="00926E88"/>
    <w:rsid w:val="009322B7"/>
    <w:rsid w:val="00936A5F"/>
    <w:rsid w:val="00936DA1"/>
    <w:rsid w:val="009437DE"/>
    <w:rsid w:val="00945227"/>
    <w:rsid w:val="00954863"/>
    <w:rsid w:val="00955D5C"/>
    <w:rsid w:val="009649A9"/>
    <w:rsid w:val="00971175"/>
    <w:rsid w:val="00971855"/>
    <w:rsid w:val="00972796"/>
    <w:rsid w:val="009728D9"/>
    <w:rsid w:val="0097524D"/>
    <w:rsid w:val="009772E6"/>
    <w:rsid w:val="00980144"/>
    <w:rsid w:val="0098062E"/>
    <w:rsid w:val="00992287"/>
    <w:rsid w:val="009930A3"/>
    <w:rsid w:val="00995061"/>
    <w:rsid w:val="009A0038"/>
    <w:rsid w:val="009A00BD"/>
    <w:rsid w:val="009A0989"/>
    <w:rsid w:val="009A0FA7"/>
    <w:rsid w:val="009A1ACE"/>
    <w:rsid w:val="009A2BD9"/>
    <w:rsid w:val="009A530D"/>
    <w:rsid w:val="009A77FA"/>
    <w:rsid w:val="009A7BC0"/>
    <w:rsid w:val="009B2111"/>
    <w:rsid w:val="009B42C1"/>
    <w:rsid w:val="009B6BAE"/>
    <w:rsid w:val="009C1412"/>
    <w:rsid w:val="009C1B2F"/>
    <w:rsid w:val="009C1D82"/>
    <w:rsid w:val="009C3317"/>
    <w:rsid w:val="009C4607"/>
    <w:rsid w:val="009C5A00"/>
    <w:rsid w:val="009C6206"/>
    <w:rsid w:val="009D18FB"/>
    <w:rsid w:val="009D391D"/>
    <w:rsid w:val="009D5479"/>
    <w:rsid w:val="009D6F55"/>
    <w:rsid w:val="009E7A12"/>
    <w:rsid w:val="009F264E"/>
    <w:rsid w:val="009F288A"/>
    <w:rsid w:val="009F40EF"/>
    <w:rsid w:val="009F4F0B"/>
    <w:rsid w:val="00A001D7"/>
    <w:rsid w:val="00A00E69"/>
    <w:rsid w:val="00A11D8C"/>
    <w:rsid w:val="00A13829"/>
    <w:rsid w:val="00A139B3"/>
    <w:rsid w:val="00A16F82"/>
    <w:rsid w:val="00A22314"/>
    <w:rsid w:val="00A23444"/>
    <w:rsid w:val="00A23CD5"/>
    <w:rsid w:val="00A24ADC"/>
    <w:rsid w:val="00A31212"/>
    <w:rsid w:val="00A31E3C"/>
    <w:rsid w:val="00A3542C"/>
    <w:rsid w:val="00A35972"/>
    <w:rsid w:val="00A37DC6"/>
    <w:rsid w:val="00A411A7"/>
    <w:rsid w:val="00A413F2"/>
    <w:rsid w:val="00A414DE"/>
    <w:rsid w:val="00A42E01"/>
    <w:rsid w:val="00A42E11"/>
    <w:rsid w:val="00A436CC"/>
    <w:rsid w:val="00A44CC4"/>
    <w:rsid w:val="00A46CDA"/>
    <w:rsid w:val="00A60401"/>
    <w:rsid w:val="00A6061D"/>
    <w:rsid w:val="00A62AAE"/>
    <w:rsid w:val="00A64686"/>
    <w:rsid w:val="00A64F19"/>
    <w:rsid w:val="00A675BB"/>
    <w:rsid w:val="00A67CD4"/>
    <w:rsid w:val="00A72AEF"/>
    <w:rsid w:val="00A74381"/>
    <w:rsid w:val="00A755A5"/>
    <w:rsid w:val="00A75ED1"/>
    <w:rsid w:val="00A768D0"/>
    <w:rsid w:val="00A81C17"/>
    <w:rsid w:val="00A84322"/>
    <w:rsid w:val="00A85EE4"/>
    <w:rsid w:val="00A86D2C"/>
    <w:rsid w:val="00A90237"/>
    <w:rsid w:val="00A92245"/>
    <w:rsid w:val="00A926C6"/>
    <w:rsid w:val="00A95548"/>
    <w:rsid w:val="00A95D98"/>
    <w:rsid w:val="00A967C8"/>
    <w:rsid w:val="00AA2B2A"/>
    <w:rsid w:val="00AA6483"/>
    <w:rsid w:val="00AB04E3"/>
    <w:rsid w:val="00AB1B8F"/>
    <w:rsid w:val="00AB1F64"/>
    <w:rsid w:val="00AB3528"/>
    <w:rsid w:val="00AC2699"/>
    <w:rsid w:val="00AC31C5"/>
    <w:rsid w:val="00AC5703"/>
    <w:rsid w:val="00AC5976"/>
    <w:rsid w:val="00AC6FF3"/>
    <w:rsid w:val="00AD0B11"/>
    <w:rsid w:val="00AD2D4B"/>
    <w:rsid w:val="00AD4040"/>
    <w:rsid w:val="00AD6449"/>
    <w:rsid w:val="00AE11A0"/>
    <w:rsid w:val="00AE5163"/>
    <w:rsid w:val="00AE63C5"/>
    <w:rsid w:val="00AF5415"/>
    <w:rsid w:val="00B04604"/>
    <w:rsid w:val="00B0486B"/>
    <w:rsid w:val="00B04ED8"/>
    <w:rsid w:val="00B07A2A"/>
    <w:rsid w:val="00B24283"/>
    <w:rsid w:val="00B242F3"/>
    <w:rsid w:val="00B30374"/>
    <w:rsid w:val="00B332EA"/>
    <w:rsid w:val="00B339E6"/>
    <w:rsid w:val="00B3435B"/>
    <w:rsid w:val="00B364F9"/>
    <w:rsid w:val="00B37ED4"/>
    <w:rsid w:val="00B37F2F"/>
    <w:rsid w:val="00B43DAD"/>
    <w:rsid w:val="00B46B13"/>
    <w:rsid w:val="00B537A5"/>
    <w:rsid w:val="00B540A2"/>
    <w:rsid w:val="00B542E8"/>
    <w:rsid w:val="00B54870"/>
    <w:rsid w:val="00B6192D"/>
    <w:rsid w:val="00B6227F"/>
    <w:rsid w:val="00B66B09"/>
    <w:rsid w:val="00B67B81"/>
    <w:rsid w:val="00B72EED"/>
    <w:rsid w:val="00B75201"/>
    <w:rsid w:val="00B75CDE"/>
    <w:rsid w:val="00B7687C"/>
    <w:rsid w:val="00B93E14"/>
    <w:rsid w:val="00B95216"/>
    <w:rsid w:val="00B95E88"/>
    <w:rsid w:val="00B962A5"/>
    <w:rsid w:val="00BA22D5"/>
    <w:rsid w:val="00BA36CE"/>
    <w:rsid w:val="00BA6599"/>
    <w:rsid w:val="00BB4CB2"/>
    <w:rsid w:val="00BB6FE7"/>
    <w:rsid w:val="00BC2EBE"/>
    <w:rsid w:val="00BC3F06"/>
    <w:rsid w:val="00BD07BB"/>
    <w:rsid w:val="00BD15AB"/>
    <w:rsid w:val="00BD171E"/>
    <w:rsid w:val="00BD4E19"/>
    <w:rsid w:val="00BD6936"/>
    <w:rsid w:val="00BD699F"/>
    <w:rsid w:val="00BD72BD"/>
    <w:rsid w:val="00BD782D"/>
    <w:rsid w:val="00BE0915"/>
    <w:rsid w:val="00BE327D"/>
    <w:rsid w:val="00BE32EE"/>
    <w:rsid w:val="00BE5AE1"/>
    <w:rsid w:val="00BE7AB2"/>
    <w:rsid w:val="00BF2B9A"/>
    <w:rsid w:val="00BF323F"/>
    <w:rsid w:val="00BF352D"/>
    <w:rsid w:val="00C00ED6"/>
    <w:rsid w:val="00C03812"/>
    <w:rsid w:val="00C049DA"/>
    <w:rsid w:val="00C04B5C"/>
    <w:rsid w:val="00C10EA3"/>
    <w:rsid w:val="00C122BE"/>
    <w:rsid w:val="00C140A1"/>
    <w:rsid w:val="00C143A2"/>
    <w:rsid w:val="00C16329"/>
    <w:rsid w:val="00C2037B"/>
    <w:rsid w:val="00C2161E"/>
    <w:rsid w:val="00C25169"/>
    <w:rsid w:val="00C27FC9"/>
    <w:rsid w:val="00C3275A"/>
    <w:rsid w:val="00C32E55"/>
    <w:rsid w:val="00C338BA"/>
    <w:rsid w:val="00C36EF5"/>
    <w:rsid w:val="00C37E30"/>
    <w:rsid w:val="00C404C2"/>
    <w:rsid w:val="00C4294C"/>
    <w:rsid w:val="00C44942"/>
    <w:rsid w:val="00C476DB"/>
    <w:rsid w:val="00C4775C"/>
    <w:rsid w:val="00C51D00"/>
    <w:rsid w:val="00C55510"/>
    <w:rsid w:val="00C5778F"/>
    <w:rsid w:val="00C65258"/>
    <w:rsid w:val="00C657EE"/>
    <w:rsid w:val="00C75355"/>
    <w:rsid w:val="00C75C5B"/>
    <w:rsid w:val="00C7714A"/>
    <w:rsid w:val="00C77444"/>
    <w:rsid w:val="00C811A4"/>
    <w:rsid w:val="00C834B4"/>
    <w:rsid w:val="00C85569"/>
    <w:rsid w:val="00C86E24"/>
    <w:rsid w:val="00C9013A"/>
    <w:rsid w:val="00C9041F"/>
    <w:rsid w:val="00C92C83"/>
    <w:rsid w:val="00C93772"/>
    <w:rsid w:val="00C975E4"/>
    <w:rsid w:val="00CA16FE"/>
    <w:rsid w:val="00CA1B05"/>
    <w:rsid w:val="00CA3E45"/>
    <w:rsid w:val="00CA7D80"/>
    <w:rsid w:val="00CB0B56"/>
    <w:rsid w:val="00CB21D7"/>
    <w:rsid w:val="00CB38FE"/>
    <w:rsid w:val="00CB5B80"/>
    <w:rsid w:val="00CB682C"/>
    <w:rsid w:val="00CC0F0D"/>
    <w:rsid w:val="00CC1F87"/>
    <w:rsid w:val="00CC246C"/>
    <w:rsid w:val="00CC3017"/>
    <w:rsid w:val="00CC6FC3"/>
    <w:rsid w:val="00CC72EF"/>
    <w:rsid w:val="00CD08C3"/>
    <w:rsid w:val="00CD5880"/>
    <w:rsid w:val="00CD76BD"/>
    <w:rsid w:val="00CE38AF"/>
    <w:rsid w:val="00CE5182"/>
    <w:rsid w:val="00CE59BD"/>
    <w:rsid w:val="00CE6B0E"/>
    <w:rsid w:val="00CF0798"/>
    <w:rsid w:val="00CF2EBD"/>
    <w:rsid w:val="00CF6646"/>
    <w:rsid w:val="00CF7AA0"/>
    <w:rsid w:val="00D00F8F"/>
    <w:rsid w:val="00D01904"/>
    <w:rsid w:val="00D030AB"/>
    <w:rsid w:val="00D04B7A"/>
    <w:rsid w:val="00D05519"/>
    <w:rsid w:val="00D075B1"/>
    <w:rsid w:val="00D136BC"/>
    <w:rsid w:val="00D13A7C"/>
    <w:rsid w:val="00D14591"/>
    <w:rsid w:val="00D14EF8"/>
    <w:rsid w:val="00D2058F"/>
    <w:rsid w:val="00D20983"/>
    <w:rsid w:val="00D21A0E"/>
    <w:rsid w:val="00D22C19"/>
    <w:rsid w:val="00D23E62"/>
    <w:rsid w:val="00D2432C"/>
    <w:rsid w:val="00D253DD"/>
    <w:rsid w:val="00D319D7"/>
    <w:rsid w:val="00D37673"/>
    <w:rsid w:val="00D37889"/>
    <w:rsid w:val="00D41A56"/>
    <w:rsid w:val="00D41B68"/>
    <w:rsid w:val="00D4476E"/>
    <w:rsid w:val="00D55E54"/>
    <w:rsid w:val="00D56F3C"/>
    <w:rsid w:val="00D63D09"/>
    <w:rsid w:val="00D651A1"/>
    <w:rsid w:val="00D654E8"/>
    <w:rsid w:val="00D666CB"/>
    <w:rsid w:val="00D67AD9"/>
    <w:rsid w:val="00D71C7A"/>
    <w:rsid w:val="00D73129"/>
    <w:rsid w:val="00D77532"/>
    <w:rsid w:val="00D81792"/>
    <w:rsid w:val="00D9032F"/>
    <w:rsid w:val="00D905E3"/>
    <w:rsid w:val="00D95146"/>
    <w:rsid w:val="00D95E08"/>
    <w:rsid w:val="00D96A24"/>
    <w:rsid w:val="00DA18A7"/>
    <w:rsid w:val="00DA6E28"/>
    <w:rsid w:val="00DB5B8B"/>
    <w:rsid w:val="00DB6533"/>
    <w:rsid w:val="00DB6B98"/>
    <w:rsid w:val="00DB6E5A"/>
    <w:rsid w:val="00DB6E94"/>
    <w:rsid w:val="00DC0BED"/>
    <w:rsid w:val="00DC216D"/>
    <w:rsid w:val="00DC3818"/>
    <w:rsid w:val="00DC3E9D"/>
    <w:rsid w:val="00DC504E"/>
    <w:rsid w:val="00DC6D2D"/>
    <w:rsid w:val="00DD0C17"/>
    <w:rsid w:val="00DD362F"/>
    <w:rsid w:val="00DD7E5B"/>
    <w:rsid w:val="00DE04CF"/>
    <w:rsid w:val="00DE0C21"/>
    <w:rsid w:val="00DE41EA"/>
    <w:rsid w:val="00DE5808"/>
    <w:rsid w:val="00DF171F"/>
    <w:rsid w:val="00DF299A"/>
    <w:rsid w:val="00DF35A1"/>
    <w:rsid w:val="00E02A28"/>
    <w:rsid w:val="00E03A76"/>
    <w:rsid w:val="00E15CFE"/>
    <w:rsid w:val="00E20419"/>
    <w:rsid w:val="00E2058A"/>
    <w:rsid w:val="00E21518"/>
    <w:rsid w:val="00E227E8"/>
    <w:rsid w:val="00E27A68"/>
    <w:rsid w:val="00E27D0A"/>
    <w:rsid w:val="00E307DE"/>
    <w:rsid w:val="00E3732C"/>
    <w:rsid w:val="00E37A35"/>
    <w:rsid w:val="00E45C93"/>
    <w:rsid w:val="00E47234"/>
    <w:rsid w:val="00E47EEB"/>
    <w:rsid w:val="00E53802"/>
    <w:rsid w:val="00E5571C"/>
    <w:rsid w:val="00E623ED"/>
    <w:rsid w:val="00E63ABE"/>
    <w:rsid w:val="00E645A4"/>
    <w:rsid w:val="00E66BD6"/>
    <w:rsid w:val="00E70552"/>
    <w:rsid w:val="00E70D66"/>
    <w:rsid w:val="00E72FD9"/>
    <w:rsid w:val="00E808CD"/>
    <w:rsid w:val="00E853F6"/>
    <w:rsid w:val="00E90165"/>
    <w:rsid w:val="00E90D5C"/>
    <w:rsid w:val="00E9431D"/>
    <w:rsid w:val="00E974E7"/>
    <w:rsid w:val="00E97FEA"/>
    <w:rsid w:val="00EA1865"/>
    <w:rsid w:val="00EA25EC"/>
    <w:rsid w:val="00EA3CC8"/>
    <w:rsid w:val="00EA74DD"/>
    <w:rsid w:val="00EB3729"/>
    <w:rsid w:val="00EB627A"/>
    <w:rsid w:val="00EB7EF6"/>
    <w:rsid w:val="00EC14BC"/>
    <w:rsid w:val="00EC2FD8"/>
    <w:rsid w:val="00EC4FCE"/>
    <w:rsid w:val="00EC5354"/>
    <w:rsid w:val="00EC71F4"/>
    <w:rsid w:val="00EC7CCF"/>
    <w:rsid w:val="00ED1879"/>
    <w:rsid w:val="00ED3A53"/>
    <w:rsid w:val="00ED3EAA"/>
    <w:rsid w:val="00ED490E"/>
    <w:rsid w:val="00ED66F8"/>
    <w:rsid w:val="00ED68C7"/>
    <w:rsid w:val="00EF0C9A"/>
    <w:rsid w:val="00EF0EB3"/>
    <w:rsid w:val="00EF0F9E"/>
    <w:rsid w:val="00EF297E"/>
    <w:rsid w:val="00EF3633"/>
    <w:rsid w:val="00EF3A47"/>
    <w:rsid w:val="00EF6427"/>
    <w:rsid w:val="00EF74C6"/>
    <w:rsid w:val="00F030CF"/>
    <w:rsid w:val="00F10C75"/>
    <w:rsid w:val="00F1346C"/>
    <w:rsid w:val="00F13D22"/>
    <w:rsid w:val="00F14A13"/>
    <w:rsid w:val="00F14FF9"/>
    <w:rsid w:val="00F16891"/>
    <w:rsid w:val="00F2333C"/>
    <w:rsid w:val="00F24301"/>
    <w:rsid w:val="00F27185"/>
    <w:rsid w:val="00F273B8"/>
    <w:rsid w:val="00F3013C"/>
    <w:rsid w:val="00F30E1E"/>
    <w:rsid w:val="00F32EF8"/>
    <w:rsid w:val="00F34840"/>
    <w:rsid w:val="00F436F2"/>
    <w:rsid w:val="00F4536F"/>
    <w:rsid w:val="00F458E0"/>
    <w:rsid w:val="00F57EE2"/>
    <w:rsid w:val="00F60820"/>
    <w:rsid w:val="00F63531"/>
    <w:rsid w:val="00F71FB7"/>
    <w:rsid w:val="00F7245F"/>
    <w:rsid w:val="00F7315F"/>
    <w:rsid w:val="00F73397"/>
    <w:rsid w:val="00F8115E"/>
    <w:rsid w:val="00F83071"/>
    <w:rsid w:val="00F8487F"/>
    <w:rsid w:val="00F876C8"/>
    <w:rsid w:val="00F87D8B"/>
    <w:rsid w:val="00F92218"/>
    <w:rsid w:val="00F94B56"/>
    <w:rsid w:val="00F96609"/>
    <w:rsid w:val="00F96AE2"/>
    <w:rsid w:val="00F96CB3"/>
    <w:rsid w:val="00F973D1"/>
    <w:rsid w:val="00FA0B28"/>
    <w:rsid w:val="00FA3365"/>
    <w:rsid w:val="00FA7EC9"/>
    <w:rsid w:val="00FB09F5"/>
    <w:rsid w:val="00FB1706"/>
    <w:rsid w:val="00FB1827"/>
    <w:rsid w:val="00FB1FB9"/>
    <w:rsid w:val="00FB28C7"/>
    <w:rsid w:val="00FB6A59"/>
    <w:rsid w:val="00FC306A"/>
    <w:rsid w:val="00FC4852"/>
    <w:rsid w:val="00FC506E"/>
    <w:rsid w:val="00FC7015"/>
    <w:rsid w:val="00FD0BA6"/>
    <w:rsid w:val="00FD11AD"/>
    <w:rsid w:val="00FD7449"/>
    <w:rsid w:val="00FD757D"/>
    <w:rsid w:val="00FE185A"/>
    <w:rsid w:val="00FF3BB5"/>
    <w:rsid w:val="00FF3BCE"/>
    <w:rsid w:val="00FF5368"/>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tnet.org/exp_protoco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9809</TotalTime>
  <Pages>11</Pages>
  <Words>14472</Words>
  <Characters>82494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966</cp:revision>
  <dcterms:created xsi:type="dcterms:W3CDTF">2020-06-29T19:18:00Z</dcterms:created>
  <dcterms:modified xsi:type="dcterms:W3CDTF">2020-07-15T22:44:00Z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