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A10AD" w14:textId="41F1DA75" w:rsidR="00FA0B28" w:rsidRDefault="00FA0B28" w:rsidP="00FA0B28">
      <w:pPr>
        <w:rPr>
          <w:rFonts w:ascii="Arial" w:hAnsi="Arial" w:cs="Arial"/>
          <w:b/>
        </w:rPr>
      </w:pPr>
      <w:r w:rsidRPr="007C1027">
        <w:rPr>
          <w:rFonts w:ascii="Arial" w:hAnsi="Arial" w:cs="Arial"/>
          <w:b/>
        </w:rPr>
        <w:t>Introduction</w:t>
      </w:r>
    </w:p>
    <w:p w14:paraId="29D2EACA" w14:textId="2C9CC4AD" w:rsidR="00D20983" w:rsidRPr="00A42E11" w:rsidRDefault="00BD171E" w:rsidP="00FA0B28">
      <w:pPr>
        <w:rPr>
          <w:rFonts w:ascii="Arial" w:hAnsi="Arial" w:cs="Arial"/>
          <w:bCs/>
        </w:rPr>
      </w:pPr>
      <w:r w:rsidRPr="00BD171E">
        <w:rPr>
          <w:rFonts w:ascii="Arial" w:hAnsi="Arial" w:cs="Arial"/>
          <w:bCs/>
        </w:rPr>
        <w:t xml:space="preserve">In </w:t>
      </w:r>
      <w:r>
        <w:rPr>
          <w:rFonts w:ascii="Arial" w:hAnsi="Arial" w:cs="Arial"/>
          <w:bCs/>
        </w:rPr>
        <w:t xml:space="preserve">terrestrial systems, coexistence among plant species </w:t>
      </w:r>
      <w:r w:rsidR="00A42E11">
        <w:rPr>
          <w:rFonts w:ascii="Arial" w:hAnsi="Arial" w:cs="Arial"/>
          <w:bCs/>
        </w:rPr>
        <w:t xml:space="preserve">is </w:t>
      </w:r>
      <w:r>
        <w:rPr>
          <w:rFonts w:ascii="Arial" w:hAnsi="Arial" w:cs="Arial"/>
          <w:bCs/>
        </w:rPr>
        <w:t>governed by competition for a shared set of limiting resources</w:t>
      </w:r>
      <w:r w:rsidR="00BD782D">
        <w:rPr>
          <w:rFonts w:ascii="Arial" w:hAnsi="Arial" w:cs="Arial"/>
          <w:bCs/>
        </w:rPr>
        <w:t xml:space="preserve">. </w:t>
      </w:r>
      <w:r w:rsidR="005E1086">
        <w:rPr>
          <w:rFonts w:ascii="Arial" w:hAnsi="Arial" w:cs="Arial"/>
          <w:bCs/>
        </w:rPr>
        <w:t xml:space="preserve">For stable coexistence </w:t>
      </w:r>
      <w:r w:rsidR="00BC2EBE">
        <w:rPr>
          <w:rFonts w:ascii="Arial" w:hAnsi="Arial" w:cs="Arial"/>
          <w:bCs/>
        </w:rPr>
        <w:t>to occur</w:t>
      </w:r>
      <w:r w:rsidR="005E1086">
        <w:rPr>
          <w:rFonts w:ascii="Arial" w:hAnsi="Arial" w:cs="Arial"/>
          <w:bCs/>
        </w:rPr>
        <w:t xml:space="preserve">, </w:t>
      </w:r>
      <w:r w:rsidR="001811E4">
        <w:rPr>
          <w:rFonts w:ascii="Arial" w:hAnsi="Arial" w:cs="Arial"/>
          <w:bCs/>
        </w:rPr>
        <w:t xml:space="preserve">niche theory </w:t>
      </w:r>
      <w:r w:rsidR="001476F3">
        <w:rPr>
          <w:rFonts w:ascii="Arial" w:hAnsi="Arial" w:cs="Arial"/>
          <w:bCs/>
        </w:rPr>
        <w:t>states</w:t>
      </w:r>
      <w:r w:rsidR="001811E4">
        <w:rPr>
          <w:rFonts w:ascii="Arial" w:hAnsi="Arial" w:cs="Arial"/>
          <w:bCs/>
        </w:rPr>
        <w:t xml:space="preserve"> that </w:t>
      </w:r>
      <w:r w:rsidR="00DF35A1">
        <w:rPr>
          <w:rFonts w:ascii="Arial" w:hAnsi="Arial" w:cs="Arial"/>
          <w:bCs/>
        </w:rPr>
        <w:t>trade-offs must exist between factors that affect plant growth</w:t>
      </w:r>
      <w:r w:rsidR="008100C1">
        <w:rPr>
          <w:rFonts w:ascii="Arial" w:hAnsi="Arial" w:cs="Arial"/>
          <w:bCs/>
        </w:rPr>
        <w:t xml:space="preserve"> to prevent competitive exclusion</w:t>
      </w:r>
      <w:r w:rsidR="00CC7F1F">
        <w:rPr>
          <w:rFonts w:ascii="Arial" w:hAnsi="Arial" w:cs="Arial"/>
          <w:bCs/>
        </w:rPr>
        <w:t xml:space="preserve"> </w:t>
      </w:r>
      <w:r w:rsidR="00CC7F1F">
        <w:rPr>
          <w:rFonts w:ascii="Arial" w:hAnsi="Arial" w:cs="Arial"/>
          <w:bCs/>
        </w:rPr>
        <w:fldChar w:fldCharType="begin" w:fldLock="1"/>
      </w:r>
      <w:r w:rsidR="00CC7F1F">
        <w:rPr>
          <w:rFonts w:ascii="Arial" w:hAnsi="Arial" w:cs="Arial"/>
          <w:bCs/>
        </w:rPr>
        <w:instrText>ADDIN CSL_CITATION {"citationItems":[{"id":"ITEM-1","itemData":{"author":[{"dropping-particle":"","family":"Hutchinson","given":"GE","non-dropping-particle":"","parse-names":false,"suffix":""}],"container-title":"Cold Spring Harbor Symposia on …","id":"ITEM-1","issued":{"date-parts":[["1957"]]},"title":"Concluding remarks","type":"article-journal"},"uris":["http://www.mendeley.com/documents/?uuid=8f0dd5d9-f973-4053-aff0-14050b65c507"]}],"mendeley":{"formattedCitation":"(Hutchinson 1957)","plainTextFormattedCitation":"(Hutchinson 1957)","previouslyFormattedCitation":"(Hutchinson 1957)"},"properties":{"noteIndex":0},"schema":"https://github.com/citation-style-language/schema/raw/master/csl-citation.json"}</w:instrText>
      </w:r>
      <w:r w:rsidR="00CC7F1F">
        <w:rPr>
          <w:rFonts w:ascii="Arial" w:hAnsi="Arial" w:cs="Arial"/>
          <w:bCs/>
        </w:rPr>
        <w:fldChar w:fldCharType="separate"/>
      </w:r>
      <w:r w:rsidR="00CC7F1F" w:rsidRPr="00CC7F1F">
        <w:rPr>
          <w:rFonts w:ascii="Arial" w:hAnsi="Arial" w:cs="Arial"/>
          <w:bCs/>
          <w:noProof/>
        </w:rPr>
        <w:t>(Hutchinson 1957)</w:t>
      </w:r>
      <w:r w:rsidR="00CC7F1F">
        <w:rPr>
          <w:rFonts w:ascii="Arial" w:hAnsi="Arial" w:cs="Arial"/>
          <w:bCs/>
        </w:rPr>
        <w:fldChar w:fldCharType="end"/>
      </w:r>
      <w:r w:rsidR="00C36EF5">
        <w:rPr>
          <w:rFonts w:ascii="Arial" w:hAnsi="Arial" w:cs="Arial"/>
          <w:bCs/>
        </w:rPr>
        <w:t>. As a result, i</w:t>
      </w:r>
      <w:r w:rsidR="00A42E11">
        <w:rPr>
          <w:rFonts w:ascii="Arial" w:hAnsi="Arial" w:cs="Arial"/>
          <w:bCs/>
        </w:rPr>
        <w:t xml:space="preserve">t is theorized that greater </w:t>
      </w:r>
      <w:r w:rsidR="00A42E11">
        <w:rPr>
          <w:rFonts w:ascii="Arial" w:hAnsi="Arial" w:cs="Arial"/>
          <w:bCs/>
          <w:i/>
          <w:iCs/>
        </w:rPr>
        <w:t>dimensionality</w:t>
      </w:r>
      <w:r w:rsidR="00A42E11">
        <w:rPr>
          <w:rFonts w:ascii="Arial" w:hAnsi="Arial" w:cs="Arial"/>
          <w:bCs/>
        </w:rPr>
        <w:t xml:space="preserve">, or the number of limiting </w:t>
      </w:r>
      <w:r w:rsidR="00DF35A1">
        <w:rPr>
          <w:rFonts w:ascii="Arial" w:hAnsi="Arial" w:cs="Arial"/>
          <w:bCs/>
        </w:rPr>
        <w:t xml:space="preserve">factors </w:t>
      </w:r>
      <w:r w:rsidR="00A42E11">
        <w:rPr>
          <w:rFonts w:ascii="Arial" w:hAnsi="Arial" w:cs="Arial"/>
          <w:bCs/>
        </w:rPr>
        <w:t xml:space="preserve">in a system, </w:t>
      </w:r>
      <w:r w:rsidR="008D6C56">
        <w:rPr>
          <w:rFonts w:ascii="Arial" w:hAnsi="Arial" w:cs="Arial"/>
          <w:bCs/>
        </w:rPr>
        <w:t>may confer more opportunities for these trade-offs to develop</w:t>
      </w:r>
      <w:r w:rsidR="00A1182F">
        <w:rPr>
          <w:rFonts w:ascii="Arial" w:hAnsi="Arial" w:cs="Arial"/>
          <w:bCs/>
        </w:rPr>
        <w:t xml:space="preserve"> </w:t>
      </w:r>
      <w:r w:rsidR="00A1182F">
        <w:rPr>
          <w:rFonts w:ascii="Arial" w:hAnsi="Arial" w:cs="Arial"/>
          <w:bCs/>
        </w:rPr>
        <w:fldChar w:fldCharType="begin" w:fldLock="1"/>
      </w:r>
      <w:r w:rsidR="00A1182F">
        <w:rPr>
          <w:rFonts w:ascii="Arial" w:hAnsi="Arial" w:cs="Arial"/>
          <w:bCs/>
        </w:rPr>
        <w:instrText>ADDIN CSL_CITATION {"citationItems":[{"id":"ITEM-1","itemData":{"DOI":"10.1073/pnas.0403458101","ISSN":"0027-8424","PMID":"15243158","abstract":"Stochastic niche theory resolves many of the differences between neutral theory and classical tradeoff-based niche theories of resource competition and community structure. In stochastic niche theory, invading species become established only if propagules can survive stochastic mortality while growing to maturity on the resources left unconsumed by established species. The theory makes three predictions about community structure. First, stochastic niche assembly creates communities in which species dominate approximately equally wide \"slices\" of the habitat's spatial heterogeneity. These niche widths generate realistic distributions of species relative abundances for which, contrary to neutral theory but consistent with numerous observations, there are strong correlations among species traits, species abundances, and environmental conditions. Second, slight decreases in resource levels are predicted to cause large decreases in the probability that a propagule would survive to be an adult. These decreases cause local diversity to be limited by the inhibitory effects of resource use by established species on the establishment (recruitment) of potential invaders. If resource pulses or disturbance allowed invaders to overcome this recruitment limitation, many more species could indefinitely coexist. Third, the low invasibility of high diversity communities is predicted to result not from diversity per se, but from the uniformly low levels of resources that occur in high-diversity communities created by stochastic competitive assembly. This prediction provides a potential solution to the invasion paradox, which is the tendency for highly diverse regions to be more heavily invaded.","author":[{"dropping-particle":"","family":"Tilman","given":"David","non-dropping-particle":"","parse-names":false,"suffix":""}],"container-title":"Proceedings of the National Academy of Sciences of the United States of America","id":"ITEM-1","issue":"30","issued":{"date-parts":[["2004","7","27"]]},"page":"10854-61","title":"Niche tradeoffs, neutrality, and community structure: a stochastic theory of resource competition, invasion, and community assembly.","type":"article-journal","volume":"101"},"uris":["http://www.mendeley.com/documents/?uuid=abe022b6-15bd-4b76-b950-72cb25f204aa"]}],"mendeley":{"formattedCitation":"(Tilman 2004)","plainTextFormattedCitation":"(Tilman 2004)"},"properties":{"noteIndex":0},"schema":"https://github.com/citation-style-language/schema/raw/master/csl-citation.json"}</w:instrText>
      </w:r>
      <w:r w:rsidR="00A1182F">
        <w:rPr>
          <w:rFonts w:ascii="Arial" w:hAnsi="Arial" w:cs="Arial"/>
          <w:bCs/>
        </w:rPr>
        <w:fldChar w:fldCharType="separate"/>
      </w:r>
      <w:r w:rsidR="00A1182F" w:rsidRPr="00A1182F">
        <w:rPr>
          <w:rFonts w:ascii="Arial" w:hAnsi="Arial" w:cs="Arial"/>
          <w:bCs/>
          <w:noProof/>
        </w:rPr>
        <w:t>(Tilman 2004)</w:t>
      </w:r>
      <w:r w:rsidR="00A1182F">
        <w:rPr>
          <w:rFonts w:ascii="Arial" w:hAnsi="Arial" w:cs="Arial"/>
          <w:bCs/>
        </w:rPr>
        <w:fldChar w:fldCharType="end"/>
      </w:r>
      <w:r w:rsidR="008D6C56">
        <w:rPr>
          <w:rFonts w:ascii="Arial" w:hAnsi="Arial" w:cs="Arial"/>
          <w:bCs/>
        </w:rPr>
        <w:t xml:space="preserve">. </w:t>
      </w:r>
    </w:p>
    <w:p w14:paraId="1DFC8004" w14:textId="14EE0C87" w:rsidR="00417EBD" w:rsidRDefault="00F57EE2" w:rsidP="00FA0B28">
      <w:pPr>
        <w:rPr>
          <w:rFonts w:ascii="Arial" w:hAnsi="Arial" w:cs="Arial"/>
          <w:bCs/>
        </w:rPr>
      </w:pPr>
      <w:r>
        <w:rPr>
          <w:rFonts w:ascii="Arial" w:hAnsi="Arial" w:cs="Arial"/>
          <w:bCs/>
        </w:rPr>
        <w:t xml:space="preserve">The number and types of trade-offs present in plant systems has been the subject of considerable exploration. </w:t>
      </w:r>
      <w:r w:rsidR="00FF6455">
        <w:rPr>
          <w:rFonts w:ascii="Arial" w:hAnsi="Arial" w:cs="Arial"/>
          <w:bCs/>
        </w:rPr>
        <w:t>Plants are known to exhibit competition-colonization trade-offs</w:t>
      </w:r>
      <w:r w:rsidR="00A37DC6">
        <w:rPr>
          <w:rFonts w:ascii="Arial" w:hAnsi="Arial" w:cs="Arial"/>
          <w:bCs/>
        </w:rPr>
        <w:t xml:space="preserve"> </w:t>
      </w:r>
      <w:r w:rsidR="00A37DC6">
        <w:rPr>
          <w:rFonts w:ascii="Arial" w:hAnsi="Arial" w:cs="Arial"/>
          <w:bCs/>
        </w:rPr>
        <w:fldChar w:fldCharType="begin" w:fldLock="1"/>
      </w:r>
      <w:r w:rsidR="00A37DC6">
        <w:rPr>
          <w:rFonts w:ascii="Arial" w:hAnsi="Arial" w:cs="Arial"/>
          <w:bCs/>
        </w:rPr>
        <w:instrText>ADDIN CSL_CITATION {"citationItems":[{"id":"ITEM-1","itemData":{"DOI":"10.1086/286203","ISBN":"10.1086/286203","ISSN":"0003-0147","PMID":"18811347","abstract":"A simple mathematical model of competition is developed that includes two alternative mechanisms promoting successional diversity. The first underpins the competition-colonization hypothesis in which early successional species are able to persist because they colonize disturbed habitats before the arrival of late successional dominant competitors. The second underpins the niche hypothesis, in which early successional species are able to persist, even with unlimited colonization by late successional dominants, because they specialize on the resource-rich conditions typical of recently disturbed sites. We modify the widely studied competition-colonization model so that it also includes the mechanism behind the niche hypothesis. Analysis of this model suggests simple experiments that determine whether the successional diversity of a field system is maintained primarily by the competition-colonization mechanism, primarily by the niche mechanism, by neither, or by both. We develop quantitative metrics of the relative importance of the two mechanisms. We also discuss the implications for the management of biodiversity in communities structured by the two mechanisms.","author":[{"dropping-particle":"","family":"Pacala","given":"S W","non-dropping-particle":"","parse-names":false,"suffix":""},{"dropping-particle":"","family":"Rees","given":"M","non-dropping-particle":"","parse-names":false,"suffix":""}],"container-title":"The American naturalist","id":"ITEM-1","issue":"5","issued":{"date-parts":[["1998"]]},"page":"729-737","title":"Models suggesting field experiments to test two hypotheses explaining successional diversity.","type":"article-journal","volume":"152"},"uris":["http://www.mendeley.com/documents/?uuid=f66bf6e6-2ab6-44e5-b8b3-42c844da9759"]},{"id":"ITEM-2","itemData":{"PMID":"19005554","abstract":"All organisms, esecially terrestrial plants and other sessile species, interact mainly with their neighbors, but neighborhoods can differ in composition because of dispersal and mortality. There is increasingly strong evidence that the spatial structure created by these forces profoundly influences the dynamics, composition, and biodiversity of communities.\\n\\nNonspatial models predict that no more consumer species can coexist at equilibrium than there are limiting resources. In contrast, a similar model that includes neighborhood competition and random dispersal among sites predicts stable coexistence of a potentially unlimited number of species on a single resource. Coexistence cocurs because species with sufficiently high dispersal rates persist in sites not occupied by surperior competitors. Coexistence requires limiting similarity and two-way or three-way interspecific trade-offs among competitive ability, colonization ability and longevity.\\n\\nThis spatial competition hypothesis seems to explain the coexistence of the numerous plant species that compete for a single limiting resource in the grasslands of Cedar Creek Natural History Area. It provides a testable, alternative explanation for other high diversity communities, such as tropical forests. The model can be tested (1) by determining if coexisting species have the requisite trade-offs in colonization, competition, and longevity, (2) by addition of propagules to determine if local species abundances are limited by dispersal, and (3) by comparisons of the effects on biodiversity of high rates of propagule addition for species that differ in competitive ability.","author":[{"dropping-particle":"","family":"Tilman","given":"D.","non-dropping-particle":"","parse-names":false,"suffix":""}],"container-title":"Ecology","id":"ITEM-2","issue":"1","issued":{"date-parts":[["1994"]]},"page":"2-16","title":"Competition and Biodiversity in Spatially Structured Habitats","type":"article-journal","volume":"75"},"uris":["http://www.mendeley.com/documents/?uuid=e7949694-f522-4f6e-9304-095446bef2b1"]}],"mendeley":{"formattedCitation":"(Tilman 1994, Pacala and Rees 1998)","plainTextFormattedCitation":"(Tilman 1994, Pacala and Rees 1998)","previouslyFormattedCitation":"(Tilman 1994, Pacala and Rees 1998)"},"properties":{"noteIndex":0},"schema":"https://github.com/citation-style-language/schema/raw/master/csl-citation.json"}</w:instrText>
      </w:r>
      <w:r w:rsidR="00A37DC6">
        <w:rPr>
          <w:rFonts w:ascii="Arial" w:hAnsi="Arial" w:cs="Arial"/>
          <w:bCs/>
        </w:rPr>
        <w:fldChar w:fldCharType="separate"/>
      </w:r>
      <w:r w:rsidR="00A37DC6" w:rsidRPr="00A37DC6">
        <w:rPr>
          <w:rFonts w:ascii="Arial" w:hAnsi="Arial" w:cs="Arial"/>
          <w:bCs/>
          <w:noProof/>
        </w:rPr>
        <w:t>(Tilman 1994, Pacala and Rees 1998)</w:t>
      </w:r>
      <w:r w:rsidR="00A37DC6">
        <w:rPr>
          <w:rFonts w:ascii="Arial" w:hAnsi="Arial" w:cs="Arial"/>
          <w:bCs/>
        </w:rPr>
        <w:fldChar w:fldCharType="end"/>
      </w:r>
      <w:r w:rsidR="00FF6455">
        <w:rPr>
          <w:rFonts w:ascii="Arial" w:hAnsi="Arial" w:cs="Arial"/>
          <w:bCs/>
        </w:rPr>
        <w:t>, trade-offs between herbivore defense and growth</w:t>
      </w:r>
      <w:r w:rsidR="00A37DC6">
        <w:rPr>
          <w:rFonts w:ascii="Arial" w:hAnsi="Arial" w:cs="Arial"/>
          <w:bCs/>
        </w:rPr>
        <w:t xml:space="preserve"> </w:t>
      </w:r>
      <w:r w:rsidR="00A37DC6">
        <w:rPr>
          <w:rFonts w:ascii="Arial" w:hAnsi="Arial" w:cs="Arial"/>
          <w:bCs/>
        </w:rPr>
        <w:fldChar w:fldCharType="begin" w:fldLock="1"/>
      </w:r>
      <w:r w:rsidR="00C85569">
        <w:rPr>
          <w:rFonts w:ascii="Arial" w:hAnsi="Arial" w:cs="Arial"/>
          <w:bCs/>
        </w:rPr>
        <w:instrText>ADDIN CSL_CITATION {"citationItems":[{"id":"ITEM-1","itemData":{"DOI":"10.1007/sll466-009-0028-z","ISBN":"0226464407","ISSN":"00335770","PMID":"439","abstract":"In the evolution of plant growth patterns, physiological and ecological constraints are vital to defenses against herbivores. The growth- differentiation balance (GDB) framework, based on physiological trade-offs between growth and differentiation processes, explains and predicts patterns of plant defense and competitive interactions in ecological and evolutionary time. The physiological trade-off between growth and differentiation processes is manifested as a genetic trade-off between growth and defense in the evolution of plant life history strategies.","author":[{"dropping-particle":"","family":"Mattson","given":"Daniel A.","non-dropping-particle":"","parse-names":false,"suffix":""},{"dropping-particle":"","family":"Herms","given":"William J.","non-dropping-particle":"","parse-names":false,"suffix":""}],"container-title":"The Quarterly Review of Biology","id":"ITEM-1","issue":"3","issued":{"date-parts":[["1992"]]},"page":"283-335","title":"The Dilemma of Plants: To Grow or Defend","type":"article-journal","volume":"67"},"uris":["http://www.mendeley.com/documents/?uuid=6e549472-8ec7-42f6-9c66-06b43d6ccfab"]}],"mendeley":{"formattedCitation":"(Mattson and Herms 1992)","plainTextFormattedCitation":"(Mattson and Herms 1992)","previouslyFormattedCitation":"(Mattson and Herms 1992)"},"properties":{"noteIndex":0},"schema":"https://github.com/citation-style-language/schema/raw/master/csl-citation.json"}</w:instrText>
      </w:r>
      <w:r w:rsidR="00A37DC6">
        <w:rPr>
          <w:rFonts w:ascii="Arial" w:hAnsi="Arial" w:cs="Arial"/>
          <w:bCs/>
        </w:rPr>
        <w:fldChar w:fldCharType="separate"/>
      </w:r>
      <w:r w:rsidR="00A37DC6" w:rsidRPr="00A37DC6">
        <w:rPr>
          <w:rFonts w:ascii="Arial" w:hAnsi="Arial" w:cs="Arial"/>
          <w:bCs/>
          <w:noProof/>
        </w:rPr>
        <w:t>(Mattson and Herms 1992)</w:t>
      </w:r>
      <w:r w:rsidR="00A37DC6">
        <w:rPr>
          <w:rFonts w:ascii="Arial" w:hAnsi="Arial" w:cs="Arial"/>
          <w:bCs/>
        </w:rPr>
        <w:fldChar w:fldCharType="end"/>
      </w:r>
      <w:r w:rsidR="00FF6455">
        <w:rPr>
          <w:rFonts w:ascii="Arial" w:hAnsi="Arial" w:cs="Arial"/>
          <w:bCs/>
        </w:rPr>
        <w:t>, or contrasts between leaf longevity and photosynthetic rate described the leaf economic spectrum</w:t>
      </w:r>
      <w:r w:rsidR="00A37DC6">
        <w:rPr>
          <w:rFonts w:ascii="Arial" w:hAnsi="Arial" w:cs="Arial"/>
          <w:bCs/>
        </w:rPr>
        <w:t xml:space="preserve"> </w:t>
      </w:r>
      <w:r w:rsidR="00A37DC6">
        <w:rPr>
          <w:rFonts w:ascii="Arial" w:hAnsi="Arial" w:cs="Arial"/>
          <w:bCs/>
        </w:rPr>
        <w:fldChar w:fldCharType="begin" w:fldLock="1"/>
      </w:r>
      <w:r w:rsidR="00A62AAE">
        <w:rPr>
          <w:rFonts w:ascii="Arial" w:hAnsi="Arial" w:cs="Arial"/>
          <w:bCs/>
        </w:rPr>
        <w:instrText>ADDIN CSL_CITATION {"citationItems":[{"id":"ITEM-1","itemData":{"DOI":"10.1038/nature02403","ISSN":"00280836","PMID":"15103368","abstract":"Bringing together leaf trait data spanning 2,548 species and 175 sites we describe, for the first time at global scale, a universal spectrum of leaf economics consisting of key chemical, structural and physiological properties. The spectrum runs from quick to slow return on investments of nutrients and dry mass in leaves, and operates largely independently of growth form, plant functional type or biome. Categories along the spectrum would, in general, describe leaf economic variation at the global scale better than plant functional types overlap substantially in their leaf traits. Overall, modulation of leaf traits and trait relationships by climate is surprisingly modest, although some striking and significant patterns can be seen. Reliable quantification of the leaf economics spectrum and its interaction with climate will prove valuable for modelling nutrient fluxes and vegetation boundaries under changing land-use and climate.","author":[{"dropping-particle":"","family":"Wright","given":"Ian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lssen","given":"Johannes H.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l","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 Laure","non-dropping-particle":"","parse-names":false,"suffix":""},{"dropping-particle":"","family":"Niinemets","given":"Ülo","non-dropping-particle":"","parse-names":false,"suffix":""},{"dropping-particle":"","family":"Oleksyn","given":"Jacek","non-dropping-particle":"","parse-names":false,"suffix":""},{"dropping-particle":"","family":"Osada","given":"Horiyuki","non-dropping-particle":"","parse-names":false,"suffix":""},{"dropping-particle":"","family":"Poorter","given":"Hendrik","non-dropping-particle":"","parse-names":false,"suffix":""},{"dropping-particle":"","family":"Pool","given":"Pl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page":"821-827","title":"The worldwide leaf economics spectrum","type":"article-journal","volume":"428"},"uris":["http://www.mendeley.com/documents/?uuid=8cd5d70f-3957-4eee-b18e-ed7a9b497872"]}],"mendeley":{"formattedCitation":"(Wright et al. 2004)","plainTextFormattedCitation":"(Wright et al. 2004)","previouslyFormattedCitation":"(Wright et al. 2004)"},"properties":{"noteIndex":0},"schema":"https://github.com/citation-style-language/schema/raw/master/csl-citation.json"}</w:instrText>
      </w:r>
      <w:r w:rsidR="00A37DC6">
        <w:rPr>
          <w:rFonts w:ascii="Arial" w:hAnsi="Arial" w:cs="Arial"/>
          <w:bCs/>
        </w:rPr>
        <w:fldChar w:fldCharType="separate"/>
      </w:r>
      <w:r w:rsidR="00C85569" w:rsidRPr="00C85569">
        <w:rPr>
          <w:rFonts w:ascii="Arial" w:hAnsi="Arial" w:cs="Arial"/>
          <w:bCs/>
          <w:noProof/>
        </w:rPr>
        <w:t>(Wright et al. 2004)</w:t>
      </w:r>
      <w:r w:rsidR="00A37DC6">
        <w:rPr>
          <w:rFonts w:ascii="Arial" w:hAnsi="Arial" w:cs="Arial"/>
          <w:bCs/>
        </w:rPr>
        <w:fldChar w:fldCharType="end"/>
      </w:r>
      <w:r w:rsidR="00FF6455">
        <w:rPr>
          <w:rFonts w:ascii="Arial" w:hAnsi="Arial" w:cs="Arial"/>
          <w:bCs/>
        </w:rPr>
        <w:t xml:space="preserve">. Depending on factors such as </w:t>
      </w:r>
      <w:r w:rsidR="00D666CB">
        <w:rPr>
          <w:rFonts w:ascii="Arial" w:hAnsi="Arial" w:cs="Arial"/>
          <w:bCs/>
        </w:rPr>
        <w:t xml:space="preserve">disturbance regime, herbivore abundance, or environmental stress, </w:t>
      </w:r>
      <w:r w:rsidR="00051869">
        <w:rPr>
          <w:rFonts w:ascii="Arial" w:hAnsi="Arial" w:cs="Arial"/>
          <w:bCs/>
        </w:rPr>
        <w:t xml:space="preserve">variation across these different </w:t>
      </w:r>
      <w:r w:rsidR="005F7B09">
        <w:rPr>
          <w:rFonts w:ascii="Arial" w:hAnsi="Arial" w:cs="Arial"/>
          <w:bCs/>
        </w:rPr>
        <w:t xml:space="preserve">niche </w:t>
      </w:r>
      <w:r w:rsidR="00051869">
        <w:rPr>
          <w:rFonts w:ascii="Arial" w:hAnsi="Arial" w:cs="Arial"/>
          <w:bCs/>
        </w:rPr>
        <w:t>axes present conditions where one competitor will be favored over others.</w:t>
      </w:r>
    </w:p>
    <w:p w14:paraId="69D2C9BF" w14:textId="61D3C7F6" w:rsidR="00500004" w:rsidRDefault="005C15EB" w:rsidP="00417EBD">
      <w:pPr>
        <w:rPr>
          <w:rFonts w:ascii="Arial" w:hAnsi="Arial" w:cs="Arial"/>
          <w:bCs/>
        </w:rPr>
      </w:pPr>
      <w:r>
        <w:rPr>
          <w:rFonts w:ascii="Arial" w:hAnsi="Arial" w:cs="Arial"/>
          <w:bCs/>
        </w:rPr>
        <w:t>In response to global biodiversity loss, trade-off</w:t>
      </w:r>
      <w:r w:rsidR="00640319">
        <w:rPr>
          <w:rFonts w:ascii="Arial" w:hAnsi="Arial" w:cs="Arial"/>
          <w:bCs/>
        </w:rPr>
        <w:t xml:space="preserve">s </w:t>
      </w:r>
      <w:r w:rsidR="008A0BAB">
        <w:rPr>
          <w:rFonts w:ascii="Arial" w:hAnsi="Arial" w:cs="Arial"/>
          <w:bCs/>
        </w:rPr>
        <w:t xml:space="preserve">have been used to </w:t>
      </w:r>
      <w:r w:rsidR="006B7EE7">
        <w:rPr>
          <w:rFonts w:ascii="Arial" w:hAnsi="Arial" w:cs="Arial"/>
          <w:bCs/>
        </w:rPr>
        <w:t xml:space="preserve">understand </w:t>
      </w:r>
      <w:r w:rsidR="00FF5368">
        <w:rPr>
          <w:rFonts w:ascii="Arial" w:hAnsi="Arial" w:cs="Arial"/>
          <w:bCs/>
        </w:rPr>
        <w:t xml:space="preserve">changes in plant composition in diversity following </w:t>
      </w:r>
      <w:r w:rsidR="009930A3">
        <w:rPr>
          <w:rFonts w:ascii="Arial" w:hAnsi="Arial" w:cs="Arial"/>
          <w:bCs/>
        </w:rPr>
        <w:t xml:space="preserve">human-derived increases in nutrient availability. </w:t>
      </w:r>
      <w:r w:rsidR="00216F13">
        <w:rPr>
          <w:rFonts w:ascii="Arial" w:hAnsi="Arial" w:cs="Arial"/>
          <w:bCs/>
        </w:rPr>
        <w:t>In most cases, biodiversity loss driven by nutrient enrichment is attributed to a shift in competition for belowground resources to competition for light</w:t>
      </w:r>
      <w:r w:rsidR="00A37DC6">
        <w:rPr>
          <w:rFonts w:ascii="Arial" w:hAnsi="Arial" w:cs="Arial"/>
          <w:bCs/>
        </w:rPr>
        <w:t xml:space="preserve"> </w:t>
      </w:r>
      <w:r w:rsidR="00A37DC6">
        <w:rPr>
          <w:rFonts w:ascii="Arial" w:hAnsi="Arial" w:cs="Arial"/>
          <w:bCs/>
        </w:rPr>
        <w:fldChar w:fldCharType="begin" w:fldLock="1"/>
      </w:r>
      <w:r w:rsidR="00E9431D">
        <w:rPr>
          <w:rFonts w:ascii="Arial" w:hAnsi="Arial" w:cs="Arial"/>
          <w:bCs/>
        </w:rPr>
        <w:instrText>ADDIN CSL_CITATION {"citationItems":[{"id":"ITEM-1","itemData":{"DOI":"http://www.jstor.org/stable/1939125","author":[{"dropping-particle":"","family":"Tilman","given":"G. David","non-dropping-particle":"","parse-names":false,"suffix":""}],"container-title":"Ecology","id":"ITEM-1","issue":"5","issued":{"date-parts":[["1984"]]},"page":"1445-1453","title":"Plant Dominance Along an Experimental Nutrient Gradient","type":"article-journal","volume":"65"},"uris":["http://www.mendeley.com/documents/?uuid=0605e56c-0cff-449d-818c-c683c90b50ca"]},{"id":"ITEM-2","itemData":{"DOI":"10.1086/519857","ISSN":"00030147","abstract":"An 11-year competition experiment among combinations of six prairie perennial plant species showed that resource competition theory generally predicted the long-term outcome of competition. We grew each species in replicated monocultures to determine its requirements for soil nitrate (R*) and light (I*). In six pairwise combinations, the species with the lower R* and I* excluded its competitor, as predicted by theory. In the remaining two pairwise combinations, one species had a lower R*, and the second had a lower I*; these species pairs coexisted, although it is unclear whether resource competition alone was responsible for their coexistence. Smaller differences in R* or I* between competing species led to slower rates of competitive exclusion, and the influence of R* differences on the rate of competitive exclusion was more pronounced on low-nitrogen soils, while the influence of I* differences was more pronounced on high-nitrogen (low-light) soils. These results were not explained by differences in initial species abundances or neutrality. However, only a few of our paired species coexisted under our experimentally imposed conditions (homogeneous soils, high seeding densities, minimal disturbance, regular water, and low herbivory levels), suggesting that other coexistence mechanisms help generate the diversity observed in natural communities. © 2007 by The University of Chicago. All rights reserved.","author":[{"dropping-particle":"","family":"Dybzinski","given":"Ray","non-dropping-particle":"","parse-names":false,"suffix":""},{"dropping-particle":"","family":"Tilman","given":"David","non-dropping-particle":"","parse-names":false,"suffix":""}],"container-title":"American Naturalist","id":"ITEM-2","issue":"3","issued":{"date-parts":[["2007"]]},"page":"305-318","title":"Resource use patterns predict long-term outcomes of plant competition for nutrients and light","type":"article-journal","volume":"170"},"uris":["http://www.mendeley.com/documents/?uuid=71dbfe6e-f66b-4f9d-a6c7-45e6181a823e"]},{"id":"ITEM-3","itemData":{"DOI":"10.1126/science.1169640","ISBN":"0036-8075","ISSN":"0036-8075","PMID":"19407202","abstract":"Human activities have increased the availability of nutrients in terrestrial and aquatic ecosystems. In grasslands, this eutrophication causes loss of plant species diversity, but the mechanism of this loss has been difficult to determine. Using experimental grassland plant communities, we found that addition of light to the grassland understory prevented the loss of biodiversity caused by eutrophication. There was no detectable role for competition for soil resources in diversity loss. Thus, competition for light is a major mechanism of plant diversity loss after eutrophication and explains the particular threat of eutrophication to plant diversity. Our conclusions have implications for grassland management and conservation policy and underscore the need to control nutrient enrichment if plant diversity is to be preserved.","author":[{"dropping-particle":"","family":"Hautier","given":"Yann","non-dropping-particle":"","parse-names":false,"suffix":""},{"dropping-particle":"","family":"Niklaus","given":"Pascal a","non-dropping-particle":"","parse-names":false,"suffix":""},{"dropping-particle":"","family":"Hector","given":"Andy","non-dropping-particle":"","parse-names":false,"suffix":""}],"container-title":"Science (New York, N.Y.)","id":"ITEM-3","issue":"5927","issued":{"date-parts":[["2009"]]},"page":"636-638","title":"Competition for light causes plant biodiversity loss after eutrophication.","type":"article-journal","volume":"324"},"uris":["http://www.mendeley.com/documents/?uuid=ad135dbf-2f3f-42bd-87fe-2286e5ce1177"]}],"mendeley":{"formattedCitation":"(Tilman 1984, Dybzinski and Tilman 2007, Hautier et al. 2009)","plainTextFormattedCitation":"(Tilman 1984, Dybzinski and Tilman 2007, Hautier et al. 2009)","previouslyFormattedCitation":"(Tilman 1984, Dybzinski and Tilman 2007, Hautier et al. 2009)"},"properties":{"noteIndex":0},"schema":"https://github.com/citation-style-language/schema/raw/master/csl-citation.json"}</w:instrText>
      </w:r>
      <w:r w:rsidR="00A37DC6">
        <w:rPr>
          <w:rFonts w:ascii="Arial" w:hAnsi="Arial" w:cs="Arial"/>
          <w:bCs/>
        </w:rPr>
        <w:fldChar w:fldCharType="separate"/>
      </w:r>
      <w:r w:rsidR="00A62AAE" w:rsidRPr="00A62AAE">
        <w:rPr>
          <w:rFonts w:ascii="Arial" w:hAnsi="Arial" w:cs="Arial"/>
          <w:bCs/>
          <w:noProof/>
        </w:rPr>
        <w:t>(Tilman 1984, Dybzinski and Tilman 2007, Hautier et al. 2009)</w:t>
      </w:r>
      <w:r w:rsidR="00A37DC6">
        <w:rPr>
          <w:rFonts w:ascii="Arial" w:hAnsi="Arial" w:cs="Arial"/>
          <w:bCs/>
        </w:rPr>
        <w:fldChar w:fldCharType="end"/>
      </w:r>
      <w:r w:rsidR="00216F13">
        <w:rPr>
          <w:rFonts w:ascii="Arial" w:hAnsi="Arial" w:cs="Arial"/>
          <w:bCs/>
        </w:rPr>
        <w:t>. This one-dimensional trade</w:t>
      </w:r>
      <w:r w:rsidR="00A74381">
        <w:rPr>
          <w:rFonts w:ascii="Arial" w:hAnsi="Arial" w:cs="Arial"/>
          <w:bCs/>
        </w:rPr>
        <w:t>-</w:t>
      </w:r>
      <w:r w:rsidR="00216F13">
        <w:rPr>
          <w:rFonts w:ascii="Arial" w:hAnsi="Arial" w:cs="Arial"/>
          <w:bCs/>
        </w:rPr>
        <w:t>off that physiological adaptations designed to increase nutrient uptake belowground come at the expense of investment into photosynthetic tissues that intercept available photosynthetic radiation. Increases in fertility through nutrient enrichment thus selects for species of larger stature with proportionally greater investment to aboveground vs. belowground components</w:t>
      </w:r>
      <w:r w:rsidR="00A62AAE">
        <w:rPr>
          <w:rFonts w:ascii="Arial" w:hAnsi="Arial" w:cs="Arial"/>
          <w:bCs/>
        </w:rPr>
        <w:t>.</w:t>
      </w:r>
    </w:p>
    <w:p w14:paraId="7B0F7DA3" w14:textId="58C1C76B" w:rsidR="00500004" w:rsidRDefault="00A74381" w:rsidP="00417EBD">
      <w:pPr>
        <w:rPr>
          <w:rFonts w:ascii="Arial" w:hAnsi="Arial" w:cs="Arial"/>
          <w:bCs/>
        </w:rPr>
      </w:pPr>
      <w:r>
        <w:rPr>
          <w:rFonts w:ascii="Arial" w:hAnsi="Arial" w:cs="Arial"/>
          <w:bCs/>
        </w:rPr>
        <w:t>T</w:t>
      </w:r>
      <w:r w:rsidR="008C3256">
        <w:rPr>
          <w:rFonts w:ascii="Arial" w:hAnsi="Arial" w:cs="Arial"/>
          <w:bCs/>
        </w:rPr>
        <w:t xml:space="preserve">his one-dimensional </w:t>
      </w:r>
      <w:r>
        <w:rPr>
          <w:rFonts w:ascii="Arial" w:hAnsi="Arial" w:cs="Arial"/>
          <w:bCs/>
        </w:rPr>
        <w:t xml:space="preserve">trade-off suggests that effects on community depend on changes in total resource availability, irrespective of which belowground resource </w:t>
      </w:r>
      <w:r w:rsidR="00FD7449">
        <w:rPr>
          <w:rFonts w:ascii="Arial" w:hAnsi="Arial" w:cs="Arial"/>
          <w:bCs/>
        </w:rPr>
        <w:t>is enriched</w:t>
      </w:r>
      <w:r>
        <w:rPr>
          <w:rFonts w:ascii="Arial" w:hAnsi="Arial" w:cs="Arial"/>
          <w:bCs/>
        </w:rPr>
        <w:t>.</w:t>
      </w:r>
      <w:r w:rsidR="00FD7449">
        <w:rPr>
          <w:rFonts w:ascii="Arial" w:hAnsi="Arial" w:cs="Arial"/>
          <w:bCs/>
        </w:rPr>
        <w:t xml:space="preserve"> However, </w:t>
      </w:r>
      <w:r w:rsidR="009A1ACE">
        <w:rPr>
          <w:rFonts w:ascii="Arial" w:hAnsi="Arial" w:cs="Arial"/>
          <w:bCs/>
        </w:rPr>
        <w:t xml:space="preserve">many systems are known to be limited by more than one belowground resource, </w:t>
      </w:r>
      <w:r w:rsidR="00E853F6">
        <w:rPr>
          <w:rFonts w:ascii="Arial" w:hAnsi="Arial" w:cs="Arial"/>
          <w:bCs/>
        </w:rPr>
        <w:t xml:space="preserve">that </w:t>
      </w:r>
      <w:r w:rsidR="00A411A7">
        <w:rPr>
          <w:rFonts w:ascii="Arial" w:hAnsi="Arial" w:cs="Arial"/>
          <w:bCs/>
        </w:rPr>
        <w:t>impl</w:t>
      </w:r>
      <w:r w:rsidR="00E853F6">
        <w:rPr>
          <w:rFonts w:ascii="Arial" w:hAnsi="Arial" w:cs="Arial"/>
          <w:bCs/>
        </w:rPr>
        <w:t>ies</w:t>
      </w:r>
      <w:r w:rsidR="001B64D2">
        <w:rPr>
          <w:rFonts w:ascii="Arial" w:hAnsi="Arial" w:cs="Arial"/>
          <w:bCs/>
        </w:rPr>
        <w:t xml:space="preserve"> the presence of multivariate </w:t>
      </w:r>
      <w:r w:rsidR="00A85EE4">
        <w:rPr>
          <w:rFonts w:ascii="Arial" w:hAnsi="Arial" w:cs="Arial"/>
          <w:bCs/>
        </w:rPr>
        <w:t>tradeoffs that depend on nutrient identity</w:t>
      </w:r>
      <w:r w:rsidR="0066728C">
        <w:rPr>
          <w:rFonts w:ascii="Arial" w:hAnsi="Arial" w:cs="Arial"/>
          <w:bCs/>
        </w:rPr>
        <w:t xml:space="preserve"> </w:t>
      </w:r>
      <w:r w:rsidR="0066728C">
        <w:rPr>
          <w:rFonts w:ascii="Arial" w:hAnsi="Arial" w:cs="Arial"/>
          <w:bCs/>
        </w:rPr>
        <w:fldChar w:fldCharType="begin" w:fldLock="1"/>
      </w:r>
      <w:r w:rsidR="00C049DA">
        <w:rPr>
          <w:rFonts w:ascii="Arial" w:hAnsi="Arial" w:cs="Arial"/>
          <w:bCs/>
        </w:rPr>
        <w:instrText>ADDIN CSL_CITATION {"citationItems":[{"id":"ITEM-1","itemData":{"DOI":"10.1038/nplants.2015.80","ISSN":"2055026X","abstract":"Terrestrial ecosystem productivity is widely accepted to be nutrient limited1. Although nitrogen (N) is deemed a key determinant of aboveground net primary production (ANPP)2,3, the prevalence of co-limitation by N and phosphorus (P) is increasingly recognized4-8. However, the extent to which terrestrial productivity is co-limited by nutrients other than N and P has remained unclear. Here, we report results from a standardized factorial nutrient addition experiment, in which we added N, P and potassium (K) combined with a selection of micronutrients (K+μ), alone or in concert, to 42 grassland sites spanning five continents, and monitored ANPP. Nutrient availability limited productivity at 31 of the 42 grassland sites. And pairwise combinations of N, P, and K+μ co-limited ANPP at 29 of the sites. Nitrogen limitation peaked in cool, high latitude sites. Our findings highlight the importance of less studied nutrients, such as K and micronutrients, for grassland productivity, and point to significant variations in the type and degree of nutrient limitation. We suggest that multiple-nutrient constraints must be considered when assessing the ecosystem-scale consequences of nutrient enrichment.","author":[{"dropping-particle":"","family":"Fay","given":"Philip A.","non-dropping-particle":"","parse-names":false,"suffix":""},{"dropping-particle":"","family":"Prober","given":"Suzanne M.","non-dropping-particle":"","parse-names":false,"suffix":""},{"dropping-particle":"","family":"Harpole","given":"W. Stanley","non-dropping-particle":"","parse-names":false,"suffix":""},{"dropping-particle":"","family":"Knops","given":"Johannes M.H.","non-dropping-particle":"","parse-names":false,"suffix":""},{"dropping-particle":"","family":"Bakker","given":"Jonathan D.","non-dropping-particle":"","parse-names":false,"suffix":""},{"dropping-particle":"","family":"Borer","given":"Elizabeth T.","non-dropping-particle":"","parse-names":false,"suffix":""},{"dropping-particle":"","family":"Lind","given":"Eric M.","non-dropping-particle":"","parse-names":false,"suffix":""},{"dropping-particle":"","family":"MacDougall","given":"Andrew S.","non-dropping-particle":"","parse-names":false,"suffix":""},{"dropping-particle":"","family":"Seabloom","given":"Eric W.","non-dropping-particle":"","parse-names":false,"suffix":""},{"dropping-particle":"","family":"Wragg","given":"Peter D.","non-dropping-particle":"","parse-names":false,"suffix":""},{"dropping-particle":"","family":"Adler","given":"Peter B.","non-dropping-particle":"","parse-names":false,"suffix":""},{"dropping-particle":"","family":"Blumenthal","given":"Dana M.","non-dropping-particle":"","parse-names":false,"suffix":""},{"dropping-particle":"","family":"Buckley","given":"Yvonne M.","non-dropping-particle":"","parse-names":false,"suffix":""},{"dropping-particle":"","family":"Chu","given":"Chengjin","non-dropping-particle":"","parse-names":false,"suffix":""},{"dropping-particle":"","family":"Cleland","given":"Elsa E.","non-dropping-particle":"","parse-names":false,"suffix":""},{"dropping-particle":"","family":"Collins","given":"Scott L.","non-dropping-particle":"","parse-names":false,"suffix":""},{"dropping-particle":"","family":"Davies","given":"Kendi F.","non-dropping-particle":"","parse-names":false,"suffix":""},{"dropping-particle":"","family":"Du","given":"Guozhen","non-dropping-particle":"","parse-names":false,"suffix":""},{"dropping-particle":"","family":"Feng","given":"Xiaohui","non-dropping-particle":"","parse-names":false,"suffix":""},{"dropping-particle":"","family":"Firn","given":"Jennifer","non-dropping-particle":"","parse-names":false,"suffix":""},{"dropping-particle":"","family":"Gruner","given":"Daniel S.","non-dropping-particle":"","parse-names":false,"suffix":""},{"dropping-particle":"","family":"Hagenah","given":"Nicole","non-dropping-particle":"","parse-names":false,"suffix":""},{"dropping-particle":"","family":"Hautier","given":"Yann","non-dropping-particle":"","parse-names":false,"suffix":""},{"dropping-particle":"","family":"Heckman","given":"Robert W.","non-dropping-particle":"","parse-names":false,"suffix":""},{"dropping-particle":"","family":"Jin","given":"Virginia L.","non-dropping-particle":"","parse-names":false,"suffix":""},{"dropping-particle":"","family":"Kirkman","given":"Kevin P.","non-dropping-particle":"","parse-names":false,"suffix":""},{"dropping-particle":"","family":"Klein","given":"Julia","non-dropping-particle":"","parse-names":false,"suffix":""},{"dropping-particle":"","family":"Ladwig","given":"Laura M.","non-dropping-particle":"","parse-names":false,"suffix":""},{"dropping-particle":"","family":"Li","given":"Qi","non-dropping-particle":"","parse-names":false,"suffix":""},{"dropping-particle":"","family":"McCulley","given":"Rebecca L.","non-dropping-particle":"","parse-names":false,"suffix":""},{"dropping-particle":"","family":"Melbourne","given":"Brett A.","non-dropping-particle":"","parse-names":false,"suffix":""},{"dropping-particle":"","family":"Mitchell","given":"Charles E.","non-dropping-particle":"","parse-names":false,"suffix":""},{"dropping-particle":"","family":"Moore","given":"Joslin L.","non-dropping-particle":"","parse-names":false,"suffix":""},{"dropping-particle":"","family":"Morgan","given":"John W.","non-dropping-particle":"","parse-names":false,"suffix":""},{"dropping-particle":"","family":"Risch","given":"Anita C.","non-dropping-particle":"","parse-names":false,"suffix":""},{"dropping-particle":"","family":"Schütz","given":"Martin","non-dropping-particle":"","parse-names":false,"suffix":""},{"dropping-particle":"","family":"Stevens","given":"Carly J.","non-dropping-particle":"","parse-names":false,"suffix":""},{"dropping-particle":"","family":"Wedin","given":"David A.","non-dropping-particle":"","parse-names":false,"suffix":""},{"dropping-particle":"","family":"Yang","given":"Louie H.","non-dropping-particle":"","parse-names":false,"suffix":""}],"container-title":"Nature Plants","id":"ITEM-1","issue":"July","issued":{"date-parts":[["2015"]]},"page":"1-5","title":"Grassland productivity limited by multiple nutrients","type":"article-journal","volume":"1"},"uris":["http://www.mendeley.com/documents/?uuid=34561512-7983-4a79-85ed-abfb94b9526a"]},{"id":"ITEM-2","itemData":{"DOI":"10.1038/nature19324","ISSN":"14764687","abstract":"Niche dimensionality provides a general theoretical explanation for biodiversity-more niches, defined by more limiting factors, allow for more ways that species can coexist. Because plant species compete for the same set of limiting resources, theory predicts that addition of a limiting resource eliminates potential trade-offs, reducing the number of species that can coexist. Multiple nutrient limitation of plant production is common and therefore fertilization may reduce diversity by reducing the number or dimensionality of belowground limiting factors. At the same time, nutrient addition, by increasing biomass, should ultimately shift competition from belowground nutrients towards a one-dimensional competitive trade-off for light. Here we show that plant species diversity decreased when a greater number of limiting nutrients were added across 45 grassland sites from a multi-continent experimental network. The number of added nutrients predicted diversity loss, even after controlling for effects of plant biomass, and even where biomass production was not nutrient-limited. We found that elevated resource supply reduced niche dimensionality and diversity and increased both productivity and compositional turnover. Our results point to the importance of understanding dimensionality in ecological systems that are undergoing diversity loss in response to multiple global change factors.","author":[{"dropping-particle":"","family":"Harpole","given":"W.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W.","non-dropping-particle":"","parse-names":false,"suffix":""},{"dropping-particle":"","family":"Williams","given":"Ryan","non-dropping-particle":"","parse-names":false,"suffix":""},{"dropping-particle":"","family":"Bakker","given":"Jonathan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J.","non-dropping-particle":"","parse-names":false,"suffix":""},{"dropping-particle":"","family":"Chu","given":"Chengjin","non-dropping-particle":"","parse-names":false,"suffix":""},{"dropping-particle":"","family":"Cleland","given":"Elsa E.","non-dropping-particle":"","parse-names":false,"suffix":""},{"dropping-particle":"","family":"D'Antonio","given":"Carla","non-dropping-particle":"","parse-names":false,"suffix":""},{"dropping-particle":"","family":"Davies","given":"Kendi F.","non-dropping-particle":"","parse-names":false,"suffix":""},{"dropping-particle":"","family":"Gruner","given":"Daniel S.","non-dropping-particle":"","parse-names":false,"suffix":""},{"dropping-particle":"","family":"Hagenah","given":"Nicole","non-dropping-particle":"","parse-names":false,"suffix":""},{"dropping-particle":"","family":"Kirkman","given":"Kevin","non-dropping-particle":"","parse-names":false,"suffix":""},{"dropping-particle":"","family":"Knops","given":"Johannes M.H.","non-dropping-particle":"","parse-names":false,"suffix":""},{"dropping-particle":"","family":"Pierre","given":"Kimberly J.","non-dropping-particle":"La","parse-names":false,"suffix":""},{"dropping-particle":"","family":"McCulley","given":"Rebecca L.","non-dropping-particle":"","parse-names":false,"suffix":""},{"dropping-particle":"","family":"Moore","given":"Joslin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J.","non-dropping-particle":"","parse-names":false,"suffix":""},{"dropping-particle":"","family":"Wragg","given":"Peter D.","non-dropping-particle":"","parse-names":false,"suffix":""}],"container-title":"Nature","id":"ITEM-2","issue":"7618","issued":{"date-parts":[["2016"]]},"page":"93-96","publisher":"Nature Publishing Group","title":"Addition of multiple limiting resources reduces grassland diversity","type":"article-journal","volume":"537"},"uris":["http://www.mendeley.com/documents/?uuid=bbcc6eb1-4c94-476c-8792-4a73abd2569e"]}],"mendeley":{"formattedCitation":"(Fay et al. 2015, Harpole et al. 2016)","plainTextFormattedCitation":"(Fay et al. 2015, Harpole et al. 2016)","previouslyFormattedCitation":"(Fay et al. 2015, Harpole et al. 2016)"},"properties":{"noteIndex":0},"schema":"https://github.com/citation-style-language/schema/raw/master/csl-citation.json"}</w:instrText>
      </w:r>
      <w:r w:rsidR="0066728C">
        <w:rPr>
          <w:rFonts w:ascii="Arial" w:hAnsi="Arial" w:cs="Arial"/>
          <w:bCs/>
        </w:rPr>
        <w:fldChar w:fldCharType="separate"/>
      </w:r>
      <w:r w:rsidR="0066728C" w:rsidRPr="0066728C">
        <w:rPr>
          <w:rFonts w:ascii="Arial" w:hAnsi="Arial" w:cs="Arial"/>
          <w:bCs/>
          <w:noProof/>
        </w:rPr>
        <w:t>(Fay et al. 2015, Harpole et al. 2016)</w:t>
      </w:r>
      <w:r w:rsidR="0066728C">
        <w:rPr>
          <w:rFonts w:ascii="Arial" w:hAnsi="Arial" w:cs="Arial"/>
          <w:bCs/>
        </w:rPr>
        <w:fldChar w:fldCharType="end"/>
      </w:r>
      <w:r w:rsidR="00A85EE4">
        <w:rPr>
          <w:rFonts w:ascii="Arial" w:hAnsi="Arial" w:cs="Arial"/>
          <w:bCs/>
        </w:rPr>
        <w:t xml:space="preserve">. </w:t>
      </w:r>
      <w:r w:rsidR="00C5778F">
        <w:rPr>
          <w:rFonts w:ascii="Arial" w:hAnsi="Arial" w:cs="Arial"/>
          <w:bCs/>
        </w:rPr>
        <w:t xml:space="preserve">In this perspective, plant species exhibit </w:t>
      </w:r>
      <w:r w:rsidR="00725AAA">
        <w:rPr>
          <w:rFonts w:ascii="Arial" w:hAnsi="Arial" w:cs="Arial"/>
          <w:bCs/>
        </w:rPr>
        <w:t xml:space="preserve">nutrient-specific niches that impart specialization </w:t>
      </w:r>
      <w:r w:rsidR="002F472D">
        <w:rPr>
          <w:rFonts w:ascii="Arial" w:hAnsi="Arial" w:cs="Arial"/>
          <w:bCs/>
        </w:rPr>
        <w:t xml:space="preserve">on </w:t>
      </w:r>
      <w:r w:rsidR="00795405">
        <w:rPr>
          <w:rFonts w:ascii="Arial" w:hAnsi="Arial" w:cs="Arial"/>
          <w:bCs/>
        </w:rPr>
        <w:t>different belowground</w:t>
      </w:r>
      <w:r w:rsidR="002F472D">
        <w:rPr>
          <w:rFonts w:ascii="Arial" w:hAnsi="Arial" w:cs="Arial"/>
          <w:bCs/>
        </w:rPr>
        <w:t xml:space="preserve"> resources</w:t>
      </w:r>
      <w:r w:rsidR="003A01E0">
        <w:rPr>
          <w:rFonts w:ascii="Arial" w:hAnsi="Arial" w:cs="Arial"/>
          <w:bCs/>
        </w:rPr>
        <w:t xml:space="preserve">. Under these multi-dimensional trade-offs, biodiversity loss is interpreted through a loss of </w:t>
      </w:r>
      <w:r w:rsidR="003A01E0" w:rsidRPr="003A01E0">
        <w:rPr>
          <w:rFonts w:ascii="Arial" w:hAnsi="Arial" w:cs="Arial"/>
          <w:bCs/>
          <w:i/>
          <w:iCs/>
        </w:rPr>
        <w:t>niche dimensionality</w:t>
      </w:r>
      <w:r w:rsidR="00F973D1">
        <w:rPr>
          <w:rFonts w:ascii="Arial" w:hAnsi="Arial" w:cs="Arial"/>
          <w:bCs/>
        </w:rPr>
        <w:t xml:space="preserve">, where </w:t>
      </w:r>
      <w:r w:rsidR="001D376A">
        <w:rPr>
          <w:rFonts w:ascii="Arial" w:hAnsi="Arial" w:cs="Arial"/>
          <w:bCs/>
        </w:rPr>
        <w:t>nutrient addition</w:t>
      </w:r>
      <w:r w:rsidR="00EA25EC">
        <w:rPr>
          <w:rFonts w:ascii="Arial" w:hAnsi="Arial" w:cs="Arial"/>
          <w:bCs/>
        </w:rPr>
        <w:t xml:space="preserve"> removes limitation of that resource, “collapsing” a source of variation on which trade-offs operate</w:t>
      </w:r>
      <w:r w:rsidR="009A1ACE">
        <w:rPr>
          <w:rFonts w:ascii="Arial" w:hAnsi="Arial" w:cs="Arial"/>
          <w:bCs/>
        </w:rPr>
        <w:t xml:space="preserve"> </w:t>
      </w:r>
      <w:r w:rsidR="009A1ACE">
        <w:rPr>
          <w:rFonts w:ascii="Arial" w:hAnsi="Arial" w:cs="Arial"/>
          <w:bCs/>
        </w:rPr>
        <w:fldChar w:fldCharType="begin" w:fldLock="1"/>
      </w:r>
      <w:r w:rsidR="009A1ACE">
        <w:rPr>
          <w:rFonts w:ascii="Arial" w:hAnsi="Arial" w:cs="Arial"/>
          <w:bCs/>
        </w:rPr>
        <w:instrText>ADDIN CSL_CITATION {"citationItems":[{"id":"ITEM-1","itemData":{"DOI":"10.1038/nature05684","ISBN":"0028-0836","ISSN":"0028-0836","PMID":"17384633","abstract":"Intact ecosystems contain large numbers of competing but coexisting species. Although numerous alternative theories have provided potential explanations for this high biodiversity, there have been few field experiments testing between these theories. In particular, theory predicts that higher diversity of coexisting competitors could result from greater niche dimensionality, for example larger numbers of limiting resources or factors. Alternatively, diversity could be independent of niche dimensionality because large numbers of species can coexist when limited by just one or two factors if species have appropriate trade-offs. Here we show that plant coexistence and diversity result from the 'niche dimensionality' of a habitat. Plant species numbers decreased with increasing numbers of added limiting soil resources (soil moisture, nitrogen, phosphorus and base cations), which is consistent with theoretical predictions that an increased supply of multiple limiting resources can reduce niche dimension. An observational field study gave similar results. The niche dimension hypothesis also explained diversity changes in the classic Park Grass Experiment at Rothamsted. Our results provide an alternative mechanistic explanation for the effects of nutrient eutrophication on the diversity of terrestrial, freshwater and marine ecosystems.","author":[{"dropping-particle":"","family":"Harpole","given":"W Stanley","non-dropping-particle":"","parse-names":false,"suffix":""},{"dropping-particle":"","family":"Tilman","given":"David","non-dropping-particle":"","parse-names":false,"suffix":""}],"container-title":"Nature","id":"ITEM-1","issue":"7137","issued":{"date-parts":[["2007"]]},"page":"791-793","title":"Grassland species loss resulting from reduced niche dimension.","type":"article-journal","volume":"446"},"uris":["http://www.mendeley.com/documents/?uuid=90b9a3f6-9e96-4cd1-81f4-5297e3921e1a"]},{"id":"ITEM-2","itemData":{"DOI":"10.1038/nature19324","ISSN":"14764687","abstract":"Niche dimensionality provides a general theoretical explanation for biodiversity-more niches, defined by more limiting factors, allow for more ways that species can coexist. Because plant species compete for the same set of limiting resources, theory predicts that addition of a limiting resource eliminates potential trade-offs, reducing the number of species that can coexist. Multiple nutrient limitation of plant production is common and therefore fertilization may reduce diversity by reducing the number or dimensionality of belowground limiting factors. At the same time, nutrient addition, by increasing biomass, should ultimately shift competition from belowground nutrients towards a one-dimensional competitive trade-off for light. Here we show that plant species diversity decreased when a greater number of limiting nutrients were added across 45 grassland sites from a multi-continent experimental network. The number of added nutrients predicted diversity loss, even after controlling for effects of plant biomass, and even where biomass production was not nutrient-limited. We found that elevated resource supply reduced niche dimensionality and diversity and increased both productivity and compositional turnover. Our results point to the importance of understanding dimensionality in ecological systems that are undergoing diversity loss in response to multiple global change factors.","author":[{"dropping-particle":"","family":"Harpole","given":"W.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W.","non-dropping-particle":"","parse-names":false,"suffix":""},{"dropping-particle":"","family":"Williams","given":"Ryan","non-dropping-particle":"","parse-names":false,"suffix":""},{"dropping-particle":"","family":"Bakker","given":"Jonathan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J.","non-dropping-particle":"","parse-names":false,"suffix":""},{"dropping-particle":"","family":"Chu","given":"Chengjin","non-dropping-particle":"","parse-names":false,"suffix":""},{"dropping-particle":"","family":"Cleland","given":"Elsa E.","non-dropping-particle":"","parse-names":false,"suffix":""},{"dropping-particle":"","family":"D'Antonio","given":"Carla","non-dropping-particle":"","parse-names":false,"suffix":""},{"dropping-particle":"","family":"Davies","given":"Kendi F.","non-dropping-particle":"","parse-names":false,"suffix":""},{"dropping-particle":"","family":"Gruner","given":"Daniel S.","non-dropping-particle":"","parse-names":false,"suffix":""},{"dropping-particle":"","family":"Hagenah","given":"Nicole","non-dropping-particle":"","parse-names":false,"suffix":""},{"dropping-particle":"","family":"Kirkman","given":"Kevin","non-dropping-particle":"","parse-names":false,"suffix":""},{"dropping-particle":"","family":"Knops","given":"Johannes M.H.","non-dropping-particle":"","parse-names":false,"suffix":""},{"dropping-particle":"","family":"Pierre","given":"Kimberly J.","non-dropping-particle":"La","parse-names":false,"suffix":""},{"dropping-particle":"","family":"McCulley","given":"Rebecca L.","non-dropping-particle":"","parse-names":false,"suffix":""},{"dropping-particle":"","family":"Moore","given":"Joslin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J.","non-dropping-particle":"","parse-names":false,"suffix":""},{"dropping-particle":"","family":"Wragg","given":"Peter D.","non-dropping-particle":"","parse-names":false,"suffix":""}],"container-title":"Nature","id":"ITEM-2","issue":"7618","issued":{"date-parts":[["2016"]]},"page":"93-96","publisher":"Nature Publishing Group","title":"Addition of multiple limiting resources reduces grassland diversity","type":"article-journal","volume":"537"},"uris":["http://www.mendeley.com/documents/?uuid=aada691b-31df-41b6-ae32-1d03cfa2d206"]}],"mendeley":{"formattedCitation":"(Harpole and Tilman 2007, Harpole et al. 2016)","plainTextFormattedCitation":"(Harpole and Tilman 2007, Harpole et al. 2016)","previouslyFormattedCitation":"(Harpole and Tilman 2007, Harpole et al. 2016)"},"properties":{"noteIndex":0},"schema":"https://github.com/citation-style-language/schema/raw/master/csl-citation.json"}</w:instrText>
      </w:r>
      <w:r w:rsidR="009A1ACE">
        <w:rPr>
          <w:rFonts w:ascii="Arial" w:hAnsi="Arial" w:cs="Arial"/>
          <w:bCs/>
        </w:rPr>
        <w:fldChar w:fldCharType="separate"/>
      </w:r>
      <w:r w:rsidR="009A1ACE" w:rsidRPr="009A1ACE">
        <w:rPr>
          <w:rFonts w:ascii="Arial" w:hAnsi="Arial" w:cs="Arial"/>
          <w:bCs/>
          <w:noProof/>
        </w:rPr>
        <w:t>(Harpole and Tilman 2007, Harpole et al. 2016)</w:t>
      </w:r>
      <w:r w:rsidR="009A1ACE">
        <w:rPr>
          <w:rFonts w:ascii="Arial" w:hAnsi="Arial" w:cs="Arial"/>
          <w:bCs/>
        </w:rPr>
        <w:fldChar w:fldCharType="end"/>
      </w:r>
      <w:r w:rsidR="00EA25EC">
        <w:rPr>
          <w:rFonts w:ascii="Arial" w:hAnsi="Arial" w:cs="Arial"/>
          <w:bCs/>
        </w:rPr>
        <w:t>.</w:t>
      </w:r>
    </w:p>
    <w:p w14:paraId="1B3F7499" w14:textId="45827DF3" w:rsidR="00D23E62" w:rsidRDefault="00F24301" w:rsidP="00417EBD">
      <w:pPr>
        <w:rPr>
          <w:rFonts w:ascii="Arial" w:hAnsi="Arial" w:cs="Arial"/>
          <w:bCs/>
        </w:rPr>
      </w:pPr>
      <w:r>
        <w:rPr>
          <w:rFonts w:ascii="Arial" w:hAnsi="Arial" w:cs="Arial"/>
          <w:bCs/>
        </w:rPr>
        <w:t xml:space="preserve">Central to the distinction between these two perspectives </w:t>
      </w:r>
      <w:r w:rsidR="002A3F75">
        <w:rPr>
          <w:rFonts w:ascii="Arial" w:hAnsi="Arial" w:cs="Arial"/>
          <w:bCs/>
        </w:rPr>
        <w:t xml:space="preserve">are </w:t>
      </w:r>
      <w:r w:rsidR="0025067B">
        <w:rPr>
          <w:rFonts w:ascii="Arial" w:hAnsi="Arial" w:cs="Arial"/>
          <w:bCs/>
        </w:rPr>
        <w:t xml:space="preserve">an emphasis on resource supply </w:t>
      </w:r>
      <w:r w:rsidR="00EC71F4">
        <w:rPr>
          <w:rFonts w:ascii="Arial" w:hAnsi="Arial" w:cs="Arial"/>
          <w:bCs/>
        </w:rPr>
        <w:t xml:space="preserve">vs. resource stoichiometry as core determinants of </w:t>
      </w:r>
      <w:r w:rsidR="00F83071">
        <w:rPr>
          <w:rFonts w:ascii="Arial" w:hAnsi="Arial" w:cs="Arial"/>
          <w:bCs/>
        </w:rPr>
        <w:t>species abundance</w:t>
      </w:r>
      <w:r w:rsidR="00A86D2C">
        <w:rPr>
          <w:rFonts w:ascii="Arial" w:hAnsi="Arial" w:cs="Arial"/>
          <w:bCs/>
        </w:rPr>
        <w:t>s</w:t>
      </w:r>
      <w:r w:rsidR="00F83071">
        <w:rPr>
          <w:rFonts w:ascii="Arial" w:hAnsi="Arial" w:cs="Arial"/>
          <w:bCs/>
        </w:rPr>
        <w:t xml:space="preserve"> in plant communities</w:t>
      </w:r>
      <w:r w:rsidR="00C049DA">
        <w:rPr>
          <w:rFonts w:ascii="Arial" w:hAnsi="Arial" w:cs="Arial"/>
          <w:bCs/>
        </w:rPr>
        <w:t xml:space="preserve"> </w:t>
      </w:r>
      <w:r w:rsidR="00C049DA">
        <w:rPr>
          <w:rFonts w:ascii="Arial" w:hAnsi="Arial" w:cs="Arial"/>
          <w:bCs/>
        </w:rPr>
        <w:fldChar w:fldCharType="begin" w:fldLock="1"/>
      </w:r>
      <w:r w:rsidR="006671A6">
        <w:rPr>
          <w:rFonts w:ascii="Arial" w:hAnsi="Arial" w:cs="Arial"/>
          <w:bCs/>
        </w:rPr>
        <w:instrText>ADDIN CSL_CITATION {"citationItems":[{"id":"ITEM-1","itemData":{"DOI":"10.1111/1365-2435.12967","ISSN":"13652435","abstract":"The paradigmatic hypothesis for the effect of fertilisation on plant diversity represents a one-dimensional trade-off for plants competing for below-ground nutrients (generically) and above-ground light: fertilisation reduces competition for nutrients while increasing biomass and thereby shifts competition for depleted available light. The essential problem of this simple paradigm is that it misses both the multivariate and mechanistic nature of the factors that determine biodiversity as well as their causal relationships. We agree that light limitation, as DeMalach and Kadmon argue, can indeed be an important factor associated with diversity loss, and we presented it as an integral part of our tests of the niche dimension hypothesis. We disagree with DeMalach and Kadmon that light is the ‘main’ factor explaining diversity, because this misrepresents the causal structure represented in the design of our experiment in which multiple nutrient addition was the ultimate causal driver of a suite of correlated responses that included diversity and light, and especially live and dead biomass, which are the factors that control light depletion. Our findings highlight that multiple nutrient limitations can structure plant diversity and composition independently of changes in light and biomass. For example, approximately one-third of our sites showed no significant increase in biomass with greater number of added nutrients yet still lost diversity when nutrients were added. The important message is that while light limitation can be an important contributor to diversity loss, it is not a necessary mechanism.","author":[{"dropping-particle":"","family":"Harpole","given":"W. Stanley","non-dropping-particle":"","parse-names":false,"suffix":""},{"dropping-particle":"","family":"Sullivan","given":"Lauren L.","non-dropping-particle":"","parse-names":false,"suffix":""},{"dropping-particle":"","family":"Lind","given":"Eric M.","non-dropping-particle":"","parse-names":false,"suffix":""},{"dropping-particle":"","family":"Firn","given":"Jennifer","non-dropping-particle":"","parse-names":false,"suffix":""},{"dropping-particle":"","family":"Adler","given":"Peter B.","non-dropping-particle":"","parse-names":false,"suffix":""},{"dropping-particle":"","family":"Borer","given":"Elizabeth T.","non-dropping-particle":"","parse-names":false,"suffix":""},{"dropping-particle":"","family":"Chase","given":"Jonathan","non-dropping-particle":"","parse-names":false,"suffix":""},{"dropping-particle":"","family":"Fay","given":"Philip A.","non-dropping-particle":"","parse-names":false,"suffix":""},{"dropping-particle":"","family":"Hautier","given":"Yann","non-dropping-particle":"","parse-names":false,"suffix":""},{"dropping-particle":"","family":"Hillebrand","given":"Helmut","non-dropping-particle":"","parse-names":false,"suffix":""},{"dropping-particle":"","family":"MacDougall","given":"Andrew S.","non-dropping-particle":"","parse-names":false,"suffix":""},{"dropping-particle":"","family":"Seabloom","given":"Eric W.","non-dropping-particle":"","parse-names":false,"suffix":""},{"dropping-particle":"","family":"Bakker","given":"Jonathan D.","non-dropping-particle":"","parse-names":false,"suffix":""},{"dropping-particle":"","family":"Cadotte","given":"Marc W.","non-dropping-particle":"","parse-names":false,"suffix":""},{"dropping-particle":"","family":"Chaneton","given":"Enrique J.","non-dropping-particle":"","parse-names":false,"suffix":""},{"dropping-particle":"","family":"Chu","given":"Chengjin","non-dropping-particle":"","parse-names":false,"suffix":""},{"dropping-particle":"","family":"Hagenah","given":"Nicole","non-dropping-particle":"","parse-names":false,"suffix":""},{"dropping-particle":"","family":"Kirkman","given":"Kevin","non-dropping-particle":"","parse-names":false,"suffix":""},{"dropping-particle":"","family":"Pierre","given":"Kimberly J.","non-dropping-particle":"La","parse-names":false,"suffix":""},{"dropping-particle":"","family":"Moore","given":"Joslin L.","non-dropping-particle":"","parse-names":false,"suffix":""},{"dropping-particle":"","family":"Morgan","given":"John W.","non-dropping-particle":"","parse-names":false,"suffix":""},{"dropping-particle":"","family":"Prober","given":"Suzanne M.","non-dropping-particle":"","parse-names":false,"suffix":""},{"dropping-particle":"","family":"Risch","given":"Anita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J.","non-dropping-particle":"","parse-names":false,"suffix":""}],"container-title":"Functional Ecology","id":"ITEM-1","issue":"9","issued":{"date-parts":[["2017"]]},"page":"1839-1846","title":"Out of the shadows: multiple nutrient limitations drive relationships among biomass, light and plant diversity","type":"article-journal","volume":"31"},"uris":["http://www.mendeley.com/documents/?uuid=d7f288b5-1fcb-42ce-a6be-4385c5ac8c52"]},{"id":"ITEM-2","itemData":{"DOI":"10.1111/1365-2435.12841","ISSN":"13652435","abstract":"One of the most widely documented patterns in plant ecology is the decrease in species diversity following nutrient enrichment. A long-standing explanation for this diversity decline is an increase in the relative importance of size-asymmetric light competition which accelerates the rate of competitive exclusion (the ‘light asymmetry hypothesis’). Recently, an alternative hypothesis has been proposed which attributes the negative effect of nutrient enrichment on species diversity to a reduction in the number of limiting resources (i.e. a reduced niche ‘dimensionality’). A recent global-scale experiment demonstrating that increasing the number of added resources leads to a decrease in species diversity was interpreted as a support for this ‘niche dimension hypothesis’. Here we highlight a number of theoretical considerations that question this interpretation and demonstrate that a deeper analysis of the new global-scale dataset provides a stronger support for the light asymmetry hypothesis.","author":[{"dropping-particle":"","family":"DeMalach","given":"Niv","non-dropping-particle":"","parse-names":false,"suffix":""},{"dropping-particle":"","family":"Kadmon","given":"Ronen","non-dropping-particle":"","parse-names":false,"suffix":""}],"container-title":"Functional Ecology","id":"ITEM-2","issue":"9","issued":{"date-parts":[["2017"]]},"page":"1834-1838","title":"Light competition explains diversity decline better than niche dimensionality","type":"article-journal","volume":"31"},"uris":["http://www.mendeley.com/documents/?uuid=3d136528-421e-47d6-ae66-3bf3c9da95db"]}],"mendeley":{"formattedCitation":"(DeMalach and Kadmon 2017, Harpole et al. 2017)","plainTextFormattedCitation":"(DeMalach and Kadmon 2017, Harpole et al. 2017)","previouslyFormattedCitation":"(DeMalach and Kadmon 2017, Harpole et al. 2017)"},"properties":{"noteIndex":0},"schema":"https://github.com/citation-style-language/schema/raw/master/csl-citation.json"}</w:instrText>
      </w:r>
      <w:r w:rsidR="00C049DA">
        <w:rPr>
          <w:rFonts w:ascii="Arial" w:hAnsi="Arial" w:cs="Arial"/>
          <w:bCs/>
        </w:rPr>
        <w:fldChar w:fldCharType="separate"/>
      </w:r>
      <w:r w:rsidR="003D56EE" w:rsidRPr="003D56EE">
        <w:rPr>
          <w:rFonts w:ascii="Arial" w:hAnsi="Arial" w:cs="Arial"/>
          <w:bCs/>
          <w:noProof/>
        </w:rPr>
        <w:t>(DeMalach and Kadmon 2017, Harpole et al. 2017)</w:t>
      </w:r>
      <w:r w:rsidR="00C049DA">
        <w:rPr>
          <w:rFonts w:ascii="Arial" w:hAnsi="Arial" w:cs="Arial"/>
          <w:bCs/>
        </w:rPr>
        <w:fldChar w:fldCharType="end"/>
      </w:r>
      <w:r w:rsidR="00F83071">
        <w:rPr>
          <w:rFonts w:ascii="Arial" w:hAnsi="Arial" w:cs="Arial"/>
          <w:bCs/>
        </w:rPr>
        <w:t xml:space="preserve">. </w:t>
      </w:r>
      <w:r w:rsidR="00A00E69">
        <w:rPr>
          <w:rFonts w:ascii="Arial" w:hAnsi="Arial" w:cs="Arial"/>
          <w:bCs/>
        </w:rPr>
        <w:t>When communities are subject to enrichment of different belowground resources</w:t>
      </w:r>
      <w:r w:rsidR="002A768D">
        <w:rPr>
          <w:rFonts w:ascii="Arial" w:hAnsi="Arial" w:cs="Arial"/>
          <w:bCs/>
        </w:rPr>
        <w:t xml:space="preserve">, </w:t>
      </w:r>
      <w:r w:rsidR="00851421">
        <w:rPr>
          <w:rFonts w:ascii="Arial" w:hAnsi="Arial" w:cs="Arial"/>
          <w:bCs/>
        </w:rPr>
        <w:t xml:space="preserve">a </w:t>
      </w:r>
      <w:r w:rsidR="00A675BB">
        <w:rPr>
          <w:rFonts w:ascii="Arial" w:hAnsi="Arial" w:cs="Arial"/>
          <w:bCs/>
        </w:rPr>
        <w:t xml:space="preserve">one-dimensional </w:t>
      </w:r>
      <w:r w:rsidR="00851421">
        <w:rPr>
          <w:rFonts w:ascii="Arial" w:hAnsi="Arial" w:cs="Arial"/>
          <w:bCs/>
        </w:rPr>
        <w:t xml:space="preserve">focus on </w:t>
      </w:r>
      <w:r w:rsidR="00160F6F">
        <w:rPr>
          <w:rFonts w:ascii="Arial" w:hAnsi="Arial" w:cs="Arial"/>
          <w:bCs/>
        </w:rPr>
        <w:t>light competition suggests that changes in species abundances will be directionally consistent</w:t>
      </w:r>
      <w:r w:rsidR="00E03A76">
        <w:rPr>
          <w:rFonts w:ascii="Arial" w:hAnsi="Arial" w:cs="Arial"/>
          <w:bCs/>
        </w:rPr>
        <w:t xml:space="preserve">, varying only in magnitude </w:t>
      </w:r>
      <w:r w:rsidR="002212AE">
        <w:rPr>
          <w:rFonts w:ascii="Arial" w:hAnsi="Arial" w:cs="Arial"/>
          <w:bCs/>
        </w:rPr>
        <w:t>based on shifts in total resource supply generated by fertilization</w:t>
      </w:r>
      <w:r w:rsidR="005357C8">
        <w:rPr>
          <w:rFonts w:ascii="Arial" w:hAnsi="Arial" w:cs="Arial"/>
          <w:bCs/>
        </w:rPr>
        <w:t xml:space="preserve">. </w:t>
      </w:r>
      <w:r w:rsidR="002212AE">
        <w:rPr>
          <w:rFonts w:ascii="Arial" w:hAnsi="Arial" w:cs="Arial"/>
          <w:bCs/>
        </w:rPr>
        <w:t xml:space="preserve">In contrast, </w:t>
      </w:r>
      <w:r w:rsidR="00A675BB">
        <w:rPr>
          <w:rFonts w:ascii="Arial" w:hAnsi="Arial" w:cs="Arial"/>
          <w:bCs/>
        </w:rPr>
        <w:t xml:space="preserve">multi-dimensional trade-offs </w:t>
      </w:r>
      <w:r w:rsidR="009437DE">
        <w:rPr>
          <w:rFonts w:ascii="Arial" w:hAnsi="Arial" w:cs="Arial"/>
          <w:bCs/>
        </w:rPr>
        <w:t xml:space="preserve">in belowground resource use imply </w:t>
      </w:r>
      <w:r w:rsidR="00260CBE">
        <w:rPr>
          <w:rFonts w:ascii="Arial" w:hAnsi="Arial" w:cs="Arial"/>
          <w:bCs/>
        </w:rPr>
        <w:t xml:space="preserve">uncorrelated trajectories of community change </w:t>
      </w:r>
      <w:r w:rsidR="000A2769">
        <w:rPr>
          <w:rFonts w:ascii="Arial" w:hAnsi="Arial" w:cs="Arial"/>
          <w:bCs/>
        </w:rPr>
        <w:t xml:space="preserve">across different types of </w:t>
      </w:r>
      <w:r w:rsidR="00027F3A">
        <w:rPr>
          <w:rFonts w:ascii="Arial" w:hAnsi="Arial" w:cs="Arial"/>
          <w:bCs/>
        </w:rPr>
        <w:t xml:space="preserve">nutrient </w:t>
      </w:r>
      <w:r w:rsidR="000A2769">
        <w:rPr>
          <w:rFonts w:ascii="Arial" w:hAnsi="Arial" w:cs="Arial"/>
          <w:bCs/>
        </w:rPr>
        <w:t>enrichment</w:t>
      </w:r>
      <w:r w:rsidR="002937A1">
        <w:rPr>
          <w:rFonts w:ascii="Arial" w:hAnsi="Arial" w:cs="Arial"/>
          <w:bCs/>
        </w:rPr>
        <w:t>; s</w:t>
      </w:r>
      <w:r w:rsidR="00EC5354">
        <w:rPr>
          <w:rFonts w:ascii="Arial" w:hAnsi="Arial" w:cs="Arial"/>
          <w:bCs/>
        </w:rPr>
        <w:t xml:space="preserve">hifts in resource stoichiometry </w:t>
      </w:r>
      <w:r w:rsidR="00E2058A">
        <w:rPr>
          <w:rFonts w:ascii="Arial" w:hAnsi="Arial" w:cs="Arial"/>
          <w:bCs/>
        </w:rPr>
        <w:t>act on</w:t>
      </w:r>
      <w:r w:rsidR="002937A1">
        <w:rPr>
          <w:rFonts w:ascii="Arial" w:hAnsi="Arial" w:cs="Arial"/>
          <w:bCs/>
        </w:rPr>
        <w:t xml:space="preserve"> niche differentiation between interacting species</w:t>
      </w:r>
      <w:r w:rsidR="00E2058A">
        <w:rPr>
          <w:rFonts w:ascii="Arial" w:hAnsi="Arial" w:cs="Arial"/>
          <w:bCs/>
        </w:rPr>
        <w:t>,</w:t>
      </w:r>
      <w:r w:rsidR="002937A1">
        <w:rPr>
          <w:rFonts w:ascii="Arial" w:hAnsi="Arial" w:cs="Arial"/>
          <w:bCs/>
        </w:rPr>
        <w:t xml:space="preserve"> </w:t>
      </w:r>
      <w:r w:rsidR="00825FC4">
        <w:rPr>
          <w:rFonts w:ascii="Arial" w:hAnsi="Arial" w:cs="Arial"/>
          <w:bCs/>
        </w:rPr>
        <w:t>that</w:t>
      </w:r>
      <w:r w:rsidR="002937A1">
        <w:rPr>
          <w:rFonts w:ascii="Arial" w:hAnsi="Arial" w:cs="Arial"/>
          <w:bCs/>
        </w:rPr>
        <w:t xml:space="preserve"> vary in </w:t>
      </w:r>
      <w:r w:rsidR="008E143C">
        <w:rPr>
          <w:rFonts w:ascii="Arial" w:hAnsi="Arial" w:cs="Arial"/>
          <w:bCs/>
        </w:rPr>
        <w:t>their ability to utilize specific belowground resources.</w:t>
      </w:r>
    </w:p>
    <w:p w14:paraId="3A6DD405" w14:textId="63A744D5" w:rsidR="00602C91" w:rsidRDefault="0056197F" w:rsidP="00417EBD">
      <w:pPr>
        <w:rPr>
          <w:rFonts w:ascii="Arial" w:hAnsi="Arial" w:cs="Arial"/>
          <w:bCs/>
        </w:rPr>
      </w:pPr>
      <w:r>
        <w:rPr>
          <w:rFonts w:ascii="Arial" w:hAnsi="Arial" w:cs="Arial"/>
          <w:bCs/>
        </w:rPr>
        <w:t>In natural communities</w:t>
      </w:r>
      <w:r w:rsidR="002E1C51">
        <w:rPr>
          <w:rFonts w:ascii="Arial" w:hAnsi="Arial" w:cs="Arial"/>
          <w:bCs/>
        </w:rPr>
        <w:t xml:space="preserve"> subject to enrichment by multiple resources</w:t>
      </w:r>
      <w:r>
        <w:rPr>
          <w:rFonts w:ascii="Arial" w:hAnsi="Arial" w:cs="Arial"/>
          <w:bCs/>
        </w:rPr>
        <w:t xml:space="preserve">, </w:t>
      </w:r>
      <w:r w:rsidR="00C404C2">
        <w:rPr>
          <w:rFonts w:ascii="Arial" w:hAnsi="Arial" w:cs="Arial"/>
          <w:bCs/>
        </w:rPr>
        <w:t xml:space="preserve">trade-offs governed by </w:t>
      </w:r>
      <w:r w:rsidR="0005308C">
        <w:rPr>
          <w:rFonts w:ascii="Arial" w:hAnsi="Arial" w:cs="Arial"/>
          <w:bCs/>
        </w:rPr>
        <w:t xml:space="preserve">investment to belowground vs. aboveground tissues and multi-dimensional tradeoffs for soil resources are likely to operate simultaneously. </w:t>
      </w:r>
      <w:r w:rsidR="00041177">
        <w:rPr>
          <w:rFonts w:ascii="Arial" w:hAnsi="Arial" w:cs="Arial"/>
          <w:bCs/>
        </w:rPr>
        <w:t xml:space="preserve">However, the strength of each mechanism is </w:t>
      </w:r>
      <w:r w:rsidR="00041177">
        <w:rPr>
          <w:rFonts w:ascii="Arial" w:hAnsi="Arial" w:cs="Arial"/>
          <w:bCs/>
        </w:rPr>
        <w:lastRenderedPageBreak/>
        <w:t xml:space="preserve">likely to be constrained by </w:t>
      </w:r>
      <w:r w:rsidR="002E1C51">
        <w:rPr>
          <w:rFonts w:ascii="Arial" w:hAnsi="Arial" w:cs="Arial"/>
          <w:bCs/>
        </w:rPr>
        <w:t xml:space="preserve">plant physiology, environmental characteristics, and </w:t>
      </w:r>
      <w:r w:rsidR="00394EB0">
        <w:rPr>
          <w:rFonts w:ascii="Arial" w:hAnsi="Arial" w:cs="Arial"/>
          <w:bCs/>
        </w:rPr>
        <w:t>community properties of locally interacting species</w:t>
      </w:r>
      <w:r w:rsidR="005E0582">
        <w:rPr>
          <w:rFonts w:ascii="Arial" w:hAnsi="Arial" w:cs="Arial"/>
          <w:bCs/>
        </w:rPr>
        <w:t xml:space="preserve"> </w:t>
      </w:r>
      <w:r w:rsidR="002E3E7B">
        <w:rPr>
          <w:rFonts w:ascii="Arial" w:hAnsi="Arial" w:cs="Arial"/>
          <w:bCs/>
        </w:rPr>
        <w:fldChar w:fldCharType="begin" w:fldLock="1"/>
      </w:r>
      <w:r w:rsidR="00A37DC6">
        <w:rPr>
          <w:rFonts w:ascii="Arial" w:hAnsi="Arial" w:cs="Arial"/>
          <w:bCs/>
        </w:rPr>
        <w:instrText>ADDIN CSL_CITATION {"citationItems":[{"id":"ITEM-1","itemData":{"DOI":"10.1002/ece3.4403","ISSN":"20457758","abstract":"Eutrophication is a major cause of biodiversity loss. In grasslands, this appears to occur due to asymmetric competition for light following the increases in aboveground biomass production. Here, we report the results of an experiment with five grass species that tests how well-competitive outcomes can be predicted under a factorial combination of fertilized and disturbed (frequent cutting) conditions. Under fertile conditions, our results confirm earlier success in predicting short-term competitive outcomes based on light interception in monocultures. This effect was maintained but weakened under less fertile conditions with competition becoming more symmetric. However, under disturbed conditions, competitive outcomes could not be predicted from differences in light interception in monocultures regardless of fertility. Our results support the idea that competition in grasslands shifts from symmetric to asymmetric as fertility increases but that disturbance destroys this relationship, presumably by preventing the development of differences in canopy structure and reducing competition for light.","author":[{"dropping-particle":"","family":"Hautier","given":"Yann","non-dropping-particle":"","parse-names":false,"suffix":""},{"dropping-particle":"","family":"Vojtech","given":"Eva","non-dropping-particle":"","parse-names":false,"suffix":""},{"dropping-particle":"","family":"Hector","given":"Andy","non-dropping-particle":"","parse-names":false,"suffix":""}],"container-title":"Ecology and Evolution","id":"ITEM-1","issue":"22","issued":{"date-parts":[["2018"]]},"page":"10655-10661","title":"The importance of competition for light depends on productivity and disturbance","type":"article-journal","volume":"8"},"uris":["http://www.mendeley.com/documents/?uuid=afd3eb38-0d5b-414e-875a-af6a8515c72a"]},{"id":"ITEM-2","itemData":{"DOI":"10.1890/04-1824","ISSN":"00129615","abstract":"Competition theory has put forward three contrasting hypotheses: Competition for nutrients and light may lead to (i) stable coexistence of species, (ii) alternative stable states, or (iii) competitive exclusion. This paper presents a detailed investigation of competition among phytoplankton species to test these three different hypotheses. First, we developed a competition model combining competition for nutrients and light. Next, we ran monoculture experiments in phosphorus-limited and light-limited chemostats to estimate the model parameters for five freshwater phytoplankton species. Finally, we tested the model predictions in competition experiments, using phosphorus levels ranging from oligotrophic to eutrophic conditions. The population dynamics in the competition experiments were all in agreement with the model predictions. This demonstrates that competition for nutrients and light can be accurately predicted over a wide range of productivities. The experiments revealed that the intensity of competition remained constant or even decreased with increasing nutrient supply. Contrary to expectation, there were no trade-offs between competitive abilities for phosphorus and light. Species that were strong competitors for phosphorus were strong competitors for light as well. Hence, we found neither stable coexistence nor alternative stable states. All competition experiments led to competitive exclusion. Furthermore, the physiological traits of the species indicated that, if one would find trade-offs in competitive abilities, competition for phosphorus and light would lead to alternative stable states rather than to stable coexistence. These results suggest that stable coexistence mediated by competition for phosphorus and light is rare, and hence an unlikely explanation for the high biodiversity commonly found in phytoplankton communities. © 2006 by the Ecological Society of America.","author":[{"dropping-particle":"","family":"Passarge","given":"Jutta","non-dropping-particle":"","parse-names":false,"suffix":""},{"dropping-particle":"","family":"Hol","given":"Suzanne","non-dropping-particle":"","parse-names":false,"suffix":""},{"dropping-particle":"","family":"Escher","given":"Marieke","non-dropping-particle":"","parse-names":false,"suffix":""},{"dropping-particle":"","family":"Huisman","given":"Jef","non-dropping-particle":"","parse-names":false,"suffix":""}],"container-title":"Ecological Monographs","id":"ITEM-2","issue":"1","issued":{"date-parts":[["2006"]]},"page":"57-72","title":"Competition for nutrients and light: Stable coexistence, alternative stable states, or competitive exclusion?","type":"article-journal","volume":"76"},"uris":["http://www.mendeley.com/documents/?uuid=0df8644e-59c1-43d5-8f49-569f79e9c493"]}],"mendeley":{"formattedCitation":"(Passarge et al. 2006, Hautier et al. 2018)","plainTextFormattedCitation":"(Passarge et al. 2006, Hautier et al. 2018)","previouslyFormattedCitation":"(Passarge et al. 2006, Hautier et al. 2018)"},"properties":{"noteIndex":0},"schema":"https://github.com/citation-style-language/schema/raw/master/csl-citation.json"}</w:instrText>
      </w:r>
      <w:r w:rsidR="002E3E7B">
        <w:rPr>
          <w:rFonts w:ascii="Arial" w:hAnsi="Arial" w:cs="Arial"/>
          <w:bCs/>
        </w:rPr>
        <w:fldChar w:fldCharType="separate"/>
      </w:r>
      <w:r w:rsidR="002E3E7B" w:rsidRPr="002E3E7B">
        <w:rPr>
          <w:rFonts w:ascii="Arial" w:hAnsi="Arial" w:cs="Arial"/>
          <w:bCs/>
          <w:noProof/>
        </w:rPr>
        <w:t>(Passarge et al. 2006, Hautier et al. 2018)</w:t>
      </w:r>
      <w:r w:rsidR="002E3E7B">
        <w:rPr>
          <w:rFonts w:ascii="Arial" w:hAnsi="Arial" w:cs="Arial"/>
          <w:bCs/>
        </w:rPr>
        <w:fldChar w:fldCharType="end"/>
      </w:r>
      <w:r w:rsidR="00394EB0">
        <w:rPr>
          <w:rFonts w:ascii="Arial" w:hAnsi="Arial" w:cs="Arial"/>
          <w:bCs/>
        </w:rPr>
        <w:t>.</w:t>
      </w:r>
    </w:p>
    <w:p w14:paraId="72B0FA87" w14:textId="5ED7BD8B" w:rsidR="00656500" w:rsidRDefault="00612853" w:rsidP="00417EBD">
      <w:pPr>
        <w:rPr>
          <w:rFonts w:ascii="Arial" w:hAnsi="Arial" w:cs="Arial"/>
          <w:bCs/>
        </w:rPr>
      </w:pPr>
      <w:r>
        <w:rPr>
          <w:rFonts w:ascii="Arial" w:hAnsi="Arial" w:cs="Arial"/>
          <w:bCs/>
        </w:rPr>
        <w:t xml:space="preserve">Broadly speaking, </w:t>
      </w:r>
      <w:r w:rsidR="006D55F6">
        <w:rPr>
          <w:rFonts w:ascii="Arial" w:hAnsi="Arial" w:cs="Arial"/>
          <w:bCs/>
        </w:rPr>
        <w:t xml:space="preserve">stoichiometric analyses of plant tissue chemistry </w:t>
      </w:r>
      <w:r w:rsidR="00493680">
        <w:rPr>
          <w:rFonts w:ascii="Arial" w:hAnsi="Arial" w:cs="Arial"/>
          <w:bCs/>
        </w:rPr>
        <w:t xml:space="preserve">suggest that </w:t>
      </w:r>
      <w:r w:rsidR="00BE327D">
        <w:rPr>
          <w:rFonts w:ascii="Arial" w:hAnsi="Arial" w:cs="Arial"/>
          <w:bCs/>
        </w:rPr>
        <w:t xml:space="preserve">demand for belowground resources </w:t>
      </w:r>
      <w:r w:rsidR="00B95E88">
        <w:rPr>
          <w:rFonts w:ascii="Arial" w:hAnsi="Arial" w:cs="Arial"/>
          <w:bCs/>
        </w:rPr>
        <w:t>may scale proportionally with plant growth rate</w:t>
      </w:r>
      <w:r w:rsidR="00E9431D">
        <w:rPr>
          <w:rFonts w:ascii="Arial" w:hAnsi="Arial" w:cs="Arial"/>
          <w:bCs/>
        </w:rPr>
        <w:t xml:space="preserve"> </w:t>
      </w:r>
      <w:r w:rsidR="00E9431D">
        <w:rPr>
          <w:rFonts w:ascii="Arial" w:hAnsi="Arial" w:cs="Arial"/>
          <w:bCs/>
        </w:rPr>
        <w:fldChar w:fldCharType="begin" w:fldLock="1"/>
      </w:r>
      <w:r w:rsidR="00E9431D">
        <w:rPr>
          <w:rFonts w:ascii="Arial" w:hAnsi="Arial" w:cs="Arial"/>
          <w:bCs/>
        </w:rPr>
        <w:instrText>ADDIN CSL_CITATION {"citationItems":[{"id":"ITEM-1","itemData":{"DOI":"10.1146/annurev.ecolsys.39.110707.173515","ISSN":"1543-592X","abstract":"Stoichiometric relations in plants, with emphasis on C:N:P, are reviewed. Both theoretically and empirically it is found for whole plants as well as for different tissues that: nitrogen concentrations increase slower than phosphorus concentrations. A lack of data prevents the establishment of relations between nitrogen and other elements. Optimal element ratios where elements are simultaneously limiting growth can be established. There is a considerable variability around these optimal ratios in observed values. Conclusions about the ecological significance of stoichiometric relations based on these observations may therefore be biased. The significance of this variability remains to be established.","author":[{"dropping-particle":"","family":"Ågren","given":"Göran I.","non-dropping-particle":"","parse-names":false,"suffix":""}],"container-title":"Annual Review of Ecology, Evolution, and Systematics","id":"ITEM-1","issue":"1","issued":{"date-parts":[["2008"]]},"page":"153-170","title":"Stoichiometry and Nutrition of Plant Growth in Natural Communities","type":"article-journal","volume":"39"},"uris":["http://www.mendeley.com/documents/?uuid=8f85ca5f-a61b-485d-a6ef-30bbfc2f48ce"]},{"id":"ITEM-2","itemData":{"DOI":"10.1093/treephys/24.4.447","ISSN":"0829318X","abstract":"Theoretical considerations based on nutrition experiments suggest that nutrient ratios of terrestrial plants are similar to the Redfield ratio found in marine phytoplankton. Laboratory experiments have shown that seedlings of many different plant species have similar nutrient concentration ratios when supplied with nutrients at free access. However, at free access, nutrients are likely to be taken up in amounts in excess of a plant's requirements for growth. In further experiments, therefore, the supply rate of each nutrient was reduced so that excessive uptake did not occur. Again, similar nutrient ratios were found among the plant species tested, although the ratios differed from those found in plants given free access to nutrients. Based on the law of the minimum, we suggest that optimum nutrient ratios be defined as the ratios found in plants when all nutrients are limiting growth simultaneously. The literature on nutrient concentrations was surveyed to investigate nutrient ratios in terrestrial ecosystems. Nutrients taken into consideration were nitrogen, phosphorus, potassium, calcium and magnesium. Based on the assumption that nitrogen is either the limiting nutrient or, when not limiting, is taken up only in small excess amounts, we calculated nutrient ratios from published data. The calculated ratios corresponded closely to the ratios determined in laboratory and field experiments.","author":[{"dropping-particle":"","family":"Knecht","given":"Magnus F.","non-dropping-particle":"","parse-names":false,"suffix":""},{"dropping-particle":"","family":"Göransson","given":"Anders","non-dropping-particle":"","parse-names":false,"suffix":""}],"container-title":"Tree Physiology","id":"ITEM-2","issue":"4","issued":{"date-parts":[["2004"]]},"page":"447-460","title":"Terrestrial plants require nutrients in similar proportions","type":"article-journal","volume":"24"},"uris":["http://www.mendeley.com/documents/?uuid=4e3737a8-1739-467d-a5f7-8d44caee2d8f"]}],"mendeley":{"formattedCitation":"(Knecht and Göransson 2004, Ågren 2008)","plainTextFormattedCitation":"(Knecht and Göransson 2004, Ågren 2008)","previouslyFormattedCitation":"(Knecht and Göransson 2004, Ågren 2008)"},"properties":{"noteIndex":0},"schema":"https://github.com/citation-style-language/schema/raw/master/csl-citation.json"}</w:instrText>
      </w:r>
      <w:r w:rsidR="00E9431D">
        <w:rPr>
          <w:rFonts w:ascii="Arial" w:hAnsi="Arial" w:cs="Arial"/>
          <w:bCs/>
        </w:rPr>
        <w:fldChar w:fldCharType="separate"/>
      </w:r>
      <w:r w:rsidR="00E9431D" w:rsidRPr="00E9431D">
        <w:rPr>
          <w:rFonts w:ascii="Arial" w:hAnsi="Arial" w:cs="Arial"/>
          <w:bCs/>
          <w:noProof/>
        </w:rPr>
        <w:t>(Knecht and Göransson 2004, Ågren 2008)</w:t>
      </w:r>
      <w:r w:rsidR="00E9431D">
        <w:rPr>
          <w:rFonts w:ascii="Arial" w:hAnsi="Arial" w:cs="Arial"/>
          <w:bCs/>
        </w:rPr>
        <w:fldChar w:fldCharType="end"/>
      </w:r>
      <w:r w:rsidR="00F73397">
        <w:rPr>
          <w:rFonts w:ascii="Arial" w:hAnsi="Arial" w:cs="Arial"/>
          <w:bCs/>
        </w:rPr>
        <w:t>.</w:t>
      </w:r>
      <w:r w:rsidR="00A31212">
        <w:rPr>
          <w:rFonts w:ascii="Arial" w:hAnsi="Arial" w:cs="Arial"/>
          <w:bCs/>
        </w:rPr>
        <w:t xml:space="preserve"> This evidence supporting a generally one-dimensional niche </w:t>
      </w:r>
      <w:r w:rsidR="00C92C83">
        <w:rPr>
          <w:rFonts w:ascii="Arial" w:hAnsi="Arial" w:cs="Arial"/>
          <w:bCs/>
        </w:rPr>
        <w:t xml:space="preserve">axis </w:t>
      </w:r>
      <w:r w:rsidR="00CC6FC3">
        <w:rPr>
          <w:rFonts w:ascii="Arial" w:hAnsi="Arial" w:cs="Arial"/>
          <w:bCs/>
        </w:rPr>
        <w:t>between</w:t>
      </w:r>
      <w:r w:rsidR="00D63D09">
        <w:rPr>
          <w:rFonts w:ascii="Arial" w:hAnsi="Arial" w:cs="Arial"/>
          <w:bCs/>
        </w:rPr>
        <w:t xml:space="preserve"> </w:t>
      </w:r>
      <w:r w:rsidR="00A31212">
        <w:rPr>
          <w:rFonts w:ascii="Arial" w:hAnsi="Arial" w:cs="Arial"/>
          <w:bCs/>
        </w:rPr>
        <w:t xml:space="preserve">low and high fertility environments is further compounded </w:t>
      </w:r>
      <w:r w:rsidR="009A2BD9">
        <w:rPr>
          <w:rFonts w:ascii="Arial" w:hAnsi="Arial" w:cs="Arial"/>
          <w:bCs/>
        </w:rPr>
        <w:t xml:space="preserve">by </w:t>
      </w:r>
      <w:r w:rsidR="00FC306A">
        <w:rPr>
          <w:rFonts w:ascii="Arial" w:hAnsi="Arial" w:cs="Arial"/>
          <w:bCs/>
        </w:rPr>
        <w:t>physiological constraints</w:t>
      </w:r>
      <w:r w:rsidR="00111A40">
        <w:rPr>
          <w:rFonts w:ascii="Arial" w:hAnsi="Arial" w:cs="Arial"/>
          <w:bCs/>
        </w:rPr>
        <w:t xml:space="preserve"> on root architecture</w:t>
      </w:r>
      <w:r w:rsidR="00E9431D">
        <w:rPr>
          <w:rFonts w:ascii="Arial" w:hAnsi="Arial" w:cs="Arial"/>
          <w:bCs/>
        </w:rPr>
        <w:t xml:space="preserve"> </w:t>
      </w:r>
      <w:r w:rsidR="00E9431D">
        <w:rPr>
          <w:rFonts w:ascii="Arial" w:hAnsi="Arial" w:cs="Arial"/>
          <w:bCs/>
        </w:rPr>
        <w:fldChar w:fldCharType="begin" w:fldLock="1"/>
      </w:r>
      <w:r w:rsidR="0021309B">
        <w:rPr>
          <w:rFonts w:ascii="Arial" w:hAnsi="Arial" w:cs="Arial"/>
          <w:bCs/>
        </w:rPr>
        <w:instrText>ADDIN CSL_CITATION {"citationItems":[{"id":"ITEM-1","itemData":{"DOI":"10.1146/annurev.es.11.110180.001313","ISSN":"0066-4162","abstract":"Crop responses to nutrient stress were compared with the responses of spp. which have evolved under more natural environments often low in mineral nutrients.","author":[{"dropping-particle":"","family":"Chapin","given":"F S","non-dropping-particle":"","parse-names":false,"suffix":""}],"container-title":"Annual Review of Ecology and Systematics","id":"ITEM-1","issue":"1","issued":{"date-parts":[["1980"]]},"page":"233-260","title":"The Mineral Nutrition of Wild Plants","type":"article-journal","volume":"11"},"uris":["http://www.mendeley.com/documents/?uuid=46da05eb-4505-40f3-912e-a6c5ec47ca8d"]}],"mendeley":{"formattedCitation":"(Chapin 1980)","plainTextFormattedCitation":"(Chapin 1980)","previouslyFormattedCitation":"(Chapin 1980)"},"properties":{"noteIndex":0},"schema":"https://github.com/citation-style-language/schema/raw/master/csl-citation.json"}</w:instrText>
      </w:r>
      <w:r w:rsidR="00E9431D">
        <w:rPr>
          <w:rFonts w:ascii="Arial" w:hAnsi="Arial" w:cs="Arial"/>
          <w:bCs/>
        </w:rPr>
        <w:fldChar w:fldCharType="separate"/>
      </w:r>
      <w:r w:rsidR="00E9431D" w:rsidRPr="00E9431D">
        <w:rPr>
          <w:rFonts w:ascii="Arial" w:hAnsi="Arial" w:cs="Arial"/>
          <w:bCs/>
          <w:noProof/>
        </w:rPr>
        <w:t>(Chapin 1980)</w:t>
      </w:r>
      <w:r w:rsidR="00E9431D">
        <w:rPr>
          <w:rFonts w:ascii="Arial" w:hAnsi="Arial" w:cs="Arial"/>
          <w:bCs/>
        </w:rPr>
        <w:fldChar w:fldCharType="end"/>
      </w:r>
      <w:r w:rsidR="00111A40">
        <w:rPr>
          <w:rFonts w:ascii="Arial" w:hAnsi="Arial" w:cs="Arial"/>
          <w:bCs/>
        </w:rPr>
        <w:t xml:space="preserve">. </w:t>
      </w:r>
      <w:r w:rsidR="00651EF1">
        <w:rPr>
          <w:rFonts w:ascii="Arial" w:hAnsi="Arial" w:cs="Arial"/>
          <w:bCs/>
        </w:rPr>
        <w:t>Physiological</w:t>
      </w:r>
      <w:r w:rsidR="00111A40">
        <w:rPr>
          <w:rFonts w:ascii="Arial" w:hAnsi="Arial" w:cs="Arial"/>
          <w:bCs/>
        </w:rPr>
        <w:t xml:space="preserve"> adaptations designed to increase the uptake of one mineral nutrient are likely to operate similarly for others; large, deep root systems composed of fine roots generally exhibit greater absorptive capacity than less </w:t>
      </w:r>
      <w:proofErr w:type="spellStart"/>
      <w:r w:rsidR="00111A40">
        <w:rPr>
          <w:rFonts w:ascii="Arial" w:hAnsi="Arial" w:cs="Arial"/>
          <w:bCs/>
        </w:rPr>
        <w:t>expansive</w:t>
      </w:r>
      <w:proofErr w:type="spellEnd"/>
      <w:r w:rsidR="00111A40">
        <w:rPr>
          <w:rFonts w:ascii="Arial" w:hAnsi="Arial" w:cs="Arial"/>
          <w:bCs/>
        </w:rPr>
        <w:t xml:space="preserve"> one</w:t>
      </w:r>
      <w:r w:rsidR="00651EF1">
        <w:rPr>
          <w:rFonts w:ascii="Arial" w:hAnsi="Arial" w:cs="Arial"/>
          <w:bCs/>
        </w:rPr>
        <w:t>s.</w:t>
      </w:r>
    </w:p>
    <w:p w14:paraId="36E0DB25" w14:textId="086F741E" w:rsidR="00651EF1" w:rsidRDefault="00651EF1" w:rsidP="00417EBD">
      <w:pPr>
        <w:rPr>
          <w:rFonts w:ascii="Arial" w:hAnsi="Arial" w:cs="Arial"/>
          <w:bCs/>
        </w:rPr>
      </w:pPr>
      <w:r>
        <w:rPr>
          <w:rFonts w:ascii="Arial" w:hAnsi="Arial" w:cs="Arial"/>
          <w:bCs/>
        </w:rPr>
        <w:t xml:space="preserve">These broad patterns are subject to further sub-specialization, however. </w:t>
      </w:r>
      <w:r w:rsidR="009F40EF">
        <w:rPr>
          <w:rFonts w:ascii="Arial" w:hAnsi="Arial" w:cs="Arial"/>
          <w:bCs/>
        </w:rPr>
        <w:t xml:space="preserve">Plants are known to exhibit variation in tissue stoichiometry, </w:t>
      </w:r>
      <w:r w:rsidR="007E0363">
        <w:rPr>
          <w:rFonts w:ascii="Arial" w:hAnsi="Arial" w:cs="Arial"/>
          <w:bCs/>
        </w:rPr>
        <w:t xml:space="preserve">resource use </w:t>
      </w:r>
      <w:r w:rsidR="009F40EF">
        <w:rPr>
          <w:rFonts w:ascii="Arial" w:hAnsi="Arial" w:cs="Arial"/>
          <w:bCs/>
        </w:rPr>
        <w:t xml:space="preserve">plasticity, and </w:t>
      </w:r>
      <w:r w:rsidR="006556F7">
        <w:rPr>
          <w:rFonts w:ascii="Arial" w:hAnsi="Arial" w:cs="Arial"/>
          <w:bCs/>
        </w:rPr>
        <w:t xml:space="preserve">present </w:t>
      </w:r>
      <w:r w:rsidR="009F40EF">
        <w:rPr>
          <w:rFonts w:ascii="Arial" w:hAnsi="Arial" w:cs="Arial"/>
          <w:bCs/>
        </w:rPr>
        <w:t xml:space="preserve">adaptations that </w:t>
      </w:r>
      <w:r w:rsidR="00D95E08">
        <w:rPr>
          <w:rFonts w:ascii="Arial" w:hAnsi="Arial" w:cs="Arial"/>
          <w:bCs/>
        </w:rPr>
        <w:t>increase the uptake and use of specific resource types</w:t>
      </w:r>
      <w:r w:rsidR="0021309B">
        <w:rPr>
          <w:rFonts w:ascii="Arial" w:hAnsi="Arial" w:cs="Arial"/>
          <w:bCs/>
        </w:rPr>
        <w:t xml:space="preserve"> </w:t>
      </w:r>
      <w:r w:rsidR="0021309B">
        <w:rPr>
          <w:rFonts w:ascii="Arial" w:hAnsi="Arial" w:cs="Arial"/>
          <w:bCs/>
        </w:rPr>
        <w:fldChar w:fldCharType="begin" w:fldLock="1"/>
      </w:r>
      <w:r w:rsidR="0021309B">
        <w:rPr>
          <w:rFonts w:ascii="Arial" w:hAnsi="Arial" w:cs="Arial"/>
          <w:bCs/>
        </w:rPr>
        <w:instrText>ADDIN CSL_CITATION {"citationItems":[{"id":"ITEM-1","itemData":{"DOI":"10.1146/annurev.ecolsys.39.110707.173515","ISSN":"1543-592X","abstract":"Stoichiometric relations in plants, with emphasis on C:N:P, are reviewed. Both theoretically and empirically it is found for whole plants as well as for different tissues that: nitrogen concentrations increase slower than phosphorus concentrations. A lack of data prevents the establishment of relations between nitrogen and other elements. Optimal element ratios where elements are simultaneously limiting growth can be established. There is a considerable variability around these optimal ratios in observed values. Conclusions about the ecological significance of stoichiometric relations based on these observations may therefore be biased. The significance of this variability remains to be established.","author":[{"dropping-particle":"","family":"Ågren","given":"Göran I.","non-dropping-particle":"","parse-names":false,"suffix":""}],"container-title":"Annual Review of Ecology, Evolution, and Systematics","id":"ITEM-1","issue":"1","issued":{"date-parts":[["2008"]]},"page":"153-170","title":"Stoichiometry and Nutrition of Plant Growth in Natural Communities","type":"article-journal","volume":"39"},"uris":["http://www.mendeley.com/documents/?uuid=8f85ca5f-a61b-485d-a6ef-30bbfc2f48ce"]},{"id":"ITEM-2","itemData":{"DOI":"10.1111/j.1469-8137.2004.01192.x","ISSN":"0028646X","abstract":"Nitrogen (N) and phosphorus (P) availability limit plant growth in most terrestrial ecosystems. This review examines how variation in the relative availability of N and P, as reflected by N:P ratios of plant biomass, influences vegetation composition and functioning. Plastic responses of plants to N and P supply cause up to 50-fold variation in biomass N:P ratios, associated with differences in root allocation, nutrient uptake, biomass turnover and reproductive output. Optimal N:P ratios - those of plants whose growth is equally limited by N and P - depend on species, growth rate, plant age and plant parts. At vegetation level, N:P ratios &lt;10 and &gt;20 often (not always) correspond to N- and P-limited biomass production, as shown by short-term fertilization experiments; however long-term effects of fertilization or effects on individual species can be different. N:P ratios are on average higher in graminoids than in forbs, and in stress-tolerant species compared with ruderals; they correlate negatively with the maximal relative growth rates of species and with their N-indicator values. At vegetation level, N:P ratios often correlate negatively with biomass production; high N:P ratios promote graminoids and stress tolerators relative to other species/whereas relationships with species richness are not consistent. N:P ratios are influenced by global change, increased atmospheric N deposition, and conservation managment. © New Phytologist (2004).","author":[{"dropping-particle":"","family":"Güsewell","given":"Sabine","non-dropping-particle":"","parse-names":false,"suffix":""}],"container-title":"New Phytologist","id":"ITEM-2","issue":"2","issued":{"date-parts":[["2004"]]},"page":"243-266","title":"N:P ratios in terrestrial plants: Variation and functional significance","type":"article-journal","volume":"164"},"uris":["http://www.mendeley.com/documents/?uuid=c880a783-715b-4252-bec6-af2d2e643544"]}],"mendeley":{"formattedCitation":"(Güsewell 2004, Ågren 2008)","plainTextFormattedCitation":"(Güsewell 2004, Ågren 2008)","previouslyFormattedCitation":"(Güsewell 2004, Ågren 2008)"},"properties":{"noteIndex":0},"schema":"https://github.com/citation-style-language/schema/raw/master/csl-citation.json"}</w:instrText>
      </w:r>
      <w:r w:rsidR="0021309B">
        <w:rPr>
          <w:rFonts w:ascii="Arial" w:hAnsi="Arial" w:cs="Arial"/>
          <w:bCs/>
        </w:rPr>
        <w:fldChar w:fldCharType="separate"/>
      </w:r>
      <w:r w:rsidR="0021309B" w:rsidRPr="0021309B">
        <w:rPr>
          <w:rFonts w:ascii="Arial" w:hAnsi="Arial" w:cs="Arial"/>
          <w:bCs/>
          <w:noProof/>
        </w:rPr>
        <w:t>(Güsewell 2004, Ågren 2008)</w:t>
      </w:r>
      <w:r w:rsidR="0021309B">
        <w:rPr>
          <w:rFonts w:ascii="Arial" w:hAnsi="Arial" w:cs="Arial"/>
          <w:bCs/>
        </w:rPr>
        <w:fldChar w:fldCharType="end"/>
      </w:r>
      <w:r w:rsidR="00D95E08">
        <w:rPr>
          <w:rFonts w:ascii="Arial" w:hAnsi="Arial" w:cs="Arial"/>
          <w:bCs/>
        </w:rPr>
        <w:t xml:space="preserve">. </w:t>
      </w:r>
      <w:r w:rsidR="00BD72BD">
        <w:rPr>
          <w:rFonts w:ascii="Arial" w:hAnsi="Arial" w:cs="Arial"/>
          <w:bCs/>
        </w:rPr>
        <w:t xml:space="preserve">Specialized root structures </w:t>
      </w:r>
      <w:r w:rsidR="00FD757D">
        <w:rPr>
          <w:rFonts w:ascii="Arial" w:hAnsi="Arial" w:cs="Arial"/>
          <w:bCs/>
        </w:rPr>
        <w:t xml:space="preserve">may increase rates of phosphorous extraction from recalcitrant soil types, while </w:t>
      </w:r>
      <w:r w:rsidR="004F1167">
        <w:rPr>
          <w:rFonts w:ascii="Arial" w:hAnsi="Arial" w:cs="Arial"/>
          <w:bCs/>
        </w:rPr>
        <w:t xml:space="preserve">in many species, </w:t>
      </w:r>
      <w:r w:rsidR="00FD757D">
        <w:rPr>
          <w:rFonts w:ascii="Arial" w:hAnsi="Arial" w:cs="Arial"/>
          <w:bCs/>
        </w:rPr>
        <w:t>microbial symbionts</w:t>
      </w:r>
      <w:r w:rsidR="00B43DAD">
        <w:rPr>
          <w:rFonts w:ascii="Arial" w:hAnsi="Arial" w:cs="Arial"/>
          <w:bCs/>
        </w:rPr>
        <w:t xml:space="preserve"> are known to reduce plant dependence on available soil nitrogen </w:t>
      </w:r>
      <w:r w:rsidR="004F1167">
        <w:rPr>
          <w:rFonts w:ascii="Arial" w:hAnsi="Arial" w:cs="Arial"/>
          <w:bCs/>
        </w:rPr>
        <w:t>and other micronutrients</w:t>
      </w:r>
      <w:r w:rsidR="0021309B">
        <w:rPr>
          <w:rFonts w:ascii="Arial" w:hAnsi="Arial" w:cs="Arial"/>
          <w:bCs/>
        </w:rPr>
        <w:t xml:space="preserve"> </w:t>
      </w:r>
      <w:r w:rsidR="0021309B">
        <w:rPr>
          <w:rFonts w:ascii="Arial" w:hAnsi="Arial" w:cs="Arial"/>
          <w:bCs/>
        </w:rPr>
        <w:fldChar w:fldCharType="begin" w:fldLock="1"/>
      </w:r>
      <w:r w:rsidR="003D56EE">
        <w:rPr>
          <w:rFonts w:ascii="Arial" w:hAnsi="Arial" w:cs="Arial"/>
          <w:bCs/>
        </w:rPr>
        <w:instrText>ADDIN CSL_CITATION {"citationItems":[{"id":"ITEM-1","itemData":{"DOI":"10.1016/j.tree.2007.10.008","ISSN":"01695347","abstract":"Nitrogen (N) tends to limit plant productivity on young soils; phosphorus (P) becomes increasingly limiting in ancient soils because it gradually disappears through leaching and erosion. Plant traits that are regarded as adaptations to N- and P-limited conditions include mycorrhizas and cluster roots. Mycorrhizas 'scavenge' P from solution or 'mine' insoluble organic N. Cluster roots function in severely P-impoverished landscapes, 'mining' P fixed as insoluble inorganic phosphates. The 'scavenging' and 'mining' strategies of mycorrhizal species without and non-mycorrhizal species with cluster roots, respectively, allow functioning on soils that differ markedly in P availability. Based on recent advances in our understanding of these contrasting strategies of nutrient acquisition, we provide an explanation for the distribution of mycorrhizal species on less P-impoverished soils, and for why, globally, cluster-bearing species dominate on severely P-impoverished, ancient soils, where P sensitivity is relatively common. © 2007 Elsevier Ltd. All rights reserved.","author":[{"dropping-particle":"","family":"Lambers","given":"Hans","non-dropping-particle":"","parse-names":false,"suffix":""},{"dropping-particle":"","family":"Raven","given":"John A.","non-dropping-particle":"","parse-names":false,"suffix":""},{"dropping-particle":"","family":"Shaver","given":"Gaius R.","non-dropping-particle":"","parse-names":false,"suffix":""},{"dropping-particle":"","family":"Smith","given":"Sally E.","non-dropping-particle":"","parse-names":false,"suffix":""}],"container-title":"Trends in Ecology and Evolution","id":"ITEM-1","issue":"2","issued":{"date-parts":[["2008"]]},"page":"95-103","title":"Plant nutrient-acquisition strategies change with soil age","type":"article-journal","volume":"23"},"uris":["http://www.mendeley.com/documents/?uuid=9123ae38-9478-4832-ad6f-5011b17960bc"]},{"id":"ITEM-2","itemData":{"DOI":"10.1073/pnas.0408648102","ISBN":"0027-8424","ISSN":"0027-8424","PMID":"15755810","abstract":"Human activities have increased N availability dramatically in terrestrial and aquatic ecosystems. Extensive research demonstrates that local plant species diversity generally declines in response to nutrient enrichment, yet the mechanisms for this decline remain unclear. Based on an analysis of &gt;900 species responses from 34 N-fertilization experiments across nine terrestrial ecosystems in North America, we show that both trait-neutral and trait-based mechanisms operate simultaneously to influence diversity loss as production increases. Rare species were often lost because of soil fertilization, randomly with respect to traits. The risk of species loss due to fertilization ranged from &gt;60% for the rarest species to 10% for the most abundant species. Perennials, species with N-fixing symbionts, and those of native origin also experienced increased risk of local extinction after fertilization, regardless of their initial abundance. Whereas abundance was consistently important across all systems, functional mechanisms were often system-dependent. As IN availability continues to increase globally, management that focuses on locally susceptible functional groups and generally susceptible rare species will be essential to maintain biodiversity.","author":[{"dropping-particle":"","family":"Suding","given":"K N","non-dropping-particle":"","parse-names":false,"suffix":""},{"dropping-particle":"","family":"Collins","given":"S L","non-dropping-particle":"","parse-names":false,"suffix":""},{"dropping-particle":"","family":"Gough","given":"L","non-dropping-particle":"","parse-names":false,"suffix":""},{"dropping-particle":"","family":"Clark","given":"C","non-dropping-particle":"","parse-names":false,"suffix":""},{"dropping-particle":"","family":"Cleland","given":"E E","non-dropping-particle":"","parse-names":false,"suffix":""},{"dropping-particle":"","family":"Gross","given":"K L","non-dropping-particle":"","parse-names":false,"suffix":""},{"dropping-particle":"","family":"Milchunas","given":"D G","non-dropping-particle":"","parse-names":false,"suffix":""},{"dropping-particle":"","family":"Pennings","given":"S","non-dropping-particle":"","parse-names":false,"suffix":""}],"container-title":"Proceedings of the National Academy of Sciences of the United States of America","id":"ITEM-2","issue":"12","issued":{"date-parts":[["2005"]]},"page":"4387-4392","title":"Functional- and abundance-based mechanisms explain diversity loss due to N fertilization","type":"article-journal","volume":"102"},"uris":["http://www.mendeley.com/documents/?uuid=951350a1-86c0-477d-b942-df7585b98f39"]}],"mendeley":{"formattedCitation":"(Suding et al. 2005, Lambers et al. 2008)","plainTextFormattedCitation":"(Suding et al. 2005, Lambers et al. 2008)","previouslyFormattedCitation":"(Suding et al. 2005, Lambers et al. 2008)"},"properties":{"noteIndex":0},"schema":"https://github.com/citation-style-language/schema/raw/master/csl-citation.json"}</w:instrText>
      </w:r>
      <w:r w:rsidR="0021309B">
        <w:rPr>
          <w:rFonts w:ascii="Arial" w:hAnsi="Arial" w:cs="Arial"/>
          <w:bCs/>
        </w:rPr>
        <w:fldChar w:fldCharType="separate"/>
      </w:r>
      <w:r w:rsidR="0021309B" w:rsidRPr="0021309B">
        <w:rPr>
          <w:rFonts w:ascii="Arial" w:hAnsi="Arial" w:cs="Arial"/>
          <w:bCs/>
          <w:noProof/>
        </w:rPr>
        <w:t>(Suding et al. 2005, Lambers et al. 2008)</w:t>
      </w:r>
      <w:r w:rsidR="0021309B">
        <w:rPr>
          <w:rFonts w:ascii="Arial" w:hAnsi="Arial" w:cs="Arial"/>
          <w:bCs/>
        </w:rPr>
        <w:fldChar w:fldCharType="end"/>
      </w:r>
      <w:r w:rsidR="004F1167">
        <w:rPr>
          <w:rFonts w:ascii="Arial" w:hAnsi="Arial" w:cs="Arial"/>
          <w:bCs/>
        </w:rPr>
        <w:t xml:space="preserve">. </w:t>
      </w:r>
    </w:p>
    <w:p w14:paraId="7A73469C" w14:textId="11514DB5" w:rsidR="00C65258" w:rsidRDefault="000D31B5" w:rsidP="00B364F9">
      <w:pPr>
        <w:rPr>
          <w:rFonts w:ascii="Arial" w:hAnsi="Arial" w:cs="Arial"/>
          <w:bCs/>
        </w:rPr>
      </w:pPr>
      <w:r>
        <w:rPr>
          <w:rFonts w:ascii="Arial" w:hAnsi="Arial" w:cs="Arial"/>
          <w:bCs/>
        </w:rPr>
        <w:t xml:space="preserve">In turn, the development of these nutrient-specific tradeoffs will depend other mechanisms of species coexistence in a given context. </w:t>
      </w:r>
      <w:r w:rsidR="00607437">
        <w:rPr>
          <w:rFonts w:ascii="Arial" w:hAnsi="Arial" w:cs="Arial"/>
          <w:bCs/>
        </w:rPr>
        <w:t xml:space="preserve">The availability of different </w:t>
      </w:r>
      <w:r>
        <w:rPr>
          <w:rFonts w:ascii="Arial" w:hAnsi="Arial" w:cs="Arial"/>
          <w:bCs/>
        </w:rPr>
        <w:t>belowground resources present</w:t>
      </w:r>
      <w:r w:rsidR="00607437">
        <w:rPr>
          <w:rFonts w:ascii="Arial" w:hAnsi="Arial" w:cs="Arial"/>
          <w:bCs/>
        </w:rPr>
        <w:t xml:space="preserve">s </w:t>
      </w:r>
      <w:r>
        <w:rPr>
          <w:rFonts w:ascii="Arial" w:hAnsi="Arial" w:cs="Arial"/>
          <w:bCs/>
        </w:rPr>
        <w:t xml:space="preserve">one subset of the total niche space on which species are distributed; coexistence in many environments is also predicated </w:t>
      </w:r>
      <w:r w:rsidR="00607437">
        <w:rPr>
          <w:rFonts w:ascii="Arial" w:hAnsi="Arial" w:cs="Arial"/>
          <w:bCs/>
        </w:rPr>
        <w:t xml:space="preserve">on trade-offs </w:t>
      </w:r>
      <w:r w:rsidR="005906CF">
        <w:rPr>
          <w:rFonts w:ascii="Arial" w:hAnsi="Arial" w:cs="Arial"/>
          <w:bCs/>
        </w:rPr>
        <w:t xml:space="preserve">in water use and storage, herbivore </w:t>
      </w:r>
      <w:r w:rsidR="004217D8">
        <w:rPr>
          <w:rFonts w:ascii="Arial" w:hAnsi="Arial" w:cs="Arial"/>
          <w:bCs/>
        </w:rPr>
        <w:t xml:space="preserve">defense, or </w:t>
      </w:r>
      <w:r w:rsidR="00731617">
        <w:rPr>
          <w:rFonts w:ascii="Arial" w:hAnsi="Arial" w:cs="Arial"/>
          <w:bCs/>
        </w:rPr>
        <w:t xml:space="preserve">tolerance of disturbance. Adaptations that produce niche differentiation on these axes may </w:t>
      </w:r>
      <w:r w:rsidR="00694220">
        <w:rPr>
          <w:rFonts w:ascii="Arial" w:hAnsi="Arial" w:cs="Arial"/>
          <w:bCs/>
        </w:rPr>
        <w:t xml:space="preserve">constrain development of others; </w:t>
      </w:r>
      <w:r w:rsidR="00C4294C">
        <w:rPr>
          <w:rFonts w:ascii="Arial" w:hAnsi="Arial" w:cs="Arial"/>
          <w:bCs/>
        </w:rPr>
        <w:t xml:space="preserve">greater plant investment into root tissues to provide drought tolerance, for example, may necessarily </w:t>
      </w:r>
      <w:r w:rsidR="007F4E3F">
        <w:rPr>
          <w:rFonts w:ascii="Arial" w:hAnsi="Arial" w:cs="Arial"/>
          <w:bCs/>
        </w:rPr>
        <w:t xml:space="preserve">decrease </w:t>
      </w:r>
      <w:r w:rsidR="00510808">
        <w:rPr>
          <w:rFonts w:ascii="Arial" w:hAnsi="Arial" w:cs="Arial"/>
          <w:bCs/>
        </w:rPr>
        <w:t>competitive ability under high resource conditions.</w:t>
      </w:r>
    </w:p>
    <w:p w14:paraId="771ED585" w14:textId="0A2A2ECA" w:rsidR="00B364F9" w:rsidRDefault="00895CBD" w:rsidP="00B364F9">
      <w:pPr>
        <w:rPr>
          <w:rFonts w:ascii="Arial" w:hAnsi="Arial" w:cs="Arial"/>
          <w:bCs/>
        </w:rPr>
      </w:pPr>
      <w:r>
        <w:rPr>
          <w:rFonts w:ascii="Arial" w:hAnsi="Arial" w:cs="Arial"/>
          <w:bCs/>
        </w:rPr>
        <w:t xml:space="preserve">Finally, </w:t>
      </w:r>
      <w:r w:rsidR="007D10E8">
        <w:rPr>
          <w:rFonts w:ascii="Arial" w:hAnsi="Arial" w:cs="Arial"/>
          <w:bCs/>
        </w:rPr>
        <w:t xml:space="preserve">resource competition theory </w:t>
      </w:r>
      <w:r w:rsidR="002708BE">
        <w:rPr>
          <w:rFonts w:ascii="Arial" w:hAnsi="Arial" w:cs="Arial"/>
          <w:bCs/>
        </w:rPr>
        <w:t xml:space="preserve">emphasizes that </w:t>
      </w:r>
      <w:r w:rsidR="00100A81">
        <w:rPr>
          <w:rFonts w:ascii="Arial" w:hAnsi="Arial" w:cs="Arial"/>
          <w:bCs/>
        </w:rPr>
        <w:t xml:space="preserve">successful species </w:t>
      </w:r>
      <w:r w:rsidR="00A67CD4">
        <w:rPr>
          <w:rFonts w:ascii="Arial" w:hAnsi="Arial" w:cs="Arial"/>
          <w:bCs/>
        </w:rPr>
        <w:t>can</w:t>
      </w:r>
      <w:r w:rsidR="00100A81">
        <w:rPr>
          <w:rFonts w:ascii="Arial" w:hAnsi="Arial" w:cs="Arial"/>
          <w:bCs/>
        </w:rPr>
        <w:t xml:space="preserve"> reduce </w:t>
      </w:r>
      <w:r w:rsidR="00A67CD4">
        <w:rPr>
          <w:rFonts w:ascii="Arial" w:hAnsi="Arial" w:cs="Arial"/>
          <w:bCs/>
        </w:rPr>
        <w:t xml:space="preserve">resources to lower </w:t>
      </w:r>
      <w:r w:rsidR="00972796">
        <w:rPr>
          <w:rFonts w:ascii="Arial" w:hAnsi="Arial" w:cs="Arial"/>
          <w:bCs/>
        </w:rPr>
        <w:t xml:space="preserve">concentrations </w:t>
      </w:r>
      <w:r w:rsidR="00100A81">
        <w:rPr>
          <w:rFonts w:ascii="Arial" w:hAnsi="Arial" w:cs="Arial"/>
          <w:bCs/>
        </w:rPr>
        <w:t xml:space="preserve">than their </w:t>
      </w:r>
      <w:r w:rsidR="003B5F58">
        <w:rPr>
          <w:rFonts w:ascii="Arial" w:hAnsi="Arial" w:cs="Arial"/>
          <w:bCs/>
        </w:rPr>
        <w:t xml:space="preserve">competitors – as such, variation in trajectories of community change following </w:t>
      </w:r>
      <w:r w:rsidR="00B542E8">
        <w:rPr>
          <w:rFonts w:ascii="Arial" w:hAnsi="Arial" w:cs="Arial"/>
          <w:bCs/>
        </w:rPr>
        <w:t xml:space="preserve">multiple </w:t>
      </w:r>
      <w:r w:rsidR="003B5F58">
        <w:rPr>
          <w:rFonts w:ascii="Arial" w:hAnsi="Arial" w:cs="Arial"/>
          <w:bCs/>
        </w:rPr>
        <w:t xml:space="preserve">resource enrichment will depend on </w:t>
      </w:r>
      <w:r w:rsidR="00A67CD4">
        <w:rPr>
          <w:rFonts w:ascii="Arial" w:hAnsi="Arial" w:cs="Arial"/>
          <w:bCs/>
        </w:rPr>
        <w:t xml:space="preserve">characteristics of interacting species </w:t>
      </w:r>
      <w:r w:rsidR="003B5F58">
        <w:rPr>
          <w:rFonts w:ascii="Arial" w:hAnsi="Arial" w:cs="Arial"/>
          <w:bCs/>
        </w:rPr>
        <w:t xml:space="preserve">prior to </w:t>
      </w:r>
      <w:r w:rsidR="00D95146">
        <w:rPr>
          <w:rFonts w:ascii="Arial" w:hAnsi="Arial" w:cs="Arial"/>
          <w:bCs/>
        </w:rPr>
        <w:t xml:space="preserve">fertilization. Greater taxonomic or functional diversity, for example, may be correlated with greater </w:t>
      </w:r>
      <w:r w:rsidR="00082EEB">
        <w:rPr>
          <w:rFonts w:ascii="Arial" w:hAnsi="Arial" w:cs="Arial"/>
          <w:bCs/>
        </w:rPr>
        <w:t xml:space="preserve">niche differentiation across belowground resources, leading </w:t>
      </w:r>
      <w:r w:rsidR="00B95216">
        <w:rPr>
          <w:rFonts w:ascii="Arial" w:hAnsi="Arial" w:cs="Arial"/>
          <w:bCs/>
        </w:rPr>
        <w:t>to effects that differ</w:t>
      </w:r>
      <w:r w:rsidR="00F436F2">
        <w:rPr>
          <w:rFonts w:ascii="Arial" w:hAnsi="Arial" w:cs="Arial"/>
          <w:bCs/>
        </w:rPr>
        <w:t xml:space="preserve"> in direction</w:t>
      </w:r>
      <w:r w:rsidR="00B95216">
        <w:rPr>
          <w:rFonts w:ascii="Arial" w:hAnsi="Arial" w:cs="Arial"/>
          <w:bCs/>
        </w:rPr>
        <w:t xml:space="preserve">. </w:t>
      </w:r>
    </w:p>
    <w:p w14:paraId="6D206B16" w14:textId="20C34E1B" w:rsidR="002F0044" w:rsidRDefault="002F216E" w:rsidP="002F0044">
      <w:pPr>
        <w:rPr>
          <w:rFonts w:ascii="Arial" w:hAnsi="Arial" w:cs="Arial"/>
          <w:bCs/>
        </w:rPr>
      </w:pPr>
      <w:r>
        <w:rPr>
          <w:rFonts w:ascii="Arial" w:hAnsi="Arial" w:cs="Arial"/>
          <w:bCs/>
        </w:rPr>
        <w:t xml:space="preserve">To understand the importance of belowground resource supply and stoichiometry </w:t>
      </w:r>
      <w:r w:rsidR="000472B9">
        <w:rPr>
          <w:rFonts w:ascii="Arial" w:hAnsi="Arial" w:cs="Arial"/>
          <w:bCs/>
        </w:rPr>
        <w:t>to plant coexistence, we use data from the Nutrient Network</w:t>
      </w:r>
      <w:r w:rsidR="002E6DB1">
        <w:rPr>
          <w:rFonts w:ascii="Arial" w:hAnsi="Arial" w:cs="Arial"/>
          <w:bCs/>
        </w:rPr>
        <w:t xml:space="preserve">, a </w:t>
      </w:r>
      <w:r w:rsidR="000472B9">
        <w:rPr>
          <w:rFonts w:ascii="Arial" w:hAnsi="Arial" w:cs="Arial"/>
          <w:bCs/>
        </w:rPr>
        <w:t xml:space="preserve">globally distributed experiment </w:t>
      </w:r>
      <w:r w:rsidR="006F607C">
        <w:rPr>
          <w:rFonts w:ascii="Arial" w:hAnsi="Arial" w:cs="Arial"/>
          <w:bCs/>
        </w:rPr>
        <w:t xml:space="preserve">manipulating the available of individual soil resources. </w:t>
      </w:r>
      <w:r w:rsidR="002F0044">
        <w:rPr>
          <w:rFonts w:ascii="Arial" w:hAnsi="Arial" w:cs="Arial"/>
          <w:bCs/>
        </w:rPr>
        <w:t xml:space="preserve">Rather than comparing </w:t>
      </w:r>
      <w:r w:rsidR="009A77FA">
        <w:rPr>
          <w:rFonts w:ascii="Arial" w:hAnsi="Arial" w:cs="Arial"/>
          <w:bCs/>
        </w:rPr>
        <w:t xml:space="preserve">the relative fit of models assuming </w:t>
      </w:r>
      <w:r w:rsidR="00A926C6">
        <w:rPr>
          <w:rFonts w:ascii="Arial" w:hAnsi="Arial" w:cs="Arial"/>
          <w:bCs/>
        </w:rPr>
        <w:t xml:space="preserve">one-dimensional or multi-dimensional trade-offs in belowground resource acquisition, we synthesize these perspectives </w:t>
      </w:r>
      <w:r w:rsidR="004A5B3D">
        <w:rPr>
          <w:rFonts w:ascii="Arial" w:hAnsi="Arial" w:cs="Arial"/>
          <w:bCs/>
        </w:rPr>
        <w:t xml:space="preserve">to capture how these </w:t>
      </w:r>
      <w:r w:rsidR="00796922">
        <w:rPr>
          <w:rFonts w:ascii="Arial" w:hAnsi="Arial" w:cs="Arial"/>
          <w:bCs/>
        </w:rPr>
        <w:t>mechanisms</w:t>
      </w:r>
      <w:r w:rsidR="004A5B3D">
        <w:rPr>
          <w:rFonts w:ascii="Arial" w:hAnsi="Arial" w:cs="Arial"/>
          <w:bCs/>
        </w:rPr>
        <w:t xml:space="preserve"> interact </w:t>
      </w:r>
      <w:r w:rsidR="004B44E0">
        <w:rPr>
          <w:rFonts w:ascii="Arial" w:hAnsi="Arial" w:cs="Arial"/>
          <w:bCs/>
        </w:rPr>
        <w:t>to control community composition.</w:t>
      </w:r>
      <w:r w:rsidR="00E37A35">
        <w:rPr>
          <w:rFonts w:ascii="Arial" w:hAnsi="Arial" w:cs="Arial"/>
          <w:bCs/>
        </w:rPr>
        <w:t xml:space="preserve"> </w:t>
      </w:r>
    </w:p>
    <w:p w14:paraId="6E0F15A2" w14:textId="099CA28E" w:rsidR="00056516" w:rsidRDefault="00FD11AD" w:rsidP="00B364F9">
      <w:pPr>
        <w:rPr>
          <w:rFonts w:ascii="Arial" w:hAnsi="Arial" w:cs="Arial"/>
          <w:bCs/>
        </w:rPr>
      </w:pPr>
      <w:r>
        <w:rPr>
          <w:rFonts w:ascii="Arial" w:hAnsi="Arial" w:cs="Arial"/>
          <w:bCs/>
        </w:rPr>
        <w:t xml:space="preserve">To capture variation in community </w:t>
      </w:r>
      <w:r w:rsidR="00720AA0">
        <w:rPr>
          <w:rFonts w:ascii="Arial" w:hAnsi="Arial" w:cs="Arial"/>
          <w:bCs/>
        </w:rPr>
        <w:t xml:space="preserve">change following </w:t>
      </w:r>
      <w:r>
        <w:rPr>
          <w:rFonts w:ascii="Arial" w:hAnsi="Arial" w:cs="Arial"/>
          <w:bCs/>
        </w:rPr>
        <w:t xml:space="preserve">fertilization of different belowground resources, we constructed a null model based on a “neutral” assumption </w:t>
      </w:r>
      <w:r w:rsidR="006671A6">
        <w:rPr>
          <w:rFonts w:ascii="Arial" w:hAnsi="Arial" w:cs="Arial"/>
          <w:bCs/>
        </w:rPr>
        <w:t>(</w:t>
      </w:r>
      <w:proofErr w:type="spellStart"/>
      <w:r w:rsidR="006671A6" w:rsidRPr="00813753">
        <w:rPr>
          <w:rFonts w:ascii="Arial" w:hAnsi="Arial" w:cs="Arial"/>
          <w:bCs/>
          <w:i/>
          <w:iCs/>
        </w:rPr>
        <w:t>sensu</w:t>
      </w:r>
      <w:proofErr w:type="spellEnd"/>
      <w:r w:rsidR="006671A6">
        <w:rPr>
          <w:rFonts w:ascii="Arial" w:hAnsi="Arial" w:cs="Arial"/>
          <w:bCs/>
        </w:rPr>
        <w:t xml:space="preserve"> </w:t>
      </w:r>
      <w:r w:rsidR="00A436CC">
        <w:rPr>
          <w:rFonts w:ascii="Arial" w:hAnsi="Arial" w:cs="Arial"/>
          <w:bCs/>
        </w:rPr>
        <w:t>Hubbell 2001)</w:t>
      </w:r>
      <w:r w:rsidR="00ED490E">
        <w:rPr>
          <w:rFonts w:ascii="Arial" w:hAnsi="Arial" w:cs="Arial"/>
          <w:bCs/>
        </w:rPr>
        <w:t xml:space="preserve"> </w:t>
      </w:r>
      <w:r>
        <w:rPr>
          <w:rFonts w:ascii="Arial" w:hAnsi="Arial" w:cs="Arial"/>
          <w:bCs/>
        </w:rPr>
        <w:t xml:space="preserve">that species </w:t>
      </w:r>
      <w:r w:rsidR="00ED490E">
        <w:rPr>
          <w:rFonts w:ascii="Arial" w:hAnsi="Arial" w:cs="Arial"/>
          <w:bCs/>
        </w:rPr>
        <w:t>respond only to changes in nutrient supply, rather than stoichiometry</w:t>
      </w:r>
      <w:r w:rsidR="00640702">
        <w:rPr>
          <w:rFonts w:ascii="Arial" w:hAnsi="Arial" w:cs="Arial"/>
          <w:bCs/>
        </w:rPr>
        <w:t xml:space="preserve">. Under </w:t>
      </w:r>
      <w:r w:rsidR="00861A04">
        <w:rPr>
          <w:rFonts w:ascii="Arial" w:hAnsi="Arial" w:cs="Arial"/>
          <w:bCs/>
        </w:rPr>
        <w:t xml:space="preserve">a </w:t>
      </w:r>
      <w:r w:rsidR="00640702">
        <w:rPr>
          <w:rFonts w:ascii="Arial" w:hAnsi="Arial" w:cs="Arial"/>
          <w:bCs/>
        </w:rPr>
        <w:t xml:space="preserve">neutral expectation, </w:t>
      </w:r>
      <w:r w:rsidR="00BA36CE">
        <w:rPr>
          <w:rFonts w:ascii="Arial" w:hAnsi="Arial" w:cs="Arial"/>
          <w:bCs/>
        </w:rPr>
        <w:t>communities will exhibit consistent trajectories across treatments</w:t>
      </w:r>
      <w:r w:rsidR="00E37A35">
        <w:rPr>
          <w:rFonts w:ascii="Arial" w:hAnsi="Arial" w:cs="Arial"/>
          <w:bCs/>
        </w:rPr>
        <w:t>, forming a one-dimensional axis of change</w:t>
      </w:r>
      <w:r w:rsidR="00BA36CE">
        <w:rPr>
          <w:rFonts w:ascii="Arial" w:hAnsi="Arial" w:cs="Arial"/>
          <w:bCs/>
        </w:rPr>
        <w:t xml:space="preserve">. </w:t>
      </w:r>
      <w:r w:rsidR="00861A04">
        <w:rPr>
          <w:rFonts w:ascii="Arial" w:hAnsi="Arial" w:cs="Arial"/>
          <w:bCs/>
        </w:rPr>
        <w:t>The degree of deviation from this null</w:t>
      </w:r>
      <w:r w:rsidR="00D21A0E">
        <w:rPr>
          <w:rFonts w:ascii="Arial" w:hAnsi="Arial" w:cs="Arial"/>
          <w:bCs/>
        </w:rPr>
        <w:t xml:space="preserve"> model thus forms a measure of </w:t>
      </w:r>
      <w:r w:rsidR="00D21A0E" w:rsidRPr="00D21A0E">
        <w:rPr>
          <w:rFonts w:ascii="Arial" w:hAnsi="Arial" w:cs="Arial"/>
          <w:bCs/>
          <w:i/>
          <w:iCs/>
        </w:rPr>
        <w:t>response dimensionality</w:t>
      </w:r>
      <w:r w:rsidR="00D21A0E">
        <w:rPr>
          <w:rFonts w:ascii="Arial" w:hAnsi="Arial" w:cs="Arial"/>
          <w:bCs/>
        </w:rPr>
        <w:t xml:space="preserve"> – variation among trajectories of change following different treatments – that </w:t>
      </w:r>
      <w:r w:rsidR="00216002">
        <w:rPr>
          <w:rFonts w:ascii="Arial" w:hAnsi="Arial" w:cs="Arial"/>
          <w:bCs/>
        </w:rPr>
        <w:t>may be used to infer</w:t>
      </w:r>
      <w:r w:rsidR="00D55E54">
        <w:rPr>
          <w:rFonts w:ascii="Arial" w:hAnsi="Arial" w:cs="Arial"/>
          <w:bCs/>
        </w:rPr>
        <w:t xml:space="preserve"> </w:t>
      </w:r>
      <w:r w:rsidR="007B6F79">
        <w:rPr>
          <w:rFonts w:ascii="Arial" w:hAnsi="Arial" w:cs="Arial"/>
          <w:bCs/>
        </w:rPr>
        <w:t>the trade-offs governing species coexistence.</w:t>
      </w:r>
    </w:p>
    <w:p w14:paraId="78875FBC" w14:textId="7795A822" w:rsidR="00E63ABE" w:rsidRDefault="00A95548">
      <w:pPr>
        <w:rPr>
          <w:rFonts w:ascii="Arial" w:hAnsi="Arial" w:cs="Arial"/>
          <w:bCs/>
        </w:rPr>
      </w:pPr>
      <w:r>
        <w:rPr>
          <w:rFonts w:ascii="Arial" w:hAnsi="Arial" w:cs="Arial"/>
          <w:bCs/>
        </w:rPr>
        <w:lastRenderedPageBreak/>
        <w:t>A</w:t>
      </w:r>
      <w:r w:rsidR="008E767D">
        <w:rPr>
          <w:rFonts w:ascii="Arial" w:hAnsi="Arial" w:cs="Arial"/>
          <w:bCs/>
        </w:rPr>
        <w:t xml:space="preserve">cross sites, </w:t>
      </w:r>
      <w:r>
        <w:rPr>
          <w:rFonts w:ascii="Arial" w:hAnsi="Arial" w:cs="Arial"/>
          <w:bCs/>
        </w:rPr>
        <w:t>a one-dimensional trade-off governed by light competition will act as a strong determinant of species responses</w:t>
      </w:r>
      <w:r w:rsidR="007D000A">
        <w:rPr>
          <w:rFonts w:ascii="Arial" w:hAnsi="Arial" w:cs="Arial"/>
          <w:bCs/>
        </w:rPr>
        <w:t xml:space="preserve"> to nutrient enrichment, </w:t>
      </w:r>
      <w:r w:rsidR="00EB7EF6">
        <w:rPr>
          <w:rFonts w:ascii="Arial" w:hAnsi="Arial" w:cs="Arial"/>
          <w:bCs/>
        </w:rPr>
        <w:t xml:space="preserve">yielding a high relative fit of our null model. </w:t>
      </w:r>
      <w:r w:rsidR="003F22B7">
        <w:rPr>
          <w:rFonts w:ascii="Arial" w:hAnsi="Arial" w:cs="Arial"/>
          <w:bCs/>
        </w:rPr>
        <w:t xml:space="preserve">However, we </w:t>
      </w:r>
      <w:r w:rsidR="00814FA0">
        <w:rPr>
          <w:rFonts w:ascii="Arial" w:hAnsi="Arial" w:cs="Arial"/>
          <w:bCs/>
        </w:rPr>
        <w:t xml:space="preserve">hypothesize that this null model will better capture community responses </w:t>
      </w:r>
      <w:r w:rsidR="005231C5">
        <w:rPr>
          <w:rFonts w:ascii="Arial" w:hAnsi="Arial" w:cs="Arial"/>
          <w:bCs/>
        </w:rPr>
        <w:t xml:space="preserve">under in spatially or temporally heterogeneous systems, and those of lower productivity, where specialization on individual resource types is unlikely to form an important axis of niche differentiation. In contrast, we expect multi-dimensional tradeoffs in belowground resource use to be more </w:t>
      </w:r>
      <w:r w:rsidR="00C2161E">
        <w:rPr>
          <w:rFonts w:ascii="Arial" w:hAnsi="Arial" w:cs="Arial"/>
          <w:bCs/>
        </w:rPr>
        <w:t xml:space="preserve">important in systems </w:t>
      </w:r>
      <w:r w:rsidR="003701E2">
        <w:rPr>
          <w:rFonts w:ascii="Arial" w:hAnsi="Arial" w:cs="Arial"/>
          <w:bCs/>
        </w:rPr>
        <w:t xml:space="preserve">where diversity is maintained by local coexistence mechanisms in </w:t>
      </w:r>
      <w:r w:rsidR="00D14EF8">
        <w:rPr>
          <w:rFonts w:ascii="Arial" w:hAnsi="Arial" w:cs="Arial"/>
          <w:bCs/>
        </w:rPr>
        <w:t xml:space="preserve">taxonomically </w:t>
      </w:r>
      <w:r w:rsidR="006D3A8A">
        <w:rPr>
          <w:rFonts w:ascii="Arial" w:hAnsi="Arial" w:cs="Arial"/>
          <w:bCs/>
        </w:rPr>
        <w:t xml:space="preserve">diverse, resource-rich </w:t>
      </w:r>
      <w:r w:rsidR="003701E2">
        <w:rPr>
          <w:rFonts w:ascii="Arial" w:hAnsi="Arial" w:cs="Arial"/>
          <w:bCs/>
        </w:rPr>
        <w:t>environments</w:t>
      </w:r>
      <w:r w:rsidR="006D3A8A">
        <w:rPr>
          <w:rFonts w:ascii="Arial" w:hAnsi="Arial" w:cs="Arial"/>
          <w:bCs/>
        </w:rPr>
        <w:t>.</w:t>
      </w:r>
      <w:r w:rsidR="003701E2">
        <w:rPr>
          <w:rFonts w:ascii="Arial" w:hAnsi="Arial" w:cs="Arial"/>
          <w:bCs/>
        </w:rPr>
        <w:t xml:space="preserve"> </w:t>
      </w:r>
    </w:p>
    <w:p w14:paraId="4F76B6A7" w14:textId="77777777" w:rsidR="003F22B7" w:rsidRPr="00955D5C" w:rsidRDefault="003F22B7">
      <w:pPr>
        <w:rPr>
          <w:rFonts w:ascii="Arial" w:hAnsi="Arial" w:cs="Arial"/>
          <w:bCs/>
        </w:rPr>
      </w:pPr>
    </w:p>
    <w:p w14:paraId="4A0A0434" w14:textId="1A8DE565" w:rsidR="00337F21" w:rsidRPr="000D1D59" w:rsidRDefault="00337F21" w:rsidP="00337F21">
      <w:pPr>
        <w:rPr>
          <w:rFonts w:ascii="Arial" w:hAnsi="Arial" w:cs="Arial"/>
          <w:b/>
        </w:rPr>
      </w:pPr>
      <w:r w:rsidRPr="000D1D59">
        <w:rPr>
          <w:rFonts w:ascii="Arial" w:hAnsi="Arial" w:cs="Arial"/>
          <w:b/>
        </w:rPr>
        <w:t>Methods</w:t>
      </w:r>
    </w:p>
    <w:p w14:paraId="109912B1" w14:textId="127CD12D" w:rsidR="0072569F" w:rsidRPr="000D1D59" w:rsidRDefault="0072569F" w:rsidP="00337F21">
      <w:pPr>
        <w:rPr>
          <w:rFonts w:ascii="Arial" w:hAnsi="Arial" w:cs="Arial"/>
          <w:bCs/>
          <w:i/>
          <w:iCs/>
        </w:rPr>
      </w:pPr>
      <w:r w:rsidRPr="000D1D59">
        <w:rPr>
          <w:rFonts w:ascii="Arial" w:hAnsi="Arial" w:cs="Arial"/>
          <w:bCs/>
          <w:i/>
          <w:iCs/>
        </w:rPr>
        <w:t>Study Site</w:t>
      </w:r>
    </w:p>
    <w:p w14:paraId="6B31914C" w14:textId="3A2726A1" w:rsidR="00ED3A53" w:rsidRPr="005E35A5" w:rsidRDefault="00337F21" w:rsidP="00337F21">
      <w:pPr>
        <w:rPr>
          <w:rFonts w:ascii="Arial" w:hAnsi="Arial" w:cs="Arial"/>
          <w:bCs/>
        </w:rPr>
      </w:pPr>
      <w:r w:rsidRPr="000D1D59">
        <w:rPr>
          <w:rFonts w:ascii="Arial" w:hAnsi="Arial" w:cs="Arial"/>
          <w:bCs/>
        </w:rPr>
        <w:t>The 50 study sites are part of the Nutrient Network, a cooperative, distributed experiment</w:t>
      </w:r>
      <w:r w:rsidR="008D0A1F">
        <w:rPr>
          <w:rFonts w:ascii="Arial" w:hAnsi="Arial" w:cs="Arial"/>
          <w:bCs/>
        </w:rPr>
        <w:t xml:space="preserve"> in global grasslands</w:t>
      </w:r>
      <w:r w:rsidRPr="000D1D59">
        <w:rPr>
          <w:rFonts w:ascii="Arial" w:hAnsi="Arial" w:cs="Arial"/>
          <w:bCs/>
        </w:rPr>
        <w:t>.</w:t>
      </w:r>
      <w:r w:rsidR="0072569F" w:rsidRPr="000D1D59">
        <w:rPr>
          <w:rFonts w:ascii="Arial" w:hAnsi="Arial" w:cs="Arial"/>
          <w:bCs/>
        </w:rPr>
        <w:t xml:space="preserve"> Nutrient Network study sites are constructed in a randomized block design, typically composed of 3 blocks divided into 10 5m x 5m plots, totaling 30 plots in each site. In addition to control plots, each block contains a full factorial combination of nitrogen (N), phosphorous (P), and potassium </w:t>
      </w:r>
      <w:r w:rsidR="00A24ADC">
        <w:rPr>
          <w:rFonts w:ascii="Arial" w:hAnsi="Arial" w:cs="Arial"/>
          <w:bCs/>
        </w:rPr>
        <w:t xml:space="preserve">with </w:t>
      </w:r>
      <w:r w:rsidR="0072569F" w:rsidRPr="000D1D59">
        <w:rPr>
          <w:rFonts w:ascii="Arial" w:hAnsi="Arial" w:cs="Arial"/>
          <w:bCs/>
        </w:rPr>
        <w:t>other micronutrient</w:t>
      </w:r>
      <w:r w:rsidR="0019467D">
        <w:rPr>
          <w:rFonts w:ascii="Arial" w:hAnsi="Arial" w:cs="Arial"/>
          <w:bCs/>
        </w:rPr>
        <w:t>s</w:t>
      </w:r>
      <w:r w:rsidR="0072569F" w:rsidRPr="000D1D59">
        <w:rPr>
          <w:rFonts w:ascii="Arial" w:hAnsi="Arial" w:cs="Arial"/>
          <w:bCs/>
        </w:rPr>
        <w:t xml:space="preserve"> </w:t>
      </w:r>
      <w:r w:rsidR="00A24ADC">
        <w:rPr>
          <w:rFonts w:ascii="Arial" w:hAnsi="Arial" w:cs="Arial"/>
          <w:bCs/>
        </w:rPr>
        <w:t>(</w:t>
      </w:r>
      <w:r w:rsidR="0072569F" w:rsidRPr="000D1D59">
        <w:rPr>
          <w:rFonts w:ascii="Arial" w:hAnsi="Arial" w:cs="Arial"/>
          <w:bCs/>
        </w:rPr>
        <w:t>K</w:t>
      </w:r>
      <w:r w:rsidR="001B582A" w:rsidRPr="000D1D59">
        <w:rPr>
          <w:rFonts w:ascii="Arial" w:hAnsi="Arial" w:cs="Arial"/>
          <w:bCs/>
          <w:vertAlign w:val="subscript"/>
        </w:rPr>
        <w:t>µ</w:t>
      </w:r>
      <w:r w:rsidR="0072569F" w:rsidRPr="000D1D59">
        <w:rPr>
          <w:rFonts w:ascii="Arial" w:hAnsi="Arial" w:cs="Arial"/>
          <w:bCs/>
        </w:rPr>
        <w:t>) fertilization treatments, in addition to fencing treatments crossed with +NPK</w:t>
      </w:r>
      <w:r w:rsidR="001B582A" w:rsidRPr="000D1D59">
        <w:rPr>
          <w:rFonts w:ascii="Arial" w:hAnsi="Arial" w:cs="Arial"/>
          <w:bCs/>
          <w:vertAlign w:val="subscript"/>
        </w:rPr>
        <w:t>µ</w:t>
      </w:r>
      <w:r w:rsidR="0072569F" w:rsidRPr="000D1D59">
        <w:rPr>
          <w:rFonts w:ascii="Arial" w:hAnsi="Arial" w:cs="Arial"/>
          <w:bCs/>
        </w:rPr>
        <w:t xml:space="preserve"> enrichment.</w:t>
      </w:r>
      <w:r w:rsidR="00ED3A53">
        <w:rPr>
          <w:rFonts w:ascii="Arial" w:hAnsi="Arial" w:cs="Arial"/>
          <w:bCs/>
        </w:rPr>
        <w:t xml:space="preserve"> All nutrient enrichment treatments </w:t>
      </w:r>
      <w:r w:rsidR="005E35A5">
        <w:rPr>
          <w:rFonts w:ascii="Arial" w:hAnsi="Arial" w:cs="Arial"/>
          <w:bCs/>
        </w:rPr>
        <w:t>were applied at a rate of 10 g N/P/K m</w:t>
      </w:r>
      <w:r w:rsidR="005E35A5">
        <w:rPr>
          <w:rFonts w:ascii="Arial" w:hAnsi="Arial" w:cs="Arial"/>
          <w:bCs/>
          <w:vertAlign w:val="superscript"/>
        </w:rPr>
        <w:t>-2</w:t>
      </w:r>
      <w:r w:rsidR="005E35A5">
        <w:rPr>
          <w:rFonts w:ascii="Arial" w:hAnsi="Arial" w:cs="Arial"/>
          <w:bCs/>
        </w:rPr>
        <w:t xml:space="preserve"> year</w:t>
      </w:r>
      <w:r w:rsidR="005E35A5">
        <w:rPr>
          <w:rFonts w:ascii="Arial" w:hAnsi="Arial" w:cs="Arial"/>
          <w:bCs/>
          <w:vertAlign w:val="superscript"/>
        </w:rPr>
        <w:t>-1</w:t>
      </w:r>
      <w:r w:rsidR="005E35A5">
        <w:rPr>
          <w:rFonts w:ascii="Arial" w:hAnsi="Arial" w:cs="Arial"/>
          <w:bCs/>
        </w:rPr>
        <w:t>, with micronutrients supplied during the first treatment year.</w:t>
      </w:r>
    </w:p>
    <w:p w14:paraId="7E7C25E7" w14:textId="3553CECE" w:rsidR="00813753" w:rsidRPr="000D1D59" w:rsidRDefault="0072569F" w:rsidP="00337F21">
      <w:pPr>
        <w:rPr>
          <w:rFonts w:ascii="Arial" w:hAnsi="Arial" w:cs="Arial"/>
          <w:bCs/>
        </w:rPr>
      </w:pPr>
      <w:r w:rsidRPr="000D1D59">
        <w:rPr>
          <w:rFonts w:ascii="Arial" w:hAnsi="Arial" w:cs="Arial"/>
          <w:bCs/>
        </w:rPr>
        <w:t xml:space="preserve"> For our analysis, experimental results were filtered to control plots and those receiving single nutrient addition treatments (+N, +P, or +K</w:t>
      </w:r>
      <w:r w:rsidR="001B582A" w:rsidRPr="000D1D59">
        <w:rPr>
          <w:rFonts w:ascii="Arial" w:hAnsi="Arial" w:cs="Arial"/>
          <w:bCs/>
          <w:vertAlign w:val="subscript"/>
        </w:rPr>
        <w:t>µ</w:t>
      </w:r>
      <w:r w:rsidRPr="000D1D59">
        <w:rPr>
          <w:rFonts w:ascii="Arial" w:hAnsi="Arial" w:cs="Arial"/>
          <w:bCs/>
        </w:rPr>
        <w:t xml:space="preserve">) without fencing, </w:t>
      </w:r>
      <w:r w:rsidR="008C5E3F" w:rsidRPr="000D1D59">
        <w:rPr>
          <w:rFonts w:ascii="Arial" w:hAnsi="Arial" w:cs="Arial"/>
          <w:bCs/>
        </w:rPr>
        <w:t xml:space="preserve">resulting in </w:t>
      </w:r>
      <w:r w:rsidRPr="000D1D59">
        <w:rPr>
          <w:rFonts w:ascii="Arial" w:hAnsi="Arial" w:cs="Arial"/>
          <w:bCs/>
        </w:rPr>
        <w:t>12</w:t>
      </w:r>
      <w:r w:rsidR="005B17D7" w:rsidRPr="000D1D59">
        <w:rPr>
          <w:rFonts w:ascii="Arial" w:hAnsi="Arial" w:cs="Arial"/>
          <w:bCs/>
        </w:rPr>
        <w:t xml:space="preserve"> – </w:t>
      </w:r>
      <w:r w:rsidR="00691900" w:rsidRPr="000D1D59">
        <w:rPr>
          <w:rFonts w:ascii="Arial" w:hAnsi="Arial" w:cs="Arial"/>
          <w:bCs/>
        </w:rPr>
        <w:t xml:space="preserve">20 </w:t>
      </w:r>
      <w:r w:rsidRPr="000D1D59">
        <w:rPr>
          <w:rFonts w:ascii="Arial" w:hAnsi="Arial" w:cs="Arial"/>
          <w:bCs/>
        </w:rPr>
        <w:t>plots per site.</w:t>
      </w:r>
      <w:r w:rsidR="008C5E3F" w:rsidRPr="000D1D59">
        <w:rPr>
          <w:rFonts w:ascii="Arial" w:hAnsi="Arial" w:cs="Arial"/>
          <w:bCs/>
        </w:rPr>
        <w:t xml:space="preserve"> Treatment plots each received 10g / m</w:t>
      </w:r>
      <w:r w:rsidR="008C5E3F" w:rsidRPr="000D1D59">
        <w:rPr>
          <w:rFonts w:ascii="Arial" w:hAnsi="Arial" w:cs="Arial"/>
          <w:bCs/>
          <w:vertAlign w:val="superscript"/>
        </w:rPr>
        <w:t>2</w:t>
      </w:r>
      <w:r w:rsidR="008C5E3F" w:rsidRPr="000D1D59">
        <w:rPr>
          <w:rFonts w:ascii="Arial" w:hAnsi="Arial" w:cs="Arial"/>
          <w:bCs/>
        </w:rPr>
        <w:t xml:space="preserve"> </w:t>
      </w:r>
      <w:r w:rsidR="00D13A7C" w:rsidRPr="000D1D59">
        <w:rPr>
          <w:rFonts w:ascii="Arial" w:hAnsi="Arial" w:cs="Arial"/>
          <w:bCs/>
        </w:rPr>
        <w:t>yr</w:t>
      </w:r>
      <w:r w:rsidR="00D13A7C" w:rsidRPr="000D1D59">
        <w:rPr>
          <w:rFonts w:ascii="Arial" w:hAnsi="Arial" w:cs="Arial"/>
          <w:bCs/>
          <w:vertAlign w:val="superscript"/>
        </w:rPr>
        <w:t>-1</w:t>
      </w:r>
      <w:r w:rsidR="00D13A7C" w:rsidRPr="000D1D59">
        <w:rPr>
          <w:rFonts w:ascii="Arial" w:hAnsi="Arial" w:cs="Arial"/>
          <w:bCs/>
        </w:rPr>
        <w:t xml:space="preserve"> of</w:t>
      </w:r>
      <w:r w:rsidR="000A00A2" w:rsidRPr="000D1D59">
        <w:rPr>
          <w:rFonts w:ascii="Arial" w:hAnsi="Arial" w:cs="Arial"/>
          <w:bCs/>
        </w:rPr>
        <w:t xml:space="preserve"> broadcast</w:t>
      </w:r>
      <w:r w:rsidR="00D13A7C" w:rsidRPr="000D1D59">
        <w:rPr>
          <w:rFonts w:ascii="Arial" w:hAnsi="Arial" w:cs="Arial"/>
          <w:bCs/>
        </w:rPr>
        <w:t xml:space="preserve"> fertil</w:t>
      </w:r>
      <w:r w:rsidR="000A00A2" w:rsidRPr="000D1D59">
        <w:rPr>
          <w:rFonts w:ascii="Arial" w:hAnsi="Arial" w:cs="Arial"/>
          <w:bCs/>
        </w:rPr>
        <w:t>i</w:t>
      </w:r>
      <w:r w:rsidR="00D13A7C" w:rsidRPr="000D1D59">
        <w:rPr>
          <w:rFonts w:ascii="Arial" w:hAnsi="Arial" w:cs="Arial"/>
          <w:bCs/>
        </w:rPr>
        <w:t>zer</w:t>
      </w:r>
      <w:r w:rsidR="008C5E3F" w:rsidRPr="000D1D59">
        <w:rPr>
          <w:rFonts w:ascii="Arial" w:hAnsi="Arial" w:cs="Arial"/>
          <w:bCs/>
        </w:rPr>
        <w:t xml:space="preserve">. </w:t>
      </w:r>
      <w:r w:rsidR="00A139B3" w:rsidRPr="000D1D59">
        <w:rPr>
          <w:rFonts w:ascii="Arial" w:hAnsi="Arial" w:cs="Arial"/>
          <w:bCs/>
        </w:rPr>
        <w:t xml:space="preserve">All sites used in this analysis were observed for at least 5 years, including a pre-treatment year (Min = 5, Mean = </w:t>
      </w:r>
      <w:r w:rsidR="00FB28C7">
        <w:rPr>
          <w:rFonts w:ascii="Arial" w:hAnsi="Arial" w:cs="Arial"/>
          <w:bCs/>
        </w:rPr>
        <w:t>9.36</w:t>
      </w:r>
      <w:r w:rsidR="00A139B3" w:rsidRPr="000D1D59">
        <w:rPr>
          <w:rFonts w:ascii="Arial" w:hAnsi="Arial" w:cs="Arial"/>
          <w:bCs/>
        </w:rPr>
        <w:t xml:space="preserve">, max = </w:t>
      </w:r>
      <w:r w:rsidR="00EC14BC">
        <w:rPr>
          <w:rFonts w:ascii="Arial" w:hAnsi="Arial" w:cs="Arial"/>
          <w:bCs/>
        </w:rPr>
        <w:t>13</w:t>
      </w:r>
      <w:r w:rsidR="00A139B3" w:rsidRPr="000D1D59">
        <w:rPr>
          <w:rFonts w:ascii="Arial" w:hAnsi="Arial" w:cs="Arial"/>
          <w:bCs/>
        </w:rPr>
        <w:t>).</w:t>
      </w:r>
      <w:r w:rsidR="00F030CF">
        <w:rPr>
          <w:rFonts w:ascii="Arial" w:hAnsi="Arial" w:cs="Arial"/>
          <w:bCs/>
        </w:rPr>
        <w:t xml:space="preserve"> A full list of sites and their characteristics is presented in Appendix </w:t>
      </w:r>
      <w:r w:rsidR="00F3013C">
        <w:rPr>
          <w:rFonts w:ascii="Arial" w:hAnsi="Arial" w:cs="Arial"/>
          <w:bCs/>
        </w:rPr>
        <w:t>1</w:t>
      </w:r>
      <w:r w:rsidR="00F030CF">
        <w:rPr>
          <w:rFonts w:ascii="Arial" w:hAnsi="Arial" w:cs="Arial"/>
          <w:bCs/>
        </w:rPr>
        <w:t>.</w:t>
      </w:r>
    </w:p>
    <w:p w14:paraId="0FA5C147" w14:textId="388893B1" w:rsidR="0072569F" w:rsidRPr="000D1D59" w:rsidRDefault="00936DA1" w:rsidP="00337F21">
      <w:pPr>
        <w:rPr>
          <w:rFonts w:ascii="Arial" w:hAnsi="Arial" w:cs="Arial"/>
          <w:bCs/>
          <w:i/>
          <w:iCs/>
        </w:rPr>
      </w:pPr>
      <w:r>
        <w:rPr>
          <w:rFonts w:ascii="Arial" w:hAnsi="Arial" w:cs="Arial"/>
          <w:bCs/>
          <w:i/>
          <w:iCs/>
        </w:rPr>
        <w:t>Response Measurements</w:t>
      </w:r>
    </w:p>
    <w:p w14:paraId="0486A0B2" w14:textId="77777777" w:rsidR="002261C2" w:rsidRDefault="008C5E3F" w:rsidP="00337F21">
      <w:pPr>
        <w:rPr>
          <w:rFonts w:ascii="Arial" w:hAnsi="Arial" w:cs="Arial"/>
          <w:bCs/>
        </w:rPr>
      </w:pPr>
      <w:r w:rsidRPr="000D1D59">
        <w:rPr>
          <w:rFonts w:ascii="Arial" w:hAnsi="Arial" w:cs="Arial"/>
          <w:bCs/>
        </w:rPr>
        <w:t xml:space="preserve">In each 5m x 5m plot, </w:t>
      </w:r>
      <w:r w:rsidR="000A00A2" w:rsidRPr="000D1D59">
        <w:rPr>
          <w:rFonts w:ascii="Arial" w:hAnsi="Arial" w:cs="Arial"/>
          <w:bCs/>
        </w:rPr>
        <w:t xml:space="preserve">a 1m x 1m subplot was designated for community observation. Observers </w:t>
      </w:r>
      <w:r w:rsidR="00A139B3" w:rsidRPr="000D1D59">
        <w:rPr>
          <w:rFonts w:ascii="Arial" w:hAnsi="Arial" w:cs="Arial"/>
          <w:bCs/>
        </w:rPr>
        <w:t xml:space="preserve">evaluated </w:t>
      </w:r>
      <w:r w:rsidR="000A00A2" w:rsidRPr="000D1D59">
        <w:rPr>
          <w:rFonts w:ascii="Arial" w:hAnsi="Arial" w:cs="Arial"/>
          <w:bCs/>
        </w:rPr>
        <w:t xml:space="preserve">community composition </w:t>
      </w:r>
      <w:r w:rsidR="00A139B3" w:rsidRPr="000D1D59">
        <w:rPr>
          <w:rFonts w:ascii="Arial" w:hAnsi="Arial" w:cs="Arial"/>
          <w:bCs/>
        </w:rPr>
        <w:t xml:space="preserve">annually, visually estimating areal cover of all species to the nearest 1 </w:t>
      </w:r>
      <w:commentRangeStart w:id="0"/>
      <w:r w:rsidR="00A139B3" w:rsidRPr="000D1D59">
        <w:rPr>
          <w:rFonts w:ascii="Arial" w:hAnsi="Arial" w:cs="Arial"/>
          <w:bCs/>
        </w:rPr>
        <w:t>percent</w:t>
      </w:r>
      <w:commentRangeEnd w:id="0"/>
      <w:r w:rsidR="00B35751">
        <w:rPr>
          <w:rStyle w:val="CommentReference"/>
        </w:rPr>
        <w:commentReference w:id="0"/>
      </w:r>
      <w:r w:rsidR="00A139B3" w:rsidRPr="000D1D59">
        <w:rPr>
          <w:rFonts w:ascii="Arial" w:hAnsi="Arial" w:cs="Arial"/>
          <w:bCs/>
        </w:rPr>
        <w:t xml:space="preserve">. </w:t>
      </w:r>
    </w:p>
    <w:p w14:paraId="0E519148" w14:textId="765F7060" w:rsidR="000A00A2" w:rsidRDefault="0036597A" w:rsidP="00337F21">
      <w:pPr>
        <w:rPr>
          <w:rFonts w:ascii="Arial" w:hAnsi="Arial" w:cs="Arial"/>
          <w:bCs/>
        </w:rPr>
      </w:pPr>
      <w:r>
        <w:rPr>
          <w:rFonts w:ascii="Arial" w:hAnsi="Arial" w:cs="Arial"/>
          <w:bCs/>
        </w:rPr>
        <w:t xml:space="preserve">In most sites, photosynthetically active radiation (PAR) was measured </w:t>
      </w:r>
      <w:r w:rsidR="002261C2">
        <w:rPr>
          <w:rFonts w:ascii="Arial" w:hAnsi="Arial" w:cs="Arial"/>
          <w:bCs/>
        </w:rPr>
        <w:t xml:space="preserve">using a </w:t>
      </w:r>
      <w:proofErr w:type="spellStart"/>
      <w:r w:rsidR="002261C2">
        <w:rPr>
          <w:rFonts w:ascii="Arial" w:hAnsi="Arial" w:cs="Arial"/>
          <w:bCs/>
        </w:rPr>
        <w:t>ceptometer</w:t>
      </w:r>
      <w:proofErr w:type="spellEnd"/>
      <w:r w:rsidR="002261C2">
        <w:rPr>
          <w:rFonts w:ascii="Arial" w:hAnsi="Arial" w:cs="Arial"/>
          <w:bCs/>
        </w:rPr>
        <w:t xml:space="preserve"> placed above the grassland “canopy” and at </w:t>
      </w:r>
      <w:r w:rsidR="006D623F">
        <w:rPr>
          <w:rFonts w:ascii="Arial" w:hAnsi="Arial" w:cs="Arial"/>
          <w:bCs/>
        </w:rPr>
        <w:t xml:space="preserve">the </w:t>
      </w:r>
      <w:r w:rsidR="002261C2">
        <w:rPr>
          <w:rFonts w:ascii="Arial" w:hAnsi="Arial" w:cs="Arial"/>
          <w:bCs/>
        </w:rPr>
        <w:t>soil surface.</w:t>
      </w:r>
      <w:r w:rsidR="00522F21">
        <w:rPr>
          <w:rFonts w:ascii="Arial" w:hAnsi="Arial" w:cs="Arial"/>
          <w:bCs/>
        </w:rPr>
        <w:t xml:space="preserve"> Light interception was estimated as the fraction of available </w:t>
      </w:r>
      <w:r w:rsidR="006D623F">
        <w:rPr>
          <w:rFonts w:ascii="Arial" w:hAnsi="Arial" w:cs="Arial"/>
          <w:bCs/>
        </w:rPr>
        <w:t xml:space="preserve">PAR above the canopy relative to available PAR on the soil surface. </w:t>
      </w:r>
    </w:p>
    <w:p w14:paraId="15B4BB02" w14:textId="3D03C250" w:rsidR="00E5571C" w:rsidRPr="000D1D59" w:rsidRDefault="002261C2" w:rsidP="00337F21">
      <w:pPr>
        <w:rPr>
          <w:rFonts w:ascii="Arial" w:hAnsi="Arial" w:cs="Arial"/>
          <w:bCs/>
        </w:rPr>
      </w:pPr>
      <w:r>
        <w:rPr>
          <w:rFonts w:ascii="Arial" w:hAnsi="Arial" w:cs="Arial"/>
          <w:bCs/>
        </w:rPr>
        <w:t xml:space="preserve">In </w:t>
      </w:r>
      <w:r w:rsidR="0036597A">
        <w:rPr>
          <w:rFonts w:ascii="Arial" w:hAnsi="Arial" w:cs="Arial"/>
          <w:bCs/>
        </w:rPr>
        <w:t>a separate subplot, a</w:t>
      </w:r>
      <w:r w:rsidR="00BB4CB2">
        <w:rPr>
          <w:rFonts w:ascii="Arial" w:hAnsi="Arial" w:cs="Arial"/>
          <w:bCs/>
        </w:rPr>
        <w:t xml:space="preserve">boveground biomass </w:t>
      </w:r>
      <w:r w:rsidR="00D01904">
        <w:rPr>
          <w:rFonts w:ascii="Arial" w:hAnsi="Arial" w:cs="Arial"/>
          <w:bCs/>
        </w:rPr>
        <w:t xml:space="preserve">was collected </w:t>
      </w:r>
      <w:r w:rsidR="005D233D">
        <w:rPr>
          <w:rFonts w:ascii="Arial" w:hAnsi="Arial" w:cs="Arial"/>
          <w:bCs/>
        </w:rPr>
        <w:t xml:space="preserve">yearly </w:t>
      </w:r>
      <w:r w:rsidR="00D01904">
        <w:rPr>
          <w:rFonts w:ascii="Arial" w:hAnsi="Arial" w:cs="Arial"/>
          <w:bCs/>
        </w:rPr>
        <w:t>in two 1m x 10cm strips of vegetation</w:t>
      </w:r>
      <w:r w:rsidR="002A011F">
        <w:rPr>
          <w:rFonts w:ascii="Arial" w:hAnsi="Arial" w:cs="Arial"/>
          <w:bCs/>
        </w:rPr>
        <w:t xml:space="preserve">, air dried at 60º C for 48h, and massed. </w:t>
      </w:r>
      <w:r w:rsidR="00E90165">
        <w:rPr>
          <w:rFonts w:ascii="Arial" w:hAnsi="Arial" w:cs="Arial"/>
          <w:bCs/>
        </w:rPr>
        <w:t>In the first year of study</w:t>
      </w:r>
      <w:r w:rsidR="00A768D0">
        <w:rPr>
          <w:rFonts w:ascii="Arial" w:hAnsi="Arial" w:cs="Arial"/>
          <w:bCs/>
        </w:rPr>
        <w:t xml:space="preserve">, </w:t>
      </w:r>
      <w:r w:rsidR="00554D0A">
        <w:rPr>
          <w:rFonts w:ascii="Arial" w:hAnsi="Arial" w:cs="Arial"/>
          <w:bCs/>
        </w:rPr>
        <w:t xml:space="preserve">250g of soil </w:t>
      </w:r>
      <w:r w:rsidR="00C51D00">
        <w:rPr>
          <w:rFonts w:ascii="Arial" w:hAnsi="Arial" w:cs="Arial"/>
          <w:bCs/>
        </w:rPr>
        <w:t xml:space="preserve">was </w:t>
      </w:r>
      <w:r w:rsidR="00554D0A">
        <w:rPr>
          <w:rFonts w:ascii="Arial" w:hAnsi="Arial" w:cs="Arial"/>
          <w:bCs/>
        </w:rPr>
        <w:t xml:space="preserve">collected </w:t>
      </w:r>
      <w:r w:rsidR="00E90165">
        <w:rPr>
          <w:rFonts w:ascii="Arial" w:hAnsi="Arial" w:cs="Arial"/>
          <w:bCs/>
        </w:rPr>
        <w:t xml:space="preserve">to estimate pre-treatment soil nutrient availability. </w:t>
      </w:r>
      <w:r w:rsidR="001B69B5">
        <w:rPr>
          <w:rFonts w:ascii="Arial" w:hAnsi="Arial" w:cs="Arial"/>
          <w:bCs/>
        </w:rPr>
        <w:t xml:space="preserve">Soil was analyzed for total %C and %N using dry combustion gas chromatography </w:t>
      </w:r>
      <w:r w:rsidR="001B69B5" w:rsidRPr="001B69B5">
        <w:rPr>
          <w:rFonts w:ascii="Arial" w:hAnsi="Arial" w:cs="Arial"/>
          <w:bCs/>
        </w:rPr>
        <w:t>(COSTECH ESC 4010 Element Analyzer) at</w:t>
      </w:r>
      <w:r w:rsidR="001B69B5">
        <w:rPr>
          <w:rFonts w:ascii="Arial" w:hAnsi="Arial" w:cs="Arial"/>
          <w:bCs/>
        </w:rPr>
        <w:t xml:space="preserve"> the University of Nebraska. </w:t>
      </w:r>
      <w:r w:rsidR="002D3D21">
        <w:rPr>
          <w:rFonts w:ascii="Arial" w:hAnsi="Arial" w:cs="Arial"/>
          <w:bCs/>
        </w:rPr>
        <w:t>Assessment of elemental soil phosphorous, potassium, soil pH, and soil texture were performed at A&amp;L Analytical Laboratory in Memphis, TN.</w:t>
      </w:r>
      <w:r w:rsidR="009A0FA7">
        <w:rPr>
          <w:rFonts w:ascii="Arial" w:hAnsi="Arial" w:cs="Arial"/>
          <w:bCs/>
        </w:rPr>
        <w:t xml:space="preserve"> For more detail, please visit </w:t>
      </w:r>
      <w:hyperlink r:id="rId12" w:history="1">
        <w:r w:rsidR="00E5571C" w:rsidRPr="00201F60">
          <w:rPr>
            <w:rStyle w:val="Hyperlink"/>
            <w:rFonts w:ascii="Arial" w:hAnsi="Arial" w:cs="Arial"/>
            <w:bCs/>
          </w:rPr>
          <w:t>http://www.nutnet.org/exp_protocol</w:t>
        </w:r>
      </w:hyperlink>
      <w:r w:rsidR="009A0FA7">
        <w:rPr>
          <w:rFonts w:ascii="Arial" w:hAnsi="Arial" w:cs="Arial"/>
          <w:bCs/>
        </w:rPr>
        <w:t>.</w:t>
      </w:r>
    </w:p>
    <w:p w14:paraId="584D0D45" w14:textId="2EFB0B89" w:rsidR="00A139B3" w:rsidRPr="000D1D59" w:rsidRDefault="00F8487F" w:rsidP="00337F21">
      <w:pPr>
        <w:rPr>
          <w:rFonts w:ascii="Arial" w:hAnsi="Arial" w:cs="Arial"/>
          <w:bCs/>
          <w:i/>
          <w:iCs/>
        </w:rPr>
      </w:pPr>
      <w:r w:rsidRPr="000D1D59">
        <w:rPr>
          <w:rFonts w:ascii="Arial" w:hAnsi="Arial" w:cs="Arial"/>
          <w:bCs/>
          <w:i/>
          <w:iCs/>
        </w:rPr>
        <w:t>Estimation of Treatment Response</w:t>
      </w:r>
    </w:p>
    <w:p w14:paraId="5A2C609F" w14:textId="1707F9D8" w:rsidR="009B42C1" w:rsidRPr="000D1D59" w:rsidRDefault="009B42C1" w:rsidP="00337F21">
      <w:pPr>
        <w:rPr>
          <w:rFonts w:ascii="Arial" w:hAnsi="Arial" w:cs="Arial"/>
          <w:bCs/>
        </w:rPr>
      </w:pPr>
      <w:r w:rsidRPr="000D1D59">
        <w:rPr>
          <w:rFonts w:ascii="Arial" w:hAnsi="Arial" w:cs="Arial"/>
        </w:rPr>
        <w:t>Given that species abundances often form lognormal distributions in natural communities</w:t>
      </w:r>
      <w:r w:rsidR="00A139B3" w:rsidRPr="000D1D59">
        <w:rPr>
          <w:rFonts w:ascii="Arial" w:hAnsi="Arial" w:cs="Arial"/>
          <w:bCs/>
        </w:rPr>
        <w:t xml:space="preserve">, raw species abundances were </w:t>
      </w:r>
      <w:r w:rsidRPr="000D1D59">
        <w:rPr>
          <w:rFonts w:ascii="Arial" w:hAnsi="Arial" w:cs="Arial"/>
          <w:bCs/>
        </w:rPr>
        <w:t>log</w:t>
      </w:r>
      <w:r w:rsidRPr="000D1D59">
        <w:rPr>
          <w:rFonts w:ascii="Arial" w:hAnsi="Arial" w:cs="Arial"/>
          <w:bCs/>
        </w:rPr>
        <w:softHyphen/>
      </w:r>
      <w:r w:rsidRPr="000D1D59">
        <w:rPr>
          <w:rFonts w:ascii="Arial" w:hAnsi="Arial" w:cs="Arial"/>
          <w:bCs/>
          <w:vertAlign w:val="subscript"/>
        </w:rPr>
        <w:t>2</w:t>
      </w:r>
      <w:r w:rsidRPr="000D1D59">
        <w:rPr>
          <w:rFonts w:ascii="Arial" w:hAnsi="Arial" w:cs="Arial"/>
          <w:bCs/>
        </w:rPr>
        <w:t xml:space="preserve">-transformed prior to model fitting (Anderson et al. 2006). </w:t>
      </w:r>
      <w:r w:rsidRPr="000D1D59">
        <w:rPr>
          <w:rFonts w:ascii="Arial" w:hAnsi="Arial" w:cs="Arial"/>
          <w:bCs/>
        </w:rPr>
        <w:lastRenderedPageBreak/>
        <w:t xml:space="preserve">Transformation yielded stronger adherence to model assumptions while still providing a natural scale for model responses, where a coefficient value of 1 corresponds to a doubling in abundance per unit change of a </w:t>
      </w:r>
      <w:r w:rsidR="00D075B1" w:rsidRPr="000D1D59">
        <w:rPr>
          <w:rFonts w:ascii="Arial" w:hAnsi="Arial" w:cs="Arial"/>
          <w:bCs/>
        </w:rPr>
        <w:t>given covariate</w:t>
      </w:r>
      <w:r w:rsidRPr="000D1D59">
        <w:rPr>
          <w:rFonts w:ascii="Arial" w:hAnsi="Arial" w:cs="Arial"/>
          <w:bCs/>
        </w:rPr>
        <w:t>.</w:t>
      </w:r>
    </w:p>
    <w:p w14:paraId="2F8617A3" w14:textId="53B9690D" w:rsidR="0055376C" w:rsidRPr="000D1D59" w:rsidRDefault="00576E84" w:rsidP="00337F21">
      <w:pPr>
        <w:rPr>
          <w:rFonts w:ascii="Arial" w:hAnsi="Arial" w:cs="Arial"/>
          <w:noProof/>
        </w:rPr>
      </w:pPr>
      <w:r w:rsidRPr="000D1D59">
        <w:rPr>
          <w:rFonts w:ascii="Arial" w:hAnsi="Arial" w:cs="Arial"/>
          <w:bCs/>
        </w:rPr>
        <w:t>To estimate species responses to fertilization treatment, we fit multiple linear regression models to community composition data from each site</w:t>
      </w:r>
      <w:r w:rsidR="000F4B98" w:rsidRPr="000D1D59">
        <w:rPr>
          <w:rFonts w:ascii="Arial" w:hAnsi="Arial" w:cs="Arial"/>
          <w:bCs/>
        </w:rPr>
        <w:t>:</w:t>
      </w:r>
      <w:r w:rsidR="0055376C" w:rsidRPr="000D1D59">
        <w:rPr>
          <w:rFonts w:ascii="Arial" w:hAnsi="Arial" w:cs="Arial"/>
          <w:noProof/>
        </w:rPr>
        <w:t xml:space="preserve"> </w:t>
      </w:r>
    </w:p>
    <w:p w14:paraId="2808933C" w14:textId="0B000C77" w:rsidR="00576E84" w:rsidRPr="000D1D59" w:rsidRDefault="002F4677" w:rsidP="0055376C">
      <w:pPr>
        <w:jc w:val="center"/>
        <w:rPr>
          <w:rFonts w:ascii="Arial" w:hAnsi="Arial" w:cs="Arial"/>
          <w:noProof/>
        </w:rPr>
      </w:pPr>
      <w:r w:rsidRPr="000D1D59">
        <w:rPr>
          <w:rFonts w:ascii="Arial" w:hAnsi="Arial" w:cs="Arial"/>
          <w:noProof/>
        </w:rPr>
        <w:drawing>
          <wp:inline distT="0" distB="0" distL="0" distR="0" wp14:anchorId="2EB535F9" wp14:editId="4AE1A41B">
            <wp:extent cx="1178896" cy="264327"/>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0288" cy="280334"/>
                    </a:xfrm>
                    <a:prstGeom prst="rect">
                      <a:avLst/>
                    </a:prstGeom>
                  </pic:spPr>
                </pic:pic>
              </a:graphicData>
            </a:graphic>
          </wp:inline>
        </w:drawing>
      </w:r>
    </w:p>
    <w:p w14:paraId="1BEAE48F" w14:textId="6BCF21F7" w:rsidR="000F4B98" w:rsidRPr="000D1D59" w:rsidRDefault="000F4B98" w:rsidP="000F4B98">
      <w:pPr>
        <w:rPr>
          <w:rFonts w:ascii="Arial" w:hAnsi="Arial" w:cs="Arial"/>
        </w:rPr>
      </w:pPr>
      <w:r w:rsidRPr="000D1D59">
        <w:rPr>
          <w:rFonts w:ascii="Arial" w:hAnsi="Arial" w:cs="Arial"/>
          <w:noProof/>
        </w:rPr>
        <w:t xml:space="preserve">Where </w:t>
      </w:r>
      <w:r w:rsidRPr="000D1D59">
        <w:rPr>
          <w:rFonts w:ascii="Arial" w:hAnsi="Arial" w:cs="Arial"/>
          <w:b/>
          <w:bCs/>
          <w:noProof/>
        </w:rPr>
        <w:t>Y</w:t>
      </w:r>
      <w:r w:rsidRPr="000D1D59">
        <w:rPr>
          <w:rFonts w:ascii="Arial" w:hAnsi="Arial" w:cs="Arial"/>
          <w:noProof/>
        </w:rPr>
        <w:t xml:space="preserve"> is an </w:t>
      </w:r>
      <w:r w:rsidRPr="000D1D59">
        <w:rPr>
          <w:rFonts w:ascii="Arial" w:hAnsi="Arial" w:cs="Arial"/>
          <w:i/>
          <w:iCs/>
          <w:noProof/>
        </w:rPr>
        <w:t xml:space="preserve">[n x s] </w:t>
      </w:r>
      <w:r w:rsidRPr="000D1D59">
        <w:rPr>
          <w:rFonts w:ascii="Arial" w:hAnsi="Arial" w:cs="Arial"/>
          <w:noProof/>
        </w:rPr>
        <w:t xml:space="preserve">matrix of abundances for </w:t>
      </w:r>
      <w:r w:rsidRPr="000D1D59">
        <w:rPr>
          <w:rFonts w:ascii="Arial" w:hAnsi="Arial" w:cs="Arial"/>
          <w:i/>
          <w:iCs/>
          <w:noProof/>
        </w:rPr>
        <w:t>s</w:t>
      </w:r>
      <w:r w:rsidRPr="000D1D59">
        <w:rPr>
          <w:rFonts w:ascii="Arial" w:hAnsi="Arial" w:cs="Arial"/>
          <w:noProof/>
        </w:rPr>
        <w:t xml:space="preserve"> species present within a site, </w:t>
      </w:r>
      <w:r w:rsidRPr="000D1D59">
        <w:rPr>
          <w:rFonts w:ascii="Arial" w:hAnsi="Arial" w:cs="Arial"/>
          <w:b/>
          <w:bCs/>
          <w:noProof/>
        </w:rPr>
        <w:t xml:space="preserve">X </w:t>
      </w:r>
      <w:r w:rsidRPr="000D1D59">
        <w:rPr>
          <w:rFonts w:ascii="Arial" w:hAnsi="Arial" w:cs="Arial"/>
          <w:noProof/>
        </w:rPr>
        <w:t>is an [</w:t>
      </w:r>
      <w:r w:rsidRPr="000D1D59">
        <w:rPr>
          <w:rFonts w:ascii="Arial" w:hAnsi="Arial" w:cs="Arial"/>
          <w:i/>
          <w:iCs/>
          <w:noProof/>
        </w:rPr>
        <w:t>n x p</w:t>
      </w:r>
      <w:r w:rsidRPr="000D1D59">
        <w:rPr>
          <w:rFonts w:ascii="Arial" w:hAnsi="Arial" w:cs="Arial"/>
          <w:noProof/>
        </w:rPr>
        <w:t>]</w:t>
      </w:r>
      <w:r w:rsidRPr="000D1D59">
        <w:rPr>
          <w:rFonts w:ascii="Arial" w:hAnsi="Arial" w:cs="Arial"/>
        </w:rPr>
        <w:t xml:space="preserve"> matrix of covariates, </w:t>
      </w:r>
      <w:r w:rsidRPr="000D1D59">
        <w:rPr>
          <w:rFonts w:ascii="Arial" w:hAnsi="Arial" w:cs="Arial"/>
          <w:b/>
          <w:bCs/>
        </w:rPr>
        <w:t>B</w:t>
      </w:r>
      <w:r w:rsidRPr="000D1D59">
        <w:rPr>
          <w:rFonts w:ascii="Arial" w:hAnsi="Arial" w:cs="Arial"/>
        </w:rPr>
        <w:t xml:space="preserve"> is a [</w:t>
      </w:r>
      <w:r w:rsidRPr="000D1D59">
        <w:rPr>
          <w:rFonts w:ascii="Arial" w:hAnsi="Arial" w:cs="Arial"/>
          <w:i/>
          <w:iCs/>
        </w:rPr>
        <w:t>p x s</w:t>
      </w:r>
      <w:r w:rsidRPr="000D1D59">
        <w:rPr>
          <w:rFonts w:ascii="Arial" w:hAnsi="Arial" w:cs="Arial"/>
        </w:rPr>
        <w:t xml:space="preserve">] matrix of coefficients, and </w:t>
      </w:r>
      <w:r w:rsidRPr="000D1D59">
        <w:rPr>
          <w:rFonts w:ascii="Arial" w:hAnsi="Arial" w:cs="Arial"/>
          <w:b/>
          <w:bCs/>
        </w:rPr>
        <w:t>E</w:t>
      </w:r>
      <w:r w:rsidRPr="000D1D59">
        <w:rPr>
          <w:rFonts w:ascii="Arial" w:hAnsi="Arial" w:cs="Arial"/>
        </w:rPr>
        <w:t xml:space="preserve"> is an [</w:t>
      </w:r>
      <w:r w:rsidRPr="000D1D59">
        <w:rPr>
          <w:rFonts w:ascii="Arial" w:hAnsi="Arial" w:cs="Arial"/>
          <w:i/>
          <w:iCs/>
        </w:rPr>
        <w:t>n x s</w:t>
      </w:r>
      <w:r w:rsidRPr="000D1D59">
        <w:rPr>
          <w:rFonts w:ascii="Arial" w:hAnsi="Arial" w:cs="Arial"/>
        </w:rPr>
        <w:t>] matrix of residuals.</w:t>
      </w:r>
      <w:r w:rsidR="00EF6427" w:rsidRPr="000D1D59">
        <w:rPr>
          <w:rFonts w:ascii="Arial" w:hAnsi="Arial" w:cs="Arial"/>
        </w:rPr>
        <w:t xml:space="preserve"> For sites containing three nutrient treatments, </w:t>
      </w:r>
      <w:proofErr w:type="spellStart"/>
      <w:r w:rsidR="00EF6427" w:rsidRPr="000D1D59">
        <w:rPr>
          <w:rFonts w:ascii="Arial" w:hAnsi="Arial" w:cs="Arial"/>
          <w:i/>
          <w:iCs/>
        </w:rPr>
        <w:t>i</w:t>
      </w:r>
      <w:proofErr w:type="spellEnd"/>
      <w:r w:rsidR="00EF6427" w:rsidRPr="000D1D59">
        <w:rPr>
          <w:rFonts w:ascii="Arial" w:hAnsi="Arial" w:cs="Arial"/>
          <w:i/>
          <w:iCs/>
        </w:rPr>
        <w:t xml:space="preserve"> </w:t>
      </w:r>
      <w:r w:rsidR="00EF6427" w:rsidRPr="000D1D59">
        <w:rPr>
          <w:rFonts w:ascii="Arial" w:hAnsi="Arial" w:cs="Arial"/>
        </w:rPr>
        <w:t xml:space="preserve">plots, and </w:t>
      </w:r>
      <w:r w:rsidR="00EF6427" w:rsidRPr="000D1D59">
        <w:rPr>
          <w:rFonts w:ascii="Arial" w:hAnsi="Arial" w:cs="Arial"/>
          <w:i/>
          <w:iCs/>
        </w:rPr>
        <w:t>j</w:t>
      </w:r>
      <w:r w:rsidR="00EF6427" w:rsidRPr="000D1D59">
        <w:rPr>
          <w:rFonts w:ascii="Arial" w:hAnsi="Arial" w:cs="Arial"/>
        </w:rPr>
        <w:t xml:space="preserve"> years, the coefficient matrix consists of the following terms:</w:t>
      </w:r>
    </w:p>
    <w:p w14:paraId="07A30CCA" w14:textId="3C57FF7C" w:rsidR="002F4677" w:rsidRPr="000D1D59" w:rsidRDefault="005E65A5" w:rsidP="0055376C">
      <w:pPr>
        <w:jc w:val="center"/>
        <w:rPr>
          <w:rFonts w:ascii="Arial" w:hAnsi="Arial" w:cs="Arial"/>
          <w:noProof/>
        </w:rPr>
      </w:pPr>
      <w:r>
        <w:rPr>
          <w:noProof/>
        </w:rPr>
        <w:drawing>
          <wp:inline distT="0" distB="0" distL="0" distR="0" wp14:anchorId="16F10A05" wp14:editId="099A7438">
            <wp:extent cx="3770955" cy="25260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6782" cy="288498"/>
                    </a:xfrm>
                    <a:prstGeom prst="rect">
                      <a:avLst/>
                    </a:prstGeom>
                  </pic:spPr>
                </pic:pic>
              </a:graphicData>
            </a:graphic>
          </wp:inline>
        </w:drawing>
      </w:r>
    </w:p>
    <w:p w14:paraId="59B8F143" w14:textId="0264C69A" w:rsidR="00201D49" w:rsidRPr="000D1D59" w:rsidRDefault="0055376C" w:rsidP="00337F21">
      <w:pPr>
        <w:rPr>
          <w:rFonts w:ascii="Arial" w:hAnsi="Arial" w:cs="Arial"/>
          <w:bCs/>
        </w:rPr>
      </w:pPr>
      <w:r w:rsidRPr="000D1D59">
        <w:rPr>
          <w:rFonts w:ascii="Arial" w:hAnsi="Arial" w:cs="Arial"/>
          <w:bCs/>
        </w:rPr>
        <w:t xml:space="preserve">Where </w:t>
      </w:r>
      <w:r w:rsidR="00152B6D" w:rsidRPr="000D1D59">
        <w:rPr>
          <w:rFonts w:ascii="Arial" w:hAnsi="Arial" w:cs="Arial"/>
          <w:bCs/>
        </w:rPr>
        <w:t xml:space="preserve">community abundance </w:t>
      </w:r>
      <w:r w:rsidRPr="000D1D59">
        <w:rPr>
          <w:rFonts w:ascii="Arial" w:hAnsi="Arial" w:cs="Arial"/>
          <w:bCs/>
        </w:rPr>
        <w:t>is estimated as a function of the quantity of fertilizer added</w:t>
      </w:r>
      <w:r w:rsidR="00201D49" w:rsidRPr="000D1D59">
        <w:rPr>
          <w:rFonts w:ascii="Arial" w:hAnsi="Arial" w:cs="Arial"/>
          <w:bCs/>
        </w:rPr>
        <w:t xml:space="preserve"> </w:t>
      </w:r>
      <w:r w:rsidR="00A92245" w:rsidRPr="000D1D59">
        <w:rPr>
          <w:rFonts w:ascii="Arial" w:hAnsi="Arial" w:cs="Arial"/>
          <w:bCs/>
        </w:rPr>
        <w:t xml:space="preserve">in observation </w:t>
      </w:r>
      <w:r w:rsidR="00201D49" w:rsidRPr="000D1D59">
        <w:rPr>
          <w:rFonts w:ascii="Arial" w:hAnsi="Arial" w:cs="Arial"/>
          <w:bCs/>
        </w:rPr>
        <w:t xml:space="preserve">(expressed as the number of years of treatment), </w:t>
      </w:r>
      <w:r w:rsidR="004A5532" w:rsidRPr="000D1D59">
        <w:rPr>
          <w:rFonts w:ascii="Arial" w:hAnsi="Arial" w:cs="Arial"/>
          <w:bCs/>
        </w:rPr>
        <w:t xml:space="preserve">interannual </w:t>
      </w:r>
      <w:r w:rsidR="00201D49" w:rsidRPr="000D1D59">
        <w:rPr>
          <w:rFonts w:ascii="Arial" w:hAnsi="Arial" w:cs="Arial"/>
          <w:bCs/>
        </w:rPr>
        <w:t>variation in site-level species abundance (</w:t>
      </w:r>
      <w:r w:rsidR="00303E7D">
        <w:rPr>
          <w:rFonts w:ascii="Arial" w:hAnsi="Arial" w:cs="Arial"/>
          <w:bCs/>
        </w:rPr>
        <w:t>encoded</w:t>
      </w:r>
      <w:r w:rsidR="00201D49" w:rsidRPr="000D1D59">
        <w:rPr>
          <w:rFonts w:ascii="Arial" w:hAnsi="Arial" w:cs="Arial"/>
          <w:bCs/>
        </w:rPr>
        <w:t xml:space="preserve"> as a factor variable), and plot-level variation in species abundance (</w:t>
      </w:r>
      <w:r w:rsidR="00303E7D">
        <w:rPr>
          <w:rFonts w:ascii="Arial" w:hAnsi="Arial" w:cs="Arial"/>
          <w:bCs/>
        </w:rPr>
        <w:t>encoded</w:t>
      </w:r>
      <w:r w:rsidR="00303E7D" w:rsidRPr="000D1D59">
        <w:rPr>
          <w:rFonts w:ascii="Arial" w:hAnsi="Arial" w:cs="Arial"/>
          <w:bCs/>
        </w:rPr>
        <w:t xml:space="preserve"> </w:t>
      </w:r>
      <w:r w:rsidR="00201D49" w:rsidRPr="000D1D59">
        <w:rPr>
          <w:rFonts w:ascii="Arial" w:hAnsi="Arial" w:cs="Arial"/>
          <w:bCs/>
        </w:rPr>
        <w:t xml:space="preserve">as a factor variable). </w:t>
      </w:r>
      <w:r w:rsidR="00A64686" w:rsidRPr="000D1D59">
        <w:rPr>
          <w:rFonts w:ascii="Arial" w:hAnsi="Arial" w:cs="Arial"/>
          <w:bCs/>
        </w:rPr>
        <w:t>Plot and year terms</w:t>
      </w:r>
      <w:r w:rsidR="00201D49" w:rsidRPr="000D1D59">
        <w:rPr>
          <w:rFonts w:ascii="Arial" w:hAnsi="Arial" w:cs="Arial"/>
          <w:bCs/>
        </w:rPr>
        <w:t xml:space="preserve"> in this model formula act to de-trend species abundances, providing estimates of responses to nutrient enrichment while accounting for other sources of spatial and temporal variation in community composition.</w:t>
      </w:r>
    </w:p>
    <w:p w14:paraId="499531C4" w14:textId="01AFFD7C" w:rsidR="00A6061D" w:rsidRDefault="0032386F" w:rsidP="00307621">
      <w:pPr>
        <w:rPr>
          <w:rFonts w:ascii="Arial" w:hAnsi="Arial" w:cs="Arial"/>
          <w:bCs/>
        </w:rPr>
      </w:pPr>
      <w:r w:rsidRPr="000D1D59">
        <w:rPr>
          <w:rFonts w:ascii="Arial" w:hAnsi="Arial" w:cs="Arial"/>
          <w:bCs/>
        </w:rPr>
        <w:t>Significance of model terms were evaluated using residual permutation procedures using</w:t>
      </w:r>
      <w:r w:rsidR="005C1FF9">
        <w:rPr>
          <w:rFonts w:ascii="Arial" w:hAnsi="Arial" w:cs="Arial"/>
          <w:bCs/>
        </w:rPr>
        <w:t xml:space="preserve"> </w:t>
      </w:r>
      <w:r w:rsidR="00DC6D2D">
        <w:rPr>
          <w:rFonts w:ascii="Arial" w:hAnsi="Arial" w:cs="Arial"/>
          <w:bCs/>
        </w:rPr>
        <w:t>permutation-based</w:t>
      </w:r>
      <w:r w:rsidR="005C1FF9">
        <w:rPr>
          <w:rFonts w:ascii="Arial" w:hAnsi="Arial" w:cs="Arial"/>
          <w:bCs/>
        </w:rPr>
        <w:t xml:space="preserve"> ANOVA. All model fitting conducted using</w:t>
      </w:r>
      <w:r w:rsidRPr="000D1D59">
        <w:rPr>
          <w:rFonts w:ascii="Arial" w:hAnsi="Arial" w:cs="Arial"/>
          <w:bCs/>
        </w:rPr>
        <w:t xml:space="preserve"> RRPP (Collyer and Adams 2018).</w:t>
      </w:r>
    </w:p>
    <w:p w14:paraId="579C3DCF" w14:textId="77777777" w:rsidR="00B35751" w:rsidRPr="00B35751" w:rsidRDefault="00B35751" w:rsidP="00307621">
      <w:pPr>
        <w:rPr>
          <w:rFonts w:ascii="Arial" w:hAnsi="Arial" w:cs="Arial"/>
          <w:bCs/>
        </w:rPr>
      </w:pPr>
    </w:p>
    <w:p w14:paraId="2603C4FB" w14:textId="10B7A8CC" w:rsidR="00307621" w:rsidRDefault="00556B1D" w:rsidP="00337F21">
      <w:pPr>
        <w:rPr>
          <w:rFonts w:ascii="Arial" w:hAnsi="Arial" w:cs="Arial"/>
          <w:bCs/>
          <w:i/>
          <w:iCs/>
        </w:rPr>
      </w:pPr>
      <w:r w:rsidRPr="000D1D59">
        <w:rPr>
          <w:rFonts w:ascii="Arial" w:hAnsi="Arial" w:cs="Arial"/>
          <w:bCs/>
          <w:i/>
          <w:iCs/>
        </w:rPr>
        <w:t>Response Dimensionality</w:t>
      </w:r>
    </w:p>
    <w:p w14:paraId="492E1106" w14:textId="4ACA7002" w:rsidR="00A414DE" w:rsidRDefault="00F8115E" w:rsidP="00A414DE">
      <w:pPr>
        <w:rPr>
          <w:rFonts w:ascii="Arial" w:hAnsi="Arial" w:cs="Arial"/>
          <w:bCs/>
        </w:rPr>
      </w:pPr>
      <w:r>
        <w:rPr>
          <w:rFonts w:ascii="Arial" w:hAnsi="Arial" w:cs="Arial"/>
          <w:bCs/>
        </w:rPr>
        <w:t xml:space="preserve">To evaluate </w:t>
      </w:r>
      <w:r w:rsidR="000E0FCC">
        <w:rPr>
          <w:rFonts w:ascii="Arial" w:hAnsi="Arial" w:cs="Arial"/>
          <w:bCs/>
        </w:rPr>
        <w:t xml:space="preserve">the similarities between multiple trajectories of community change, we derive a geometric approach based on work of Cardinale et al. (2018). </w:t>
      </w:r>
      <w:r w:rsidR="006A58F9">
        <w:rPr>
          <w:rFonts w:ascii="Arial" w:hAnsi="Arial" w:cs="Arial"/>
          <w:bCs/>
        </w:rPr>
        <w:t xml:space="preserve">Under a “neutral” expectation where the effects of nutrient </w:t>
      </w:r>
      <w:r w:rsidR="00C25169">
        <w:rPr>
          <w:rFonts w:ascii="Arial" w:hAnsi="Arial" w:cs="Arial"/>
          <w:bCs/>
        </w:rPr>
        <w:t xml:space="preserve">enrichment depend solely on changes in total resource supply, rather than stoichiometric ratios, trajectories of community change will be directionally consistent – species exhibit proportionally equal responses to multiple nutrient enrichment treatments, once accounting for </w:t>
      </w:r>
      <w:r w:rsidR="009F4F0B">
        <w:rPr>
          <w:rFonts w:ascii="Arial" w:hAnsi="Arial" w:cs="Arial"/>
          <w:bCs/>
        </w:rPr>
        <w:t>the overall magnitude of community response.</w:t>
      </w:r>
    </w:p>
    <w:p w14:paraId="571F76CD" w14:textId="7C89B2B4" w:rsidR="00D654E8" w:rsidRPr="000D1D59" w:rsidRDefault="00732799" w:rsidP="00732799">
      <w:pPr>
        <w:rPr>
          <w:rFonts w:ascii="Arial" w:hAnsi="Arial" w:cs="Arial"/>
          <w:bCs/>
        </w:rPr>
      </w:pPr>
      <w:r>
        <w:rPr>
          <w:rFonts w:ascii="Arial" w:hAnsi="Arial" w:cs="Arial"/>
          <w:bCs/>
        </w:rPr>
        <w:t xml:space="preserve">In the context of this study, we evaluate trajectories of community change based on experimental manipulations of three limiting nutrients -- </w:t>
      </w:r>
      <w:r w:rsidR="00D253DD" w:rsidRPr="000D1D59">
        <w:rPr>
          <w:rFonts w:ascii="Arial" w:hAnsi="Arial" w:cs="Arial"/>
          <w:bCs/>
        </w:rPr>
        <w:t>N, P, and K</w:t>
      </w:r>
      <w:r w:rsidR="001B582A" w:rsidRPr="000D1D59">
        <w:rPr>
          <w:rFonts w:ascii="Arial" w:hAnsi="Arial" w:cs="Arial"/>
          <w:bCs/>
          <w:vertAlign w:val="subscript"/>
        </w:rPr>
        <w:t>µ</w:t>
      </w:r>
      <w:r>
        <w:rPr>
          <w:rFonts w:ascii="Arial" w:hAnsi="Arial" w:cs="Arial"/>
          <w:bCs/>
        </w:rPr>
        <w:t>. While the following description presents details for this three-dimensional case,</w:t>
      </w:r>
      <w:r w:rsidR="001A0100">
        <w:rPr>
          <w:rFonts w:ascii="Arial" w:hAnsi="Arial" w:cs="Arial"/>
          <w:bCs/>
        </w:rPr>
        <w:t xml:space="preserve"> </w:t>
      </w:r>
      <w:r w:rsidR="00D253DD" w:rsidRPr="000D1D59">
        <w:rPr>
          <w:rFonts w:ascii="Arial" w:hAnsi="Arial" w:cs="Arial"/>
          <w:bCs/>
        </w:rPr>
        <w:t xml:space="preserve">may extend to any </w:t>
      </w:r>
      <w:r w:rsidR="00D253DD" w:rsidRPr="000D1D59">
        <w:rPr>
          <w:rFonts w:ascii="Arial" w:hAnsi="Arial" w:cs="Arial"/>
          <w:bCs/>
          <w:i/>
          <w:iCs/>
        </w:rPr>
        <w:t>n</w:t>
      </w:r>
      <w:r w:rsidR="00D253DD" w:rsidRPr="000D1D59">
        <w:rPr>
          <w:rFonts w:ascii="Arial" w:hAnsi="Arial" w:cs="Arial"/>
          <w:bCs/>
        </w:rPr>
        <w:t xml:space="preserve">-dimensional </w:t>
      </w:r>
      <w:r w:rsidR="001A0100">
        <w:rPr>
          <w:rFonts w:ascii="Arial" w:hAnsi="Arial" w:cs="Arial"/>
          <w:bCs/>
        </w:rPr>
        <w:t>set of treatments</w:t>
      </w:r>
      <w:r w:rsidR="00D253DD" w:rsidRPr="000D1D59">
        <w:rPr>
          <w:rFonts w:ascii="Arial" w:hAnsi="Arial" w:cs="Arial"/>
          <w:bCs/>
        </w:rPr>
        <w:t xml:space="preserve">. First, we define </w:t>
      </w:r>
      <w:r w:rsidR="00B75201" w:rsidRPr="000D1D59">
        <w:rPr>
          <w:rFonts w:ascii="Arial" w:hAnsi="Arial" w:cs="Arial"/>
          <w:b/>
        </w:rPr>
        <w:t>X</w:t>
      </w:r>
      <w:r w:rsidR="00B75201" w:rsidRPr="000D1D59">
        <w:rPr>
          <w:rFonts w:ascii="Arial" w:hAnsi="Arial" w:cs="Arial"/>
          <w:bCs/>
        </w:rPr>
        <w:t xml:space="preserve"> as a vector</w:t>
      </w:r>
      <w:r w:rsidR="00D253DD" w:rsidRPr="000D1D59">
        <w:rPr>
          <w:rFonts w:ascii="Arial" w:hAnsi="Arial" w:cs="Arial"/>
          <w:bCs/>
        </w:rPr>
        <w:t xml:space="preserve"> describing </w:t>
      </w:r>
      <w:r w:rsidR="006D1630" w:rsidRPr="000D1D59">
        <w:rPr>
          <w:rFonts w:ascii="Arial" w:hAnsi="Arial" w:cs="Arial"/>
          <w:bCs/>
        </w:rPr>
        <w:t xml:space="preserve">a </w:t>
      </w:r>
      <w:r w:rsidR="00D253DD" w:rsidRPr="000D1D59">
        <w:rPr>
          <w:rFonts w:ascii="Arial" w:hAnsi="Arial" w:cs="Arial"/>
          <w:bCs/>
        </w:rPr>
        <w:t xml:space="preserve">species response to three distinct treatments, recorded for all </w:t>
      </w:r>
      <w:r w:rsidR="00D253DD" w:rsidRPr="000D1D59">
        <w:rPr>
          <w:rFonts w:ascii="Arial" w:hAnsi="Arial" w:cs="Arial"/>
          <w:bCs/>
          <w:i/>
          <w:iCs/>
        </w:rPr>
        <w:t>S</w:t>
      </w:r>
      <w:r w:rsidR="00D253DD" w:rsidRPr="000D1D59">
        <w:rPr>
          <w:rFonts w:ascii="Arial" w:hAnsi="Arial" w:cs="Arial"/>
          <w:bCs/>
        </w:rPr>
        <w:t xml:space="preserve"> species</w:t>
      </w:r>
      <w:r w:rsidR="00D654E8" w:rsidRPr="000D1D59">
        <w:rPr>
          <w:rFonts w:ascii="Arial" w:hAnsi="Arial" w:cs="Arial"/>
          <w:bCs/>
        </w:rPr>
        <w:t>:</w:t>
      </w:r>
    </w:p>
    <w:p w14:paraId="20CBB7CF" w14:textId="74368965" w:rsidR="00D654E8" w:rsidRPr="000D1D59" w:rsidRDefault="002F4677" w:rsidP="002F4677">
      <w:pPr>
        <w:jc w:val="center"/>
        <w:rPr>
          <w:rFonts w:ascii="Arial" w:hAnsi="Arial" w:cs="Arial"/>
          <w:bCs/>
        </w:rPr>
      </w:pPr>
      <w:r w:rsidRPr="000D1D59">
        <w:rPr>
          <w:rFonts w:ascii="Arial" w:hAnsi="Arial" w:cs="Arial"/>
          <w:noProof/>
        </w:rPr>
        <w:drawing>
          <wp:inline distT="0" distB="0" distL="0" distR="0" wp14:anchorId="6B41D190" wp14:editId="026FB404">
            <wp:extent cx="3185113" cy="12982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821" cy="1320928"/>
                    </a:xfrm>
                    <a:prstGeom prst="rect">
                      <a:avLst/>
                    </a:prstGeom>
                  </pic:spPr>
                </pic:pic>
              </a:graphicData>
            </a:graphic>
          </wp:inline>
        </w:drawing>
      </w:r>
    </w:p>
    <w:p w14:paraId="1ABEE048" w14:textId="607EF913" w:rsidR="00E5571C" w:rsidRPr="00856CA0" w:rsidRDefault="00E5571C" w:rsidP="00D253DD">
      <w:pPr>
        <w:rPr>
          <w:rFonts w:ascii="Arial" w:hAnsi="Arial" w:cs="Arial"/>
          <w:bCs/>
        </w:rPr>
      </w:pPr>
      <w:r>
        <w:rPr>
          <w:rFonts w:ascii="Arial" w:hAnsi="Arial" w:cs="Arial"/>
          <w:bCs/>
        </w:rPr>
        <w:lastRenderedPageBreak/>
        <w:t xml:space="preserve">In this study, </w:t>
      </w:r>
      <w:r w:rsidRPr="00E5571C">
        <w:rPr>
          <w:rFonts w:ascii="Arial" w:hAnsi="Arial" w:cs="Arial"/>
          <w:b/>
        </w:rPr>
        <w:t>X</w:t>
      </w:r>
      <w:r>
        <w:rPr>
          <w:rFonts w:ascii="Arial" w:hAnsi="Arial" w:cs="Arial"/>
          <w:bCs/>
        </w:rPr>
        <w:t xml:space="preserve"> was composed of the three vectors of </w:t>
      </w:r>
      <w:r w:rsidR="00856CA0">
        <w:rPr>
          <w:rFonts w:ascii="Arial" w:hAnsi="Arial" w:cs="Arial"/>
          <w:bCs/>
        </w:rPr>
        <w:t xml:space="preserve">estimated </w:t>
      </w:r>
      <w:r>
        <w:rPr>
          <w:rFonts w:ascii="Arial" w:hAnsi="Arial" w:cs="Arial"/>
          <w:bCs/>
        </w:rPr>
        <w:t>nutrient response coefficients</w:t>
      </w:r>
      <w:r w:rsidR="00856CA0">
        <w:rPr>
          <w:rFonts w:ascii="Arial" w:hAnsi="Arial" w:cs="Arial"/>
          <w:bCs/>
        </w:rPr>
        <w:t xml:space="preserve"> </w:t>
      </w:r>
      <w:r w:rsidR="00856CA0" w:rsidRPr="00856CA0">
        <w:rPr>
          <w:rFonts w:ascii="Arial" w:hAnsi="Arial" w:cs="Arial"/>
          <w:bCs/>
        </w:rPr>
        <w:t>computed</w:t>
      </w:r>
      <w:r w:rsidR="00856CA0">
        <w:rPr>
          <w:rFonts w:ascii="Arial" w:hAnsi="Arial" w:cs="Arial"/>
          <w:bCs/>
        </w:rPr>
        <w:t xml:space="preserve"> in multiple regression model, </w:t>
      </w:r>
      <w:r w:rsidR="00856CA0">
        <w:rPr>
          <w:rFonts w:ascii="Arial" w:hAnsi="Arial" w:cs="Arial"/>
          <w:b/>
        </w:rPr>
        <w:t>B.</w:t>
      </w:r>
    </w:p>
    <w:p w14:paraId="5084622B" w14:textId="59507D46" w:rsidR="00D253DD" w:rsidRPr="000D1D59" w:rsidRDefault="00D253DD" w:rsidP="00D253DD">
      <w:pPr>
        <w:rPr>
          <w:rFonts w:ascii="Arial" w:hAnsi="Arial" w:cs="Arial"/>
          <w:bCs/>
        </w:rPr>
      </w:pPr>
      <w:r w:rsidRPr="000D1D59">
        <w:rPr>
          <w:rFonts w:ascii="Arial" w:hAnsi="Arial" w:cs="Arial"/>
          <w:bCs/>
        </w:rPr>
        <w:t>We captured to total magnitude of compositional change in response to treatments using the Euclidean (L</w:t>
      </w:r>
      <w:r w:rsidRPr="000D1D59">
        <w:rPr>
          <w:rFonts w:ascii="Arial" w:hAnsi="Arial" w:cs="Arial"/>
          <w:bCs/>
        </w:rPr>
        <w:softHyphen/>
      </w:r>
      <w:r w:rsidRPr="000D1D59">
        <w:rPr>
          <w:rFonts w:ascii="Arial" w:hAnsi="Arial" w:cs="Arial"/>
          <w:bCs/>
          <w:vertAlign w:val="subscript"/>
        </w:rPr>
        <w:t>2</w:t>
      </w:r>
      <w:r w:rsidRPr="000D1D59">
        <w:rPr>
          <w:rFonts w:ascii="Arial" w:hAnsi="Arial" w:cs="Arial"/>
          <w:bCs/>
        </w:rPr>
        <w:t>) norm</w:t>
      </w:r>
      <w:r w:rsidR="00B54870" w:rsidRPr="000D1D59">
        <w:rPr>
          <w:rFonts w:ascii="Arial" w:hAnsi="Arial" w:cs="Arial"/>
          <w:bCs/>
        </w:rPr>
        <w:t xml:space="preserve"> of column </w:t>
      </w:r>
      <w:r w:rsidR="00856CA0">
        <w:rPr>
          <w:rFonts w:ascii="Arial" w:hAnsi="Arial" w:cs="Arial"/>
          <w:bCs/>
        </w:rPr>
        <w:t xml:space="preserve">(treatment response) </w:t>
      </w:r>
      <w:r w:rsidR="00B54870" w:rsidRPr="000D1D59">
        <w:rPr>
          <w:rFonts w:ascii="Arial" w:hAnsi="Arial" w:cs="Arial"/>
          <w:bCs/>
        </w:rPr>
        <w:t>vectors</w:t>
      </w:r>
      <w:r w:rsidRPr="000D1D59">
        <w:rPr>
          <w:rFonts w:ascii="Arial" w:hAnsi="Arial" w:cs="Arial"/>
          <w:bCs/>
        </w:rPr>
        <w:t>, defined as:</w:t>
      </w:r>
    </w:p>
    <w:p w14:paraId="1773CD69" w14:textId="605D6D46" w:rsidR="00D253DD" w:rsidRPr="000D1D59" w:rsidRDefault="002F4677" w:rsidP="002F4677">
      <w:pPr>
        <w:jc w:val="center"/>
        <w:rPr>
          <w:rFonts w:ascii="Arial" w:hAnsi="Arial" w:cs="Arial"/>
          <w:bCs/>
        </w:rPr>
      </w:pPr>
      <w:r w:rsidRPr="000D1D59">
        <w:rPr>
          <w:rFonts w:ascii="Arial" w:hAnsi="Arial" w:cs="Arial"/>
          <w:noProof/>
        </w:rPr>
        <w:drawing>
          <wp:inline distT="0" distB="0" distL="0" distR="0" wp14:anchorId="7B35FB6E" wp14:editId="404521AB">
            <wp:extent cx="1603022" cy="80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426" r="3299" b="16241"/>
                    <a:stretch/>
                  </pic:blipFill>
                  <pic:spPr bwMode="auto">
                    <a:xfrm>
                      <a:off x="0" y="0"/>
                      <a:ext cx="1636358" cy="817387"/>
                    </a:xfrm>
                    <a:prstGeom prst="rect">
                      <a:avLst/>
                    </a:prstGeom>
                    <a:ln>
                      <a:noFill/>
                    </a:ln>
                    <a:extLst>
                      <a:ext uri="{53640926-AAD7-44D8-BBD7-CCE9431645EC}">
                        <a14:shadowObscured xmlns:a14="http://schemas.microsoft.com/office/drawing/2010/main"/>
                      </a:ext>
                    </a:extLst>
                  </pic:spPr>
                </pic:pic>
              </a:graphicData>
            </a:graphic>
          </wp:inline>
        </w:drawing>
      </w:r>
    </w:p>
    <w:p w14:paraId="01B6F6D9" w14:textId="0BA785DD" w:rsidR="00D253DD" w:rsidRPr="000D1D59" w:rsidRDefault="00D253DD" w:rsidP="00D253DD">
      <w:pPr>
        <w:rPr>
          <w:rFonts w:ascii="Arial" w:hAnsi="Arial" w:cs="Arial"/>
          <w:bCs/>
        </w:rPr>
      </w:pPr>
      <w:r w:rsidRPr="000D1D59">
        <w:rPr>
          <w:rFonts w:ascii="Arial" w:hAnsi="Arial" w:cs="Arial"/>
          <w:bCs/>
        </w:rPr>
        <w:t xml:space="preserve">Where </w:t>
      </w:r>
      <w:r w:rsidRPr="000D1D59">
        <w:rPr>
          <w:rFonts w:ascii="Arial" w:hAnsi="Arial" w:cs="Arial"/>
          <w:bCs/>
          <w:i/>
          <w:iCs/>
        </w:rPr>
        <w:t>S</w:t>
      </w:r>
      <w:r w:rsidRPr="000D1D59">
        <w:rPr>
          <w:rFonts w:ascii="Arial" w:hAnsi="Arial" w:cs="Arial"/>
          <w:bCs/>
        </w:rPr>
        <w:t xml:space="preserve"> is the number of observed species within a site. </w:t>
      </w:r>
    </w:p>
    <w:p w14:paraId="4CD54324" w14:textId="1AA00894" w:rsidR="00370117" w:rsidRDefault="00D253DD" w:rsidP="00A6061D">
      <w:pPr>
        <w:rPr>
          <w:rFonts w:ascii="Arial" w:hAnsi="Arial" w:cs="Arial"/>
          <w:noProof/>
        </w:rPr>
      </w:pPr>
      <w:r w:rsidRPr="000D1D59">
        <w:rPr>
          <w:rFonts w:ascii="Arial" w:hAnsi="Arial" w:cs="Arial"/>
          <w:bCs/>
        </w:rPr>
        <w:t>To standardize magnitudes of change across treatments</w:t>
      </w:r>
      <w:r w:rsidR="00C657EE" w:rsidRPr="000D1D59">
        <w:rPr>
          <w:rFonts w:ascii="Arial" w:hAnsi="Arial" w:cs="Arial"/>
          <w:bCs/>
        </w:rPr>
        <w:t xml:space="preserve">, column vectors </w:t>
      </w:r>
      <w:r w:rsidR="0061644B" w:rsidRPr="000D1D59">
        <w:rPr>
          <w:rFonts w:ascii="Arial" w:hAnsi="Arial" w:cs="Arial"/>
          <w:bCs/>
        </w:rPr>
        <w:t>were standardized</w:t>
      </w:r>
      <w:r w:rsidRPr="000D1D59">
        <w:rPr>
          <w:rFonts w:ascii="Arial" w:hAnsi="Arial" w:cs="Arial"/>
          <w:bCs/>
        </w:rPr>
        <w:t xml:space="preserve"> through dividing by L</w:t>
      </w:r>
      <w:r w:rsidRPr="000D1D59">
        <w:rPr>
          <w:rFonts w:ascii="Arial" w:hAnsi="Arial" w:cs="Arial"/>
          <w:bCs/>
          <w:vertAlign w:val="subscript"/>
        </w:rPr>
        <w:t>2</w:t>
      </w:r>
      <w:r w:rsidRPr="000D1D59">
        <w:rPr>
          <w:rFonts w:ascii="Arial" w:hAnsi="Arial" w:cs="Arial"/>
          <w:bCs/>
        </w:rPr>
        <w:t xml:space="preserve"> norm, such</w:t>
      </w:r>
      <w:r w:rsidR="00A6061D" w:rsidRPr="000D1D59">
        <w:rPr>
          <w:rFonts w:ascii="Arial" w:hAnsi="Arial" w:cs="Arial"/>
          <w:bCs/>
        </w:rPr>
        <w:t xml:space="preserve"> that</w:t>
      </w:r>
      <w:r w:rsidR="00A6061D" w:rsidRPr="000D1D59">
        <w:rPr>
          <w:rFonts w:ascii="Arial" w:hAnsi="Arial" w:cs="Arial"/>
          <w:noProof/>
        </w:rPr>
        <w:t xml:space="preserve"> </w:t>
      </w:r>
      <w:r w:rsidR="00A6061D" w:rsidRPr="000D1D59">
        <w:rPr>
          <w:rFonts w:ascii="Arial" w:hAnsi="Arial" w:cs="Arial"/>
          <w:noProof/>
          <w:sz w:val="16"/>
          <w:szCs w:val="16"/>
        </w:rPr>
        <w:drawing>
          <wp:inline distT="0" distB="0" distL="0" distR="0" wp14:anchorId="281B74C3" wp14:editId="5E876FB2">
            <wp:extent cx="748226" cy="25931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22330"/>
                    <a:stretch/>
                  </pic:blipFill>
                  <pic:spPr bwMode="auto">
                    <a:xfrm>
                      <a:off x="0" y="0"/>
                      <a:ext cx="834364" cy="289167"/>
                    </a:xfrm>
                    <a:prstGeom prst="rect">
                      <a:avLst/>
                    </a:prstGeom>
                    <a:ln>
                      <a:noFill/>
                    </a:ln>
                    <a:extLst>
                      <a:ext uri="{53640926-AAD7-44D8-BBD7-CCE9431645EC}">
                        <a14:shadowObscured xmlns:a14="http://schemas.microsoft.com/office/drawing/2010/main"/>
                      </a:ext>
                    </a:extLst>
                  </pic:spPr>
                </pic:pic>
              </a:graphicData>
            </a:graphic>
          </wp:inline>
        </w:drawing>
      </w:r>
    </w:p>
    <w:p w14:paraId="221F2A81" w14:textId="1677CD04" w:rsidR="00370117" w:rsidRDefault="00370117" w:rsidP="00A6061D">
      <w:pPr>
        <w:rPr>
          <w:rFonts w:ascii="Arial" w:hAnsi="Arial" w:cs="Arial"/>
          <w:noProof/>
        </w:rPr>
      </w:pPr>
      <w:r>
        <w:rPr>
          <w:rFonts w:ascii="Arial" w:hAnsi="Arial" w:cs="Arial"/>
          <w:noProof/>
        </w:rPr>
        <w:t xml:space="preserve">For each possible pair of treatments, </w:t>
      </w:r>
      <w:r w:rsidR="00B37ED4">
        <w:rPr>
          <w:rFonts w:ascii="Arial" w:hAnsi="Arial" w:cs="Arial"/>
          <w:noProof/>
        </w:rPr>
        <w:t xml:space="preserve">bivariate </w:t>
      </w:r>
      <w:r w:rsidR="00307586">
        <w:rPr>
          <w:rFonts w:ascii="Arial" w:hAnsi="Arial" w:cs="Arial"/>
          <w:noProof/>
        </w:rPr>
        <w:t xml:space="preserve">relationships between </w:t>
      </w:r>
      <w:r w:rsidR="00FC7015">
        <w:rPr>
          <w:rFonts w:ascii="Arial" w:hAnsi="Arial" w:cs="Arial"/>
          <w:noProof/>
        </w:rPr>
        <w:t>sets of treatment responses</w:t>
      </w:r>
      <w:r w:rsidR="00B3435B">
        <w:rPr>
          <w:rFonts w:ascii="Arial" w:hAnsi="Arial" w:cs="Arial"/>
          <w:noProof/>
        </w:rPr>
        <w:t xml:space="preserve"> may be used to illustrate </w:t>
      </w:r>
      <w:r w:rsidR="00D00F8F">
        <w:rPr>
          <w:rFonts w:ascii="Arial" w:hAnsi="Arial" w:cs="Arial"/>
          <w:noProof/>
        </w:rPr>
        <w:t xml:space="preserve">correlations </w:t>
      </w:r>
      <w:r w:rsidR="005A10CE">
        <w:rPr>
          <w:rFonts w:ascii="Arial" w:hAnsi="Arial" w:cs="Arial"/>
          <w:noProof/>
        </w:rPr>
        <w:t>among trajectories of change (Figure 1a). To evaluate these bivariate relationships, we fit Semi Major Axis (</w:t>
      </w:r>
      <w:r w:rsidR="00491160">
        <w:rPr>
          <w:rFonts w:ascii="Arial" w:hAnsi="Arial" w:cs="Arial"/>
          <w:noProof/>
        </w:rPr>
        <w:t>S</w:t>
      </w:r>
      <w:r w:rsidR="005A10CE">
        <w:rPr>
          <w:rFonts w:ascii="Arial" w:hAnsi="Arial" w:cs="Arial"/>
          <w:noProof/>
        </w:rPr>
        <w:t xml:space="preserve">MA) regressions to each pairwise combination of treatments, which account for uncertainty in both X and Y variables not captured in Ordinary Least Squares (OLS) </w:t>
      </w:r>
      <w:r w:rsidR="00491160">
        <w:rPr>
          <w:rFonts w:ascii="Arial" w:hAnsi="Arial" w:cs="Arial"/>
          <w:noProof/>
        </w:rPr>
        <w:t xml:space="preserve">regression. </w:t>
      </w:r>
    </w:p>
    <w:p w14:paraId="31389D67" w14:textId="75BA04CB" w:rsidR="00B339E6" w:rsidRPr="000D1D59" w:rsidRDefault="00F14FF9" w:rsidP="00337F21">
      <w:pPr>
        <w:rPr>
          <w:rFonts w:ascii="Arial" w:hAnsi="Arial" w:cs="Arial"/>
          <w:bCs/>
        </w:rPr>
      </w:pPr>
      <w:r>
        <w:rPr>
          <w:rFonts w:ascii="Arial" w:hAnsi="Arial" w:cs="Arial"/>
          <w:noProof/>
        </w:rPr>
        <w:t xml:space="preserve">However, bivariate relationships do not provide an aggregate </w:t>
      </w:r>
      <w:r w:rsidR="00AF5415">
        <w:rPr>
          <w:rFonts w:ascii="Arial" w:hAnsi="Arial" w:cs="Arial"/>
          <w:noProof/>
        </w:rPr>
        <w:t xml:space="preserve">measure of similarity among variables in 3 or more dimensions. To assess the </w:t>
      </w:r>
      <w:r w:rsidR="00AF5415" w:rsidRPr="00AF5415">
        <w:rPr>
          <w:rFonts w:ascii="Arial" w:hAnsi="Arial" w:cs="Arial"/>
          <w:i/>
          <w:iCs/>
          <w:noProof/>
        </w:rPr>
        <w:t>dimensionality</w:t>
      </w:r>
      <w:r w:rsidR="00AF5415">
        <w:rPr>
          <w:rFonts w:ascii="Arial" w:hAnsi="Arial" w:cs="Arial"/>
          <w:noProof/>
        </w:rPr>
        <w:t xml:space="preserve"> of community response, </w:t>
      </w:r>
      <w:r w:rsidR="007E209F">
        <w:rPr>
          <w:rFonts w:ascii="Arial" w:hAnsi="Arial" w:cs="Arial"/>
          <w:noProof/>
        </w:rPr>
        <w:t xml:space="preserve">we </w:t>
      </w:r>
      <w:r w:rsidR="00BD6936" w:rsidRPr="000D1D59">
        <w:rPr>
          <w:rFonts w:ascii="Arial" w:hAnsi="Arial" w:cs="Arial"/>
          <w:bCs/>
        </w:rPr>
        <w:t xml:space="preserve">define a vector of 1’s, </w:t>
      </w:r>
      <w:r w:rsidR="00BD6936" w:rsidRPr="000D1D59">
        <w:rPr>
          <w:rFonts w:ascii="Arial" w:hAnsi="Arial" w:cs="Arial"/>
          <w:b/>
          <w:i/>
          <w:iCs/>
        </w:rPr>
        <w:t>y</w:t>
      </w:r>
      <w:r w:rsidR="00BD6936" w:rsidRPr="000D1D59">
        <w:rPr>
          <w:rFonts w:ascii="Arial" w:hAnsi="Arial" w:cs="Arial"/>
          <w:bCs/>
        </w:rPr>
        <w:t xml:space="preserve">, </w:t>
      </w:r>
      <w:r w:rsidR="00B339E6" w:rsidRPr="000D1D59">
        <w:rPr>
          <w:rFonts w:ascii="Arial" w:hAnsi="Arial" w:cs="Arial"/>
          <w:bCs/>
        </w:rPr>
        <w:t xml:space="preserve">to form a test of our </w:t>
      </w:r>
      <w:r w:rsidR="007B3F55">
        <w:rPr>
          <w:rFonts w:ascii="Arial" w:hAnsi="Arial" w:cs="Arial"/>
          <w:bCs/>
        </w:rPr>
        <w:t xml:space="preserve">“neutral” </w:t>
      </w:r>
      <w:r w:rsidR="00B339E6" w:rsidRPr="000D1D59">
        <w:rPr>
          <w:rFonts w:ascii="Arial" w:hAnsi="Arial" w:cs="Arial"/>
          <w:bCs/>
        </w:rPr>
        <w:t>null hypothesis</w:t>
      </w:r>
      <w:r w:rsidR="007B3F55">
        <w:rPr>
          <w:rFonts w:ascii="Arial" w:hAnsi="Arial" w:cs="Arial"/>
          <w:bCs/>
        </w:rPr>
        <w:t xml:space="preserve">. </w:t>
      </w:r>
      <w:r w:rsidR="00C37E30">
        <w:rPr>
          <w:rFonts w:ascii="Arial" w:hAnsi="Arial" w:cs="Arial"/>
          <w:bCs/>
        </w:rPr>
        <w:t xml:space="preserve">Under this neutral expectation, </w:t>
      </w:r>
      <w:r w:rsidR="00B339E6" w:rsidRPr="000D1D59">
        <w:rPr>
          <w:rFonts w:ascii="Arial" w:hAnsi="Arial" w:cs="Arial"/>
          <w:bCs/>
        </w:rPr>
        <w:t xml:space="preserve">proportionally equal responses to treatment will </w:t>
      </w:r>
      <w:r w:rsidR="00101432">
        <w:rPr>
          <w:rFonts w:ascii="Arial" w:hAnsi="Arial" w:cs="Arial"/>
          <w:bCs/>
        </w:rPr>
        <w:t>be perfectly captured by variation along this</w:t>
      </w:r>
      <w:r w:rsidR="00B339E6" w:rsidRPr="000D1D59">
        <w:rPr>
          <w:rFonts w:ascii="Arial" w:hAnsi="Arial" w:cs="Arial"/>
          <w:bCs/>
        </w:rPr>
        <w:t xml:space="preserve"> 1:1:1 </w:t>
      </w:r>
      <w:r w:rsidR="0090549C" w:rsidRPr="000D1D59">
        <w:rPr>
          <w:rFonts w:ascii="Arial" w:hAnsi="Arial" w:cs="Arial"/>
          <w:bCs/>
        </w:rPr>
        <w:t>vector</w:t>
      </w:r>
      <w:r w:rsidR="00F16891">
        <w:rPr>
          <w:rFonts w:ascii="Arial" w:hAnsi="Arial" w:cs="Arial"/>
          <w:bCs/>
        </w:rPr>
        <w:t xml:space="preserve"> (Figure 1b)</w:t>
      </w:r>
      <w:r w:rsidR="00B339E6" w:rsidRPr="000D1D59">
        <w:rPr>
          <w:rFonts w:ascii="Arial" w:hAnsi="Arial" w:cs="Arial"/>
          <w:bCs/>
        </w:rPr>
        <w:t>.</w:t>
      </w:r>
    </w:p>
    <w:p w14:paraId="21E65AA6" w14:textId="790B6933" w:rsidR="00B75201" w:rsidRPr="000D1D59" w:rsidRDefault="00B339E6" w:rsidP="00337F21">
      <w:pPr>
        <w:rPr>
          <w:rFonts w:ascii="Arial" w:hAnsi="Arial" w:cs="Arial"/>
          <w:bCs/>
        </w:rPr>
      </w:pPr>
      <w:r w:rsidRPr="000D1D59">
        <w:rPr>
          <w:rFonts w:ascii="Arial" w:hAnsi="Arial" w:cs="Arial"/>
          <w:bCs/>
        </w:rPr>
        <w:t xml:space="preserve">To evaluate the degree to which this null hypothesis captures species responses, we defined a vector, </w:t>
      </w:r>
      <w:r w:rsidRPr="000D1D59">
        <w:rPr>
          <w:rFonts w:ascii="Arial" w:hAnsi="Arial" w:cs="Arial"/>
          <w:b/>
          <w:i/>
          <w:iCs/>
        </w:rPr>
        <w:t>a</w:t>
      </w:r>
      <w:r w:rsidRPr="000D1D59">
        <w:rPr>
          <w:rFonts w:ascii="Arial" w:hAnsi="Arial" w:cs="Arial"/>
          <w:bCs/>
        </w:rPr>
        <w:t>,</w:t>
      </w:r>
      <w:r w:rsidR="0090549C" w:rsidRPr="000D1D59">
        <w:rPr>
          <w:rFonts w:ascii="Arial" w:hAnsi="Arial" w:cs="Arial"/>
          <w:bCs/>
        </w:rPr>
        <w:t xml:space="preserve"> as</w:t>
      </w:r>
      <w:r w:rsidRPr="000D1D59">
        <w:rPr>
          <w:rFonts w:ascii="Arial" w:hAnsi="Arial" w:cs="Arial"/>
          <w:bCs/>
        </w:rPr>
        <w:t xml:space="preserve"> </w:t>
      </w:r>
      <w:r w:rsidR="00435ECD" w:rsidRPr="000D1D59">
        <w:rPr>
          <w:rFonts w:ascii="Arial" w:hAnsi="Arial" w:cs="Arial"/>
          <w:bCs/>
        </w:rPr>
        <w:t xml:space="preserve">the projection of observed responses </w:t>
      </w:r>
      <w:r w:rsidR="0090549C" w:rsidRPr="000D1D59">
        <w:rPr>
          <w:rFonts w:ascii="Arial" w:hAnsi="Arial" w:cs="Arial"/>
          <w:bCs/>
        </w:rPr>
        <w:t xml:space="preserve">onto the </w:t>
      </w:r>
      <w:r w:rsidR="0090549C" w:rsidRPr="008E60DD">
        <w:rPr>
          <w:rFonts w:ascii="Arial" w:hAnsi="Arial" w:cs="Arial"/>
          <w:bCs/>
        </w:rPr>
        <w:t>1:1:1</w:t>
      </w:r>
      <w:r w:rsidR="0090549C" w:rsidRPr="000D1D59">
        <w:rPr>
          <w:rFonts w:ascii="Arial" w:hAnsi="Arial" w:cs="Arial"/>
          <w:bCs/>
        </w:rPr>
        <w:t xml:space="preserve"> vector, </w:t>
      </w:r>
      <w:r w:rsidR="0090549C" w:rsidRPr="000D1D59">
        <w:rPr>
          <w:rFonts w:ascii="Arial" w:hAnsi="Arial" w:cs="Arial"/>
          <w:b/>
          <w:i/>
          <w:iCs/>
        </w:rPr>
        <w:t>y</w:t>
      </w:r>
      <w:r w:rsidR="00B75201" w:rsidRPr="000D1D59">
        <w:rPr>
          <w:rFonts w:ascii="Arial" w:hAnsi="Arial" w:cs="Arial"/>
          <w:bCs/>
        </w:rPr>
        <w:t>:</w:t>
      </w:r>
    </w:p>
    <w:p w14:paraId="61FA23EB" w14:textId="666D0000" w:rsidR="00B75201" w:rsidRPr="000D1D59" w:rsidRDefault="002F4677" w:rsidP="002F4677">
      <w:pPr>
        <w:jc w:val="center"/>
        <w:rPr>
          <w:rFonts w:ascii="Arial" w:hAnsi="Arial" w:cs="Arial"/>
          <w:bCs/>
        </w:rPr>
      </w:pPr>
      <w:r w:rsidRPr="000D1D59">
        <w:rPr>
          <w:rFonts w:ascii="Arial" w:hAnsi="Arial" w:cs="Arial"/>
          <w:noProof/>
        </w:rPr>
        <w:drawing>
          <wp:inline distT="0" distB="0" distL="0" distR="0" wp14:anchorId="22E70250" wp14:editId="47EB2FCD">
            <wp:extent cx="1416909" cy="8259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3970" cy="830087"/>
                    </a:xfrm>
                    <a:prstGeom prst="rect">
                      <a:avLst/>
                    </a:prstGeom>
                  </pic:spPr>
                </pic:pic>
              </a:graphicData>
            </a:graphic>
          </wp:inline>
        </w:drawing>
      </w:r>
    </w:p>
    <w:p w14:paraId="5C91066F" w14:textId="369577CE" w:rsidR="00337F21" w:rsidRPr="000D1D59" w:rsidRDefault="00B75201" w:rsidP="00337F21">
      <w:pPr>
        <w:rPr>
          <w:rFonts w:ascii="Arial" w:hAnsi="Arial" w:cs="Arial"/>
          <w:b/>
          <w:i/>
          <w:iCs/>
        </w:rPr>
      </w:pPr>
      <w:r w:rsidRPr="000D1D59">
        <w:rPr>
          <w:rFonts w:ascii="Arial" w:hAnsi="Arial" w:cs="Arial"/>
          <w:bCs/>
        </w:rPr>
        <w:t xml:space="preserve">The orthogonal compliment of the projection, </w:t>
      </w:r>
      <w:r w:rsidR="008541EE" w:rsidRPr="000D1D59">
        <w:rPr>
          <w:rFonts w:ascii="Arial" w:hAnsi="Arial" w:cs="Arial"/>
          <w:b/>
          <w:i/>
          <w:iCs/>
        </w:rPr>
        <w:t>b</w:t>
      </w:r>
      <w:r w:rsidRPr="000D1D59">
        <w:rPr>
          <w:rFonts w:ascii="Arial" w:hAnsi="Arial" w:cs="Arial"/>
          <w:bCs/>
        </w:rPr>
        <w:t xml:space="preserve">, defines the elements of </w:t>
      </w:r>
      <w:r w:rsidRPr="000D1D59">
        <w:rPr>
          <w:rFonts w:ascii="Arial" w:hAnsi="Arial" w:cs="Arial"/>
          <w:b/>
          <w:i/>
          <w:iCs/>
        </w:rPr>
        <w:t>x</w:t>
      </w:r>
      <w:r w:rsidR="008541EE" w:rsidRPr="000D1D59">
        <w:rPr>
          <w:rFonts w:ascii="Arial" w:hAnsi="Arial" w:cs="Arial"/>
          <w:b/>
          <w:i/>
          <w:iCs/>
        </w:rPr>
        <w:t xml:space="preserve"> </w:t>
      </w:r>
      <w:r w:rsidR="008541EE" w:rsidRPr="000D1D59">
        <w:rPr>
          <w:rFonts w:ascii="Arial" w:hAnsi="Arial" w:cs="Arial"/>
          <w:bCs/>
        </w:rPr>
        <w:t xml:space="preserve">not captured by projection onto </w:t>
      </w:r>
      <w:r w:rsidR="008541EE" w:rsidRPr="000D1D59">
        <w:rPr>
          <w:rFonts w:ascii="Arial" w:hAnsi="Arial" w:cs="Arial"/>
          <w:b/>
          <w:i/>
          <w:iCs/>
        </w:rPr>
        <w:t>y</w:t>
      </w:r>
      <w:r w:rsidR="00B0486B" w:rsidRPr="000D1D59">
        <w:rPr>
          <w:rFonts w:ascii="Arial" w:hAnsi="Arial" w:cs="Arial"/>
          <w:b/>
          <w:i/>
          <w:iCs/>
        </w:rPr>
        <w:t>:</w:t>
      </w:r>
    </w:p>
    <w:p w14:paraId="18E6360E" w14:textId="09A489B1" w:rsidR="0090549C" w:rsidRPr="000D1D59" w:rsidRDefault="002F4677" w:rsidP="002F4677">
      <w:pPr>
        <w:jc w:val="center"/>
        <w:rPr>
          <w:rFonts w:ascii="Arial" w:hAnsi="Arial" w:cs="Arial"/>
          <w:bCs/>
        </w:rPr>
      </w:pPr>
      <w:r w:rsidRPr="000D1D59">
        <w:rPr>
          <w:rFonts w:ascii="Arial" w:hAnsi="Arial" w:cs="Arial"/>
          <w:noProof/>
        </w:rPr>
        <w:drawing>
          <wp:inline distT="0" distB="0" distL="0" distR="0" wp14:anchorId="591CC193" wp14:editId="77F57B55">
            <wp:extent cx="1145060" cy="349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93075" cy="364550"/>
                    </a:xfrm>
                    <a:prstGeom prst="rect">
                      <a:avLst/>
                    </a:prstGeom>
                  </pic:spPr>
                </pic:pic>
              </a:graphicData>
            </a:graphic>
          </wp:inline>
        </w:drawing>
      </w:r>
    </w:p>
    <w:p w14:paraId="72B2F694" w14:textId="2FD29CAC" w:rsidR="0090549C" w:rsidRPr="000D1D59" w:rsidRDefault="00B75201" w:rsidP="00337F21">
      <w:pPr>
        <w:rPr>
          <w:rFonts w:ascii="Arial" w:hAnsi="Arial" w:cs="Arial"/>
          <w:bCs/>
        </w:rPr>
      </w:pPr>
      <w:r w:rsidRPr="000D1D59">
        <w:rPr>
          <w:rFonts w:ascii="Arial" w:hAnsi="Arial" w:cs="Arial"/>
          <w:bCs/>
        </w:rPr>
        <w:t>The fraction of variance in species response that is captured by this projection is thus defined as</w:t>
      </w:r>
      <w:r w:rsidR="00B0486B" w:rsidRPr="000D1D59">
        <w:rPr>
          <w:rFonts w:ascii="Arial" w:hAnsi="Arial" w:cs="Arial"/>
          <w:bCs/>
        </w:rPr>
        <w:t xml:space="preserve"> the ratio of squared norms</w:t>
      </w:r>
      <w:r w:rsidR="003B7E58">
        <w:rPr>
          <w:rFonts w:ascii="Arial" w:hAnsi="Arial" w:cs="Arial"/>
          <w:bCs/>
        </w:rPr>
        <w:t xml:space="preserve"> (sums of squares)</w:t>
      </w:r>
      <w:r w:rsidR="00B0486B" w:rsidRPr="000D1D59">
        <w:rPr>
          <w:rFonts w:ascii="Arial" w:hAnsi="Arial" w:cs="Arial"/>
          <w:bCs/>
        </w:rPr>
        <w:t xml:space="preserve"> of </w:t>
      </w:r>
      <w:r w:rsidR="00B0486B" w:rsidRPr="000D1D59">
        <w:rPr>
          <w:rFonts w:ascii="Arial" w:hAnsi="Arial" w:cs="Arial"/>
          <w:b/>
          <w:i/>
          <w:iCs/>
        </w:rPr>
        <w:t>a</w:t>
      </w:r>
      <w:r w:rsidR="00B0486B" w:rsidRPr="000D1D59">
        <w:rPr>
          <w:rFonts w:ascii="Arial" w:hAnsi="Arial" w:cs="Arial"/>
          <w:bCs/>
        </w:rPr>
        <w:t xml:space="preserve"> and </w:t>
      </w:r>
      <w:r w:rsidR="00B0486B" w:rsidRPr="000D1D59">
        <w:rPr>
          <w:rFonts w:ascii="Arial" w:hAnsi="Arial" w:cs="Arial"/>
          <w:b/>
          <w:i/>
          <w:iCs/>
        </w:rPr>
        <w:t>x</w:t>
      </w:r>
      <w:r w:rsidRPr="000D1D59">
        <w:rPr>
          <w:rFonts w:ascii="Arial" w:hAnsi="Arial" w:cs="Arial"/>
          <w:bCs/>
        </w:rPr>
        <w:t>:</w:t>
      </w:r>
    </w:p>
    <w:p w14:paraId="25283BB7" w14:textId="23F06D3D" w:rsidR="00B75201" w:rsidRPr="000D1D59" w:rsidRDefault="004E3380" w:rsidP="002F4677">
      <w:pPr>
        <w:jc w:val="center"/>
        <w:rPr>
          <w:rFonts w:ascii="Arial" w:hAnsi="Arial" w:cs="Arial"/>
          <w:bCs/>
        </w:rPr>
      </w:pPr>
      <w:r>
        <w:rPr>
          <w:noProof/>
        </w:rPr>
        <w:drawing>
          <wp:inline distT="0" distB="0" distL="0" distR="0" wp14:anchorId="3A7E51D1" wp14:editId="69395ADD">
            <wp:extent cx="936977" cy="545582"/>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70496" cy="565099"/>
                    </a:xfrm>
                    <a:prstGeom prst="rect">
                      <a:avLst/>
                    </a:prstGeom>
                  </pic:spPr>
                </pic:pic>
              </a:graphicData>
            </a:graphic>
          </wp:inline>
        </w:drawing>
      </w:r>
    </w:p>
    <w:p w14:paraId="285383F1" w14:textId="7122B0CF" w:rsidR="00377595" w:rsidRPr="00A60401" w:rsidRDefault="00377595" w:rsidP="00377595">
      <w:pPr>
        <w:rPr>
          <w:rFonts w:ascii="Arial" w:hAnsi="Arial" w:cs="Arial"/>
          <w:bCs/>
        </w:rPr>
      </w:pPr>
      <w:r>
        <w:rPr>
          <w:rFonts w:ascii="Arial" w:hAnsi="Arial" w:cs="Arial"/>
          <w:bCs/>
        </w:rPr>
        <w:lastRenderedPageBreak/>
        <w:t>Under our null hypothesis, the</w:t>
      </w:r>
      <w:r w:rsidR="00971175">
        <w:rPr>
          <w:rFonts w:ascii="Arial" w:hAnsi="Arial" w:cs="Arial"/>
          <w:bCs/>
        </w:rPr>
        <w:t xml:space="preserve"> set of responses observed for species </w:t>
      </w:r>
      <w:proofErr w:type="spellStart"/>
      <w:r w:rsidR="00971175">
        <w:rPr>
          <w:rFonts w:ascii="Arial" w:hAnsi="Arial" w:cs="Arial"/>
          <w:bCs/>
          <w:i/>
          <w:iCs/>
        </w:rPr>
        <w:t>i</w:t>
      </w:r>
      <w:proofErr w:type="spellEnd"/>
      <w:r w:rsidR="00971175">
        <w:rPr>
          <w:rFonts w:ascii="Arial" w:hAnsi="Arial" w:cs="Arial"/>
          <w:bCs/>
          <w:i/>
          <w:iCs/>
        </w:rPr>
        <w:t xml:space="preserve">, </w:t>
      </w:r>
      <w:proofErr w:type="spellStart"/>
      <w:r w:rsidR="00971175">
        <w:rPr>
          <w:rFonts w:ascii="Arial" w:hAnsi="Arial" w:cs="Arial"/>
          <w:b/>
          <w:i/>
          <w:iCs/>
        </w:rPr>
        <w:t>x</w:t>
      </w:r>
      <w:r w:rsidR="00971175">
        <w:rPr>
          <w:rFonts w:ascii="Arial" w:hAnsi="Arial" w:cs="Arial"/>
          <w:b/>
          <w:i/>
          <w:iCs/>
        </w:rPr>
        <w:softHyphen/>
      </w:r>
      <w:r w:rsidR="00971175">
        <w:rPr>
          <w:rFonts w:ascii="Arial" w:hAnsi="Arial" w:cs="Arial"/>
          <w:b/>
          <w:i/>
          <w:iCs/>
          <w:vertAlign w:val="subscript"/>
        </w:rPr>
        <w:t>I</w:t>
      </w:r>
      <w:proofErr w:type="spellEnd"/>
      <w:r w:rsidR="00971175">
        <w:rPr>
          <w:rFonts w:ascii="Arial" w:hAnsi="Arial" w:cs="Arial"/>
          <w:bCs/>
        </w:rPr>
        <w:t xml:space="preserve">, will be of equal magnitude to </w:t>
      </w:r>
      <w:r w:rsidR="00A60401">
        <w:rPr>
          <w:rFonts w:ascii="Arial" w:hAnsi="Arial" w:cs="Arial"/>
          <w:bCs/>
        </w:rPr>
        <w:t xml:space="preserve">the projection, </w:t>
      </w:r>
      <w:r w:rsidR="00A60401">
        <w:rPr>
          <w:rFonts w:ascii="Arial" w:hAnsi="Arial" w:cs="Arial"/>
          <w:b/>
          <w:i/>
          <w:iCs/>
        </w:rPr>
        <w:t>a</w:t>
      </w:r>
      <w:r w:rsidR="00A60401">
        <w:rPr>
          <w:rFonts w:ascii="Arial" w:hAnsi="Arial" w:cs="Arial"/>
          <w:b/>
          <w:i/>
          <w:iCs/>
          <w:vertAlign w:val="subscript"/>
        </w:rPr>
        <w:t>i</w:t>
      </w:r>
      <w:r w:rsidR="00C10EA3">
        <w:rPr>
          <w:rFonts w:ascii="Arial" w:hAnsi="Arial" w:cs="Arial"/>
          <w:bCs/>
          <w:i/>
          <w:iCs/>
          <w:u w:val="single"/>
          <w:vertAlign w:val="subscript"/>
        </w:rPr>
        <w:t>,</w:t>
      </w:r>
      <w:r w:rsidR="00A60401">
        <w:rPr>
          <w:rFonts w:ascii="Arial" w:hAnsi="Arial" w:cs="Arial"/>
          <w:b/>
          <w:i/>
          <w:iCs/>
        </w:rPr>
        <w:t xml:space="preserve">. </w:t>
      </w:r>
      <w:r w:rsidR="00F7245F">
        <w:rPr>
          <w:rFonts w:ascii="Arial" w:hAnsi="Arial" w:cs="Arial"/>
          <w:bCs/>
        </w:rPr>
        <w:t xml:space="preserve">The </w:t>
      </w:r>
      <w:r w:rsidR="00FB1706">
        <w:rPr>
          <w:rFonts w:ascii="Arial" w:hAnsi="Arial" w:cs="Arial"/>
          <w:bCs/>
        </w:rPr>
        <w:t>proportion</w:t>
      </w:r>
      <w:r w:rsidR="00F7245F">
        <w:rPr>
          <w:rFonts w:ascii="Arial" w:hAnsi="Arial" w:cs="Arial"/>
          <w:bCs/>
        </w:rPr>
        <w:t xml:space="preserve">al magnitude of these vectors </w:t>
      </w:r>
      <w:r w:rsidR="00FB1706">
        <w:rPr>
          <w:rFonts w:ascii="Arial" w:hAnsi="Arial" w:cs="Arial"/>
          <w:bCs/>
        </w:rPr>
        <w:t>thus serves as a measure of response dimensionality for a given species.</w:t>
      </w:r>
    </w:p>
    <w:p w14:paraId="0E1CE753" w14:textId="26F97345" w:rsidR="00216FA1" w:rsidRPr="000D1D59" w:rsidRDefault="00B75201" w:rsidP="00337F21">
      <w:pPr>
        <w:rPr>
          <w:rFonts w:ascii="Arial" w:hAnsi="Arial" w:cs="Arial"/>
          <w:bCs/>
        </w:rPr>
      </w:pPr>
      <w:r w:rsidRPr="000D1D59">
        <w:rPr>
          <w:rFonts w:ascii="Arial" w:hAnsi="Arial" w:cs="Arial"/>
          <w:bCs/>
        </w:rPr>
        <w:t xml:space="preserve">Extending this method to all observed species </w:t>
      </w:r>
      <w:r w:rsidR="00216FA1" w:rsidRPr="000D1D59">
        <w:rPr>
          <w:rFonts w:ascii="Arial" w:hAnsi="Arial" w:cs="Arial"/>
          <w:bCs/>
        </w:rPr>
        <w:t>gives an aggregate measure of community dimensionality, bounded between 0 and 1:</w:t>
      </w:r>
    </w:p>
    <w:p w14:paraId="22378DC6" w14:textId="77777777" w:rsidR="00373FB8" w:rsidRDefault="00925250" w:rsidP="00373FB8">
      <w:pPr>
        <w:jc w:val="center"/>
        <w:rPr>
          <w:rFonts w:ascii="Arial" w:hAnsi="Arial" w:cs="Arial"/>
          <w:bCs/>
        </w:rPr>
      </w:pPr>
      <w:r w:rsidRPr="00925250">
        <w:rPr>
          <w:noProof/>
        </w:rPr>
        <w:t xml:space="preserve"> </w:t>
      </w:r>
      <w:r>
        <w:rPr>
          <w:noProof/>
        </w:rPr>
        <w:drawing>
          <wp:inline distT="0" distB="0" distL="0" distR="0" wp14:anchorId="4A161F26" wp14:editId="6FC5890A">
            <wp:extent cx="2220595" cy="796705"/>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2868"/>
                    <a:stretch/>
                  </pic:blipFill>
                  <pic:spPr bwMode="auto">
                    <a:xfrm>
                      <a:off x="0" y="0"/>
                      <a:ext cx="2258709" cy="810380"/>
                    </a:xfrm>
                    <a:prstGeom prst="rect">
                      <a:avLst/>
                    </a:prstGeom>
                    <a:ln>
                      <a:noFill/>
                    </a:ln>
                    <a:extLst>
                      <a:ext uri="{53640926-AAD7-44D8-BBD7-CCE9431645EC}">
                        <a14:shadowObscured xmlns:a14="http://schemas.microsoft.com/office/drawing/2010/main"/>
                      </a:ext>
                    </a:extLst>
                  </pic:spPr>
                </pic:pic>
              </a:graphicData>
            </a:graphic>
          </wp:inline>
        </w:drawing>
      </w:r>
    </w:p>
    <w:p w14:paraId="42768D40" w14:textId="36BD9630" w:rsidR="00CB5B80" w:rsidRPr="00373FB8" w:rsidRDefault="009D5479" w:rsidP="00FB1827">
      <w:pPr>
        <w:rPr>
          <w:rFonts w:ascii="Arial" w:hAnsi="Arial" w:cs="Arial"/>
          <w:bCs/>
        </w:rPr>
      </w:pPr>
      <w:r>
        <w:rPr>
          <w:rFonts w:ascii="Arial" w:hAnsi="Arial" w:cs="Arial"/>
          <w:bCs/>
        </w:rPr>
        <w:t xml:space="preserve">Where </w:t>
      </w:r>
      <w:r w:rsidR="00884233">
        <w:rPr>
          <w:rFonts w:ascii="Arial" w:hAnsi="Arial" w:cs="Arial"/>
          <w:bCs/>
        </w:rPr>
        <w:t>dimensionality (</w:t>
      </w:r>
      <w:r w:rsidR="00884233">
        <w:rPr>
          <w:rFonts w:ascii="Arial" w:hAnsi="Arial" w:cs="Arial"/>
          <w:bCs/>
          <w:i/>
          <w:iCs/>
        </w:rPr>
        <w:t>D)</w:t>
      </w:r>
      <w:r w:rsidR="00884233">
        <w:rPr>
          <w:rFonts w:ascii="Arial" w:hAnsi="Arial" w:cs="Arial"/>
          <w:bCs/>
        </w:rPr>
        <w:t xml:space="preserve"> is equal to one minus the ratio of </w:t>
      </w:r>
      <w:r w:rsidR="00F2333C">
        <w:rPr>
          <w:rFonts w:ascii="Arial" w:hAnsi="Arial" w:cs="Arial"/>
          <w:bCs/>
        </w:rPr>
        <w:t xml:space="preserve">summed magnitudes of change when projected on </w:t>
      </w:r>
      <w:r w:rsidR="00F2333C">
        <w:rPr>
          <w:rFonts w:ascii="Arial" w:hAnsi="Arial" w:cs="Arial"/>
          <w:b/>
          <w:i/>
          <w:iCs/>
        </w:rPr>
        <w:t>y</w:t>
      </w:r>
      <w:r w:rsidR="00F2333C">
        <w:rPr>
          <w:rFonts w:ascii="Arial" w:hAnsi="Arial" w:cs="Arial"/>
          <w:bCs/>
          <w:i/>
          <w:iCs/>
        </w:rPr>
        <w:t xml:space="preserve"> </w:t>
      </w:r>
      <w:r w:rsidR="00F2333C" w:rsidRPr="00F2333C">
        <w:rPr>
          <w:rFonts w:ascii="Arial" w:hAnsi="Arial" w:cs="Arial"/>
          <w:bCs/>
        </w:rPr>
        <w:t>over</w:t>
      </w:r>
      <w:r w:rsidR="00F2333C">
        <w:rPr>
          <w:rFonts w:ascii="Arial" w:hAnsi="Arial" w:cs="Arial"/>
          <w:bCs/>
        </w:rPr>
        <w:t xml:space="preserve"> their observed magnitude</w:t>
      </w:r>
      <w:r w:rsidR="002B176B">
        <w:rPr>
          <w:rFonts w:ascii="Arial" w:hAnsi="Arial" w:cs="Arial"/>
          <w:bCs/>
        </w:rPr>
        <w:t>s</w:t>
      </w:r>
      <w:r w:rsidR="00F2333C">
        <w:rPr>
          <w:rFonts w:ascii="Arial" w:hAnsi="Arial" w:cs="Arial"/>
          <w:bCs/>
        </w:rPr>
        <w:t>.</w:t>
      </w:r>
      <w:r w:rsidR="002B176B">
        <w:rPr>
          <w:rFonts w:ascii="Arial" w:hAnsi="Arial" w:cs="Arial"/>
          <w:b/>
        </w:rPr>
        <w:t xml:space="preserve"> </w:t>
      </w:r>
      <w:r w:rsidR="00CB5B80" w:rsidRPr="000D1D59">
        <w:rPr>
          <w:rFonts w:ascii="Arial" w:hAnsi="Arial" w:cs="Arial"/>
          <w:bCs/>
        </w:rPr>
        <w:t>When trajectories of community change are directionally identical</w:t>
      </w:r>
      <w:r w:rsidR="00706939">
        <w:rPr>
          <w:rFonts w:ascii="Arial" w:hAnsi="Arial" w:cs="Arial"/>
          <w:bCs/>
        </w:rPr>
        <w:t xml:space="preserve"> (low dimensional)</w:t>
      </w:r>
      <w:r w:rsidR="00CB5B80" w:rsidRPr="000D1D59">
        <w:rPr>
          <w:rFonts w:ascii="Arial" w:hAnsi="Arial" w:cs="Arial"/>
          <w:bCs/>
        </w:rPr>
        <w:t>, response vectors will be perfectly captured by this projection (</w:t>
      </w:r>
      <w:r w:rsidR="00CB5B80" w:rsidRPr="00E53802">
        <w:rPr>
          <w:rFonts w:ascii="Arial" w:hAnsi="Arial" w:cs="Arial"/>
          <w:bCs/>
          <w:i/>
          <w:iCs/>
        </w:rPr>
        <w:t xml:space="preserve">D = </w:t>
      </w:r>
      <w:r w:rsidR="000D0932" w:rsidRPr="00E53802">
        <w:rPr>
          <w:rFonts w:ascii="Arial" w:hAnsi="Arial" w:cs="Arial"/>
          <w:bCs/>
          <w:i/>
          <w:iCs/>
        </w:rPr>
        <w:t>0</w:t>
      </w:r>
      <w:r w:rsidR="00CB5B80" w:rsidRPr="000D1D59">
        <w:rPr>
          <w:rFonts w:ascii="Arial" w:hAnsi="Arial" w:cs="Arial"/>
          <w:bCs/>
        </w:rPr>
        <w:t xml:space="preserve">). </w:t>
      </w:r>
      <w:r w:rsidR="00706939">
        <w:rPr>
          <w:rFonts w:ascii="Arial" w:hAnsi="Arial" w:cs="Arial"/>
          <w:bCs/>
        </w:rPr>
        <w:t>Orthogonal responses (high dimensional), where responses to treatment are uncorrelated, will be poorly captured by this projection (</w:t>
      </w:r>
      <w:r w:rsidR="00706939" w:rsidRPr="00E53802">
        <w:rPr>
          <w:rFonts w:ascii="Arial" w:hAnsi="Arial" w:cs="Arial"/>
          <w:bCs/>
          <w:i/>
          <w:iCs/>
        </w:rPr>
        <w:t>D = 1</w:t>
      </w:r>
      <w:r w:rsidR="00706939">
        <w:rPr>
          <w:rFonts w:ascii="Arial" w:hAnsi="Arial" w:cs="Arial"/>
          <w:bCs/>
        </w:rPr>
        <w:t>).</w:t>
      </w:r>
    </w:p>
    <w:p w14:paraId="5C4C3C85" w14:textId="12C15296" w:rsidR="00216FA1" w:rsidRPr="006E0557" w:rsidRDefault="00216FA1" w:rsidP="00337F21">
      <w:pPr>
        <w:rPr>
          <w:rFonts w:ascii="Arial" w:hAnsi="Arial" w:cs="Arial"/>
          <w:u w:val="single"/>
        </w:rPr>
      </w:pPr>
      <w:r w:rsidRPr="000D1D59">
        <w:rPr>
          <w:rFonts w:ascii="Arial" w:hAnsi="Arial" w:cs="Arial"/>
          <w:bCs/>
        </w:rPr>
        <w:t xml:space="preserve">When possible, elements of the rejection, </w:t>
      </w:r>
      <w:r w:rsidRPr="000D1D59">
        <w:rPr>
          <w:rFonts w:ascii="Arial" w:hAnsi="Arial" w:cs="Arial"/>
          <w:b/>
          <w:i/>
          <w:iCs/>
        </w:rPr>
        <w:t>b</w:t>
      </w:r>
      <w:r w:rsidRPr="000D1D59">
        <w:rPr>
          <w:rFonts w:ascii="Arial" w:hAnsi="Arial" w:cs="Arial"/>
          <w:bCs/>
        </w:rPr>
        <w:t>, may be used to visualize deviat</w:t>
      </w:r>
      <w:r w:rsidR="007B7292">
        <w:rPr>
          <w:rFonts w:ascii="Arial" w:hAnsi="Arial" w:cs="Arial"/>
          <w:bCs/>
        </w:rPr>
        <w:t>ions</w:t>
      </w:r>
      <w:r w:rsidRPr="000D1D59">
        <w:rPr>
          <w:rFonts w:ascii="Arial" w:hAnsi="Arial" w:cs="Arial"/>
          <w:bCs/>
        </w:rPr>
        <w:t xml:space="preserve"> from this 1:1:1 line</w:t>
      </w:r>
      <w:r w:rsidR="008A73A0">
        <w:rPr>
          <w:rFonts w:ascii="Arial" w:hAnsi="Arial" w:cs="Arial"/>
          <w:bCs/>
        </w:rPr>
        <w:t xml:space="preserve"> (Figure 1c)</w:t>
      </w:r>
      <w:r w:rsidRPr="000D1D59">
        <w:rPr>
          <w:rFonts w:ascii="Arial" w:hAnsi="Arial" w:cs="Arial"/>
          <w:bCs/>
        </w:rPr>
        <w:t xml:space="preserve">. In this study, we project this remaining component to two other dimensions orthogonal to </w:t>
      </w:r>
      <w:r w:rsidRPr="000D1D59">
        <w:rPr>
          <w:rFonts w:ascii="Arial" w:hAnsi="Arial" w:cs="Arial"/>
          <w:b/>
          <w:i/>
          <w:iCs/>
        </w:rPr>
        <w:t>y</w:t>
      </w:r>
      <w:r w:rsidRPr="000D1D59">
        <w:rPr>
          <w:rFonts w:ascii="Arial" w:hAnsi="Arial" w:cs="Arial"/>
          <w:bCs/>
        </w:rPr>
        <w:t>, constituting a change of basis</w:t>
      </w:r>
      <w:r w:rsidR="006E0557">
        <w:rPr>
          <w:rFonts w:ascii="Arial" w:hAnsi="Arial" w:cs="Arial"/>
          <w:bCs/>
        </w:rPr>
        <w:t xml:space="preserve">. Thus, the overall projection onto </w:t>
      </w:r>
      <w:r w:rsidR="006E0557" w:rsidRPr="006E0557">
        <w:rPr>
          <w:rFonts w:ascii="Arial" w:hAnsi="Arial" w:cs="Arial"/>
          <w:b/>
          <w:bCs/>
          <w:i/>
          <w:iCs/>
        </w:rPr>
        <w:t>y</w:t>
      </w:r>
      <w:r w:rsidR="006E0557">
        <w:rPr>
          <w:rFonts w:ascii="Arial" w:hAnsi="Arial" w:cs="Arial"/>
        </w:rPr>
        <w:t xml:space="preserve"> and residual coordinates may be expressed as </w:t>
      </w:r>
      <w:r w:rsidR="006E0557" w:rsidRPr="006E0557">
        <w:rPr>
          <w:rFonts w:ascii="Arial" w:hAnsi="Arial" w:cs="Arial"/>
          <w:b/>
          <w:bCs/>
        </w:rPr>
        <w:t>XP</w:t>
      </w:r>
      <w:r w:rsidR="006E0557" w:rsidRPr="006E0557">
        <w:rPr>
          <w:rFonts w:ascii="Arial" w:hAnsi="Arial" w:cs="Arial"/>
          <w:b/>
          <w:bCs/>
          <w:vertAlign w:val="superscript"/>
        </w:rPr>
        <w:t>T</w:t>
      </w:r>
      <w:r w:rsidR="006E0557">
        <w:rPr>
          <w:rFonts w:ascii="Arial" w:hAnsi="Arial" w:cs="Arial"/>
          <w:bCs/>
        </w:rPr>
        <w:t>, with projection matrix:</w:t>
      </w:r>
    </w:p>
    <w:p w14:paraId="59A43F40" w14:textId="05CB726D" w:rsidR="00216FA1" w:rsidRPr="000D1D59" w:rsidRDefault="002F4677" w:rsidP="002B066D">
      <w:pPr>
        <w:jc w:val="center"/>
        <w:rPr>
          <w:rFonts w:ascii="Arial" w:hAnsi="Arial" w:cs="Arial"/>
          <w:bCs/>
        </w:rPr>
      </w:pPr>
      <w:r w:rsidRPr="000D1D59">
        <w:rPr>
          <w:rFonts w:ascii="Arial" w:hAnsi="Arial" w:cs="Arial"/>
          <w:noProof/>
        </w:rPr>
        <w:drawing>
          <wp:inline distT="0" distB="0" distL="0" distR="0" wp14:anchorId="68F1656F" wp14:editId="6F6FBE43">
            <wp:extent cx="2243866" cy="790832"/>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26823" cy="820070"/>
                    </a:xfrm>
                    <a:prstGeom prst="rect">
                      <a:avLst/>
                    </a:prstGeom>
                  </pic:spPr>
                </pic:pic>
              </a:graphicData>
            </a:graphic>
          </wp:inline>
        </w:drawing>
      </w:r>
    </w:p>
    <w:p w14:paraId="4A493011" w14:textId="79AD0A32" w:rsidR="002B066D" w:rsidRPr="000D1D59" w:rsidRDefault="002B066D" w:rsidP="002B066D">
      <w:pPr>
        <w:rPr>
          <w:rFonts w:ascii="Arial" w:hAnsi="Arial" w:cs="Arial"/>
          <w:bCs/>
        </w:rPr>
      </w:pPr>
      <w:r w:rsidRPr="000D1D59">
        <w:rPr>
          <w:rFonts w:ascii="Arial" w:hAnsi="Arial" w:cs="Arial"/>
          <w:bCs/>
        </w:rPr>
        <w:t>Where vectors are standardized to unit length.</w:t>
      </w:r>
    </w:p>
    <w:p w14:paraId="7E6D1E6A" w14:textId="57D52446" w:rsidR="00731482" w:rsidRDefault="00731482" w:rsidP="002B066D">
      <w:pPr>
        <w:rPr>
          <w:rFonts w:ascii="Arial" w:hAnsi="Arial" w:cs="Arial"/>
          <w:bCs/>
        </w:rPr>
      </w:pPr>
      <w:r w:rsidRPr="000D1D59">
        <w:rPr>
          <w:rFonts w:ascii="Arial" w:hAnsi="Arial" w:cs="Arial"/>
          <w:bCs/>
        </w:rPr>
        <w:t xml:space="preserve">Conceptually, this geometric approach is similar to dimensionality reduction through principal components analysis (PCA). </w:t>
      </w:r>
      <w:r w:rsidR="007835D1">
        <w:rPr>
          <w:rFonts w:ascii="Arial" w:hAnsi="Arial" w:cs="Arial"/>
          <w:bCs/>
        </w:rPr>
        <w:t>R</w:t>
      </w:r>
      <w:r w:rsidRPr="000D1D59">
        <w:rPr>
          <w:rFonts w:ascii="Arial" w:hAnsi="Arial" w:cs="Arial"/>
          <w:bCs/>
        </w:rPr>
        <w:t xml:space="preserve">ather than defining the first </w:t>
      </w:r>
      <w:r w:rsidR="00CB5B80" w:rsidRPr="000D1D59">
        <w:rPr>
          <w:rFonts w:ascii="Arial" w:hAnsi="Arial" w:cs="Arial"/>
          <w:bCs/>
        </w:rPr>
        <w:t xml:space="preserve">principle component through eigenvalue decomposition, </w:t>
      </w:r>
      <w:r w:rsidR="009C1B2F">
        <w:rPr>
          <w:rFonts w:ascii="Arial" w:hAnsi="Arial" w:cs="Arial"/>
          <w:bCs/>
        </w:rPr>
        <w:t>axes are</w:t>
      </w:r>
      <w:r w:rsidR="00CB5B80" w:rsidRPr="000D1D59">
        <w:rPr>
          <w:rFonts w:ascii="Arial" w:hAnsi="Arial" w:cs="Arial"/>
          <w:bCs/>
        </w:rPr>
        <w:t xml:space="preserve"> pre-specified under a null hypothesis.</w:t>
      </w:r>
    </w:p>
    <w:p w14:paraId="5C3E80A7" w14:textId="7DF160B0" w:rsidR="004C47A3" w:rsidRDefault="006575DB" w:rsidP="002B066D">
      <w:pPr>
        <w:rPr>
          <w:rFonts w:ascii="Arial" w:hAnsi="Arial" w:cs="Arial"/>
          <w:bCs/>
          <w:i/>
          <w:iCs/>
        </w:rPr>
      </w:pPr>
      <w:r>
        <w:rPr>
          <w:rFonts w:ascii="Arial" w:hAnsi="Arial" w:cs="Arial"/>
          <w:bCs/>
          <w:i/>
          <w:iCs/>
        </w:rPr>
        <w:t>Structural Equation Modeling</w:t>
      </w:r>
    </w:p>
    <w:p w14:paraId="44E2AA1F" w14:textId="7ED056E7" w:rsidR="000A338A" w:rsidRDefault="00881B80" w:rsidP="002B066D">
      <w:pPr>
        <w:rPr>
          <w:rFonts w:ascii="Arial" w:hAnsi="Arial" w:cs="Arial"/>
          <w:bCs/>
        </w:rPr>
      </w:pPr>
      <w:r>
        <w:rPr>
          <w:rFonts w:ascii="Arial" w:hAnsi="Arial" w:cs="Arial"/>
          <w:bCs/>
        </w:rPr>
        <w:t xml:space="preserve">To capture variation </w:t>
      </w:r>
      <w:r w:rsidR="00CB682C">
        <w:rPr>
          <w:rFonts w:ascii="Arial" w:hAnsi="Arial" w:cs="Arial"/>
          <w:bCs/>
        </w:rPr>
        <w:t xml:space="preserve">in site-level community properties and abiotic characteristics, we generated a series of </w:t>
      </w:r>
      <w:r w:rsidR="00192170">
        <w:rPr>
          <w:rFonts w:ascii="Arial" w:hAnsi="Arial" w:cs="Arial"/>
          <w:bCs/>
        </w:rPr>
        <w:t xml:space="preserve">derived </w:t>
      </w:r>
      <w:r w:rsidR="003D5184">
        <w:rPr>
          <w:rFonts w:ascii="Arial" w:hAnsi="Arial" w:cs="Arial"/>
          <w:bCs/>
        </w:rPr>
        <w:t xml:space="preserve">variables to supplement observations made during sampling. Climate characteristics were obtained from each site using </w:t>
      </w:r>
      <w:proofErr w:type="spellStart"/>
      <w:r w:rsidR="003D5184">
        <w:rPr>
          <w:rFonts w:ascii="Arial" w:hAnsi="Arial" w:cs="Arial"/>
          <w:bCs/>
        </w:rPr>
        <w:t>BioClim</w:t>
      </w:r>
      <w:proofErr w:type="spellEnd"/>
      <w:r w:rsidR="003D5184">
        <w:rPr>
          <w:rFonts w:ascii="Arial" w:hAnsi="Arial" w:cs="Arial"/>
          <w:bCs/>
        </w:rPr>
        <w:t xml:space="preserve">, a publicly available dataset of </w:t>
      </w:r>
      <w:r w:rsidR="006F0B58">
        <w:rPr>
          <w:rFonts w:ascii="Arial" w:hAnsi="Arial" w:cs="Arial"/>
          <w:bCs/>
        </w:rPr>
        <w:t xml:space="preserve">global climate layers. </w:t>
      </w:r>
      <w:r w:rsidR="002E31C6">
        <w:rPr>
          <w:rFonts w:ascii="Arial" w:hAnsi="Arial" w:cs="Arial"/>
          <w:bCs/>
        </w:rPr>
        <w:t>Following prior analyses of the Nutrient Network dataset</w:t>
      </w:r>
      <w:r w:rsidR="00B242F3">
        <w:rPr>
          <w:rFonts w:ascii="Arial" w:hAnsi="Arial" w:cs="Arial"/>
          <w:bCs/>
        </w:rPr>
        <w:t xml:space="preserve"> </w:t>
      </w:r>
      <w:r w:rsidR="00B242F3">
        <w:rPr>
          <w:rFonts w:ascii="Arial" w:hAnsi="Arial" w:cs="Arial"/>
          <w:bCs/>
        </w:rPr>
        <w:fldChar w:fldCharType="begin" w:fldLock="1"/>
      </w:r>
      <w:r w:rsidR="00B7687C">
        <w:rPr>
          <w:rFonts w:ascii="Arial" w:hAnsi="Arial" w:cs="Arial"/>
          <w:bCs/>
        </w:rPr>
        <w:instrText>ADDIN CSL_CITATION {"citationItems":[{"id":"ITEM-1","itemData":{"DOI":"10.1038/nature16524","ISBN":"9781137332875","ISSN":"0028-0836","PMID":"21112818","author":[{"dropping-particle":"","family":"Grace","given":"James B","non-dropping-particle":"","parse-names":false,"suffix":""},{"dropping-particle":"","family":"Anderson","given":"T Michael","non-dropping-particle":"","parse-names":false,"suffix":""},{"dropping-particle":"","family":"Seabloom","given":"Eric W","non-dropping-particle":"","parse-names":false,"suffix":""},{"dropping-particle":"","family":"Borer","given":"Elizabeth T","non-dropping-particle":"","parse-names":false,"suffix":""},{"dropping-particle":"","family":"Adler","given":"Peter B","non-dropping-particle":"","parse-names":false,"suffix":""},{"dropping-particle":"","family":"Harpole","given":"W Stanley","non-dropping-particle":"","parse-names":false,"suffix":""},{"dropping-particle":"","family":"Hautier","given":"Yann","non-dropping-particle":"","parse-names":false,"suffix":""},{"dropping-particle":"","family":"Hillebrand","given":"Helmut","non-dropping-particle":"","parse-names":false,"suffix":""},{"dropping-particle":"","family":"Lind","given":"Eric M","non-dropping-particle":"","parse-names":false,"suffix":""},{"dropping-particle":"","family":"Pärtel","given":"Meelis","non-dropping-particle":"","parse-names":false,"suffix":""},{"dropping-particle":"","family":"Bakker","given":"Jonathan D","non-dropping-particle":"","parse-names":false,"suffix":""},{"dropping-particle":"","family":"Buckley","given":"Yvonne M","non-dropping-particle":"","parse-names":false,"suffix":""},{"dropping-particle":"","family":"Crawley","given":"Michael J","non-dropping-particle":"","parse-names":false,"suffix":""},{"dropping-particle":"","family":"Damschen","given":"Ellen I","non-dropping-particle":"","parse-names":false,"suffix":""},{"dropping-particle":"","family":"Davies","given":"Kendi F","non-dropping-particle":"","parse-names":false,"suffix":""},{"dropping-particle":"","family":"Fay","given":"Philip A","non-dropping-particle":"","parse-names":false,"suffix":""},{"dropping-particle":"","family":"Firn","given":"Jennifer","non-dropping-particle":"","parse-names":false,"suffix":""},{"dropping-particle":"","family":"Gruner","given":"Daniel S","non-dropping-particle":"","parse-names":false,"suffix":""},{"dropping-particle":"","family":"Hector","given":"Andy","non-dropping-particle":"","parse-names":false,"suffix":""},{"dropping-particle":"","family":"Knops","given":"Johannes M. H.","non-dropping-particle":"","parse-names":false,"suffix":""},{"dropping-particle":"","family":"MacDougall","given":"Andrew S.","non-dropping-particle":"","parse-names":false,"suffix":""},{"dropping-particle":"","family":"Melbourne","given":"Brett A.","non-dropping-particle":"","parse-names":false,"suffix":""},{"dropping-particle":"","family":"Morgan","given":"John W.","non-dropping-particle":"","parse-names":false,"suffix":""},{"dropping-particle":"","family":"Orrock","given":"John L.","non-dropping-particle":"","parse-names":false,"suffix":""},{"dropping-particle":"","family":"Prober","given":"Suzanne M","non-dropping-particle":"","parse-names":false,"suffix":""},{"dropping-particle":"","family":"Smith","given":"Melinda D","non-dropping-particle":"","parse-names":false,"suffix":""}],"container-title":"Nature","id":"ITEM-1","issue":"7586","issued":{"date-parts":[["2016","1","13"]]},"page":"390-393","publisher":"Nature Publishing Group","title":"Integrative modelling reveals mechanisms linking productivity and plant species richness","type":"article-journal","volume":"529"},"uris":["http://www.mendeley.com/documents/?uuid=ca4ca180-cef4-40d5-910a-1231e594b6df"]}],"mendeley":{"formattedCitation":"(Grace et al. 2016)","plainTextFormattedCitation":"(Grace et al. 2016)","previouslyFormattedCitation":"(Grace et al. 2016)"},"properties":{"noteIndex":0},"schema":"https://github.com/citation-style-language/schema/raw/master/csl-citation.json"}</w:instrText>
      </w:r>
      <w:r w:rsidR="00B242F3">
        <w:rPr>
          <w:rFonts w:ascii="Arial" w:hAnsi="Arial" w:cs="Arial"/>
          <w:bCs/>
        </w:rPr>
        <w:fldChar w:fldCharType="separate"/>
      </w:r>
      <w:r w:rsidR="00B242F3" w:rsidRPr="00B242F3">
        <w:rPr>
          <w:rFonts w:ascii="Arial" w:hAnsi="Arial" w:cs="Arial"/>
          <w:bCs/>
          <w:noProof/>
        </w:rPr>
        <w:t>(Grace et al. 2016)</w:t>
      </w:r>
      <w:r w:rsidR="00B242F3">
        <w:rPr>
          <w:rFonts w:ascii="Arial" w:hAnsi="Arial" w:cs="Arial"/>
          <w:bCs/>
        </w:rPr>
        <w:fldChar w:fldCharType="end"/>
      </w:r>
      <w:r w:rsidR="002E31C6">
        <w:rPr>
          <w:rFonts w:ascii="Arial" w:hAnsi="Arial" w:cs="Arial"/>
          <w:bCs/>
        </w:rPr>
        <w:t>, w</w:t>
      </w:r>
      <w:r w:rsidR="006F0B58">
        <w:rPr>
          <w:rFonts w:ascii="Arial" w:hAnsi="Arial" w:cs="Arial"/>
          <w:bCs/>
        </w:rPr>
        <w:t xml:space="preserve">e chose to represent climatic effects on plant growth </w:t>
      </w:r>
      <w:r w:rsidR="00645F4D">
        <w:rPr>
          <w:rFonts w:ascii="Arial" w:hAnsi="Arial" w:cs="Arial"/>
          <w:bCs/>
        </w:rPr>
        <w:t>through site mean</w:t>
      </w:r>
      <w:r w:rsidR="006F0B58">
        <w:rPr>
          <w:rFonts w:ascii="Arial" w:hAnsi="Arial" w:cs="Arial"/>
          <w:bCs/>
        </w:rPr>
        <w:t xml:space="preserve"> temperature at the wettest quarter</w:t>
      </w:r>
      <w:r w:rsidR="00645F4D">
        <w:rPr>
          <w:rFonts w:ascii="Arial" w:hAnsi="Arial" w:cs="Arial"/>
          <w:bCs/>
        </w:rPr>
        <w:t xml:space="preserve"> of year (BIO8)</w:t>
      </w:r>
      <w:r w:rsidR="002E31C6">
        <w:rPr>
          <w:rFonts w:ascii="Arial" w:hAnsi="Arial" w:cs="Arial"/>
          <w:bCs/>
        </w:rPr>
        <w:t xml:space="preserve"> and </w:t>
      </w:r>
      <w:r w:rsidR="000A338A">
        <w:rPr>
          <w:rFonts w:ascii="Arial" w:hAnsi="Arial" w:cs="Arial"/>
          <w:bCs/>
        </w:rPr>
        <w:t xml:space="preserve">site mean precipitation during the warmest quarter of the year (BIO18). </w:t>
      </w:r>
    </w:p>
    <w:p w14:paraId="301743AA" w14:textId="66B99B3D" w:rsidR="004C47A3" w:rsidRDefault="000A338A" w:rsidP="002B066D">
      <w:pPr>
        <w:rPr>
          <w:rFonts w:ascii="Arial" w:eastAsiaTheme="minorEastAsia" w:hAnsi="Arial" w:cs="Arial"/>
          <w:bCs/>
        </w:rPr>
      </w:pPr>
      <w:r>
        <w:rPr>
          <w:rFonts w:ascii="Arial" w:hAnsi="Arial" w:cs="Arial"/>
          <w:bCs/>
        </w:rPr>
        <w:t xml:space="preserve">Community properties were generated from compositional data collected during pre-treatment sampling. </w:t>
      </w:r>
      <w:r w:rsidR="004127E9">
        <w:rPr>
          <w:rFonts w:ascii="Arial" w:hAnsi="Arial" w:cs="Arial"/>
          <w:bCs/>
        </w:rPr>
        <w:t xml:space="preserve">Species turnover </w:t>
      </w:r>
      <w:r w:rsidR="007C4B4F">
        <w:rPr>
          <w:rFonts w:ascii="Arial" w:hAnsi="Arial" w:cs="Arial"/>
          <w:bCs/>
        </w:rPr>
        <w:t xml:space="preserve">was estimated using </w:t>
      </w:r>
      <w:r w:rsidR="00F92218">
        <w:rPr>
          <w:rFonts w:ascii="Arial" w:hAnsi="Arial" w:cs="Arial"/>
          <w:bCs/>
        </w:rPr>
        <w:t>the ratio of site-level species richness to mean plot-level species richness (</w:t>
      </w:r>
      <m:oMath>
        <m:r>
          <m:rPr>
            <m:sty m:val="p"/>
          </m:rPr>
          <w:rPr>
            <w:rFonts w:ascii="Cambria Math" w:hAnsi="Cambria Math" w:cs="Arial"/>
          </w:rPr>
          <m:t>β</m:t>
        </m:r>
        <m:r>
          <w:rPr>
            <w:rFonts w:ascii="Cambria Math" w:hAnsi="Cambria Math" w:cs="Arial"/>
          </w:rPr>
          <m:t xml:space="preserve">= </m:t>
        </m:r>
        <m:f>
          <m:fPr>
            <m:type m:val="lin"/>
            <m:ctrlPr>
              <w:rPr>
                <w:rFonts w:ascii="Cambria Math" w:hAnsi="Cambria Math" w:cs="Arial"/>
                <w:bCs/>
              </w:rPr>
            </m:ctrlPr>
          </m:fPr>
          <m:num>
            <m:r>
              <m:rPr>
                <m:sty m:val="p"/>
              </m:rPr>
              <w:rPr>
                <w:rFonts w:ascii="Cambria Math" w:hAnsi="Cambria Math" w:cs="Arial"/>
              </w:rPr>
              <m:t>γ</m:t>
            </m:r>
          </m:num>
          <m:den>
            <m:r>
              <m:rPr>
                <m:sty m:val="p"/>
              </m:rPr>
              <w:rPr>
                <w:rFonts w:ascii="Cambria Math" w:hAnsi="Cambria Math" w:cs="Arial"/>
              </w:rPr>
              <m:t>α</m:t>
            </m:r>
          </m:den>
        </m:f>
        <m:r>
          <m:rPr>
            <m:sty m:val="p"/>
          </m:rPr>
          <w:rPr>
            <w:rFonts w:ascii="Cambria Math" w:hAnsi="Cambria Math" w:cs="Arial"/>
          </w:rPr>
          <m:t>)</m:t>
        </m:r>
      </m:oMath>
      <w:r w:rsidR="00F92218">
        <w:rPr>
          <w:rFonts w:ascii="Arial" w:eastAsiaTheme="minorEastAsia" w:hAnsi="Arial" w:cs="Arial"/>
          <w:bCs/>
        </w:rPr>
        <w:t xml:space="preserve">. Pre-treatment community composition was also used to </w:t>
      </w:r>
      <w:r w:rsidR="00D67AD9">
        <w:rPr>
          <w:rFonts w:ascii="Arial" w:eastAsiaTheme="minorEastAsia" w:hAnsi="Arial" w:cs="Arial"/>
          <w:bCs/>
        </w:rPr>
        <w:t>calculate the relative abundance of plant functional groups present within each site, defined as the mean proportion of total cover across all plots. Estimates</w:t>
      </w:r>
      <w:r w:rsidR="00410E07">
        <w:rPr>
          <w:rFonts w:ascii="Arial" w:eastAsiaTheme="minorEastAsia" w:hAnsi="Arial" w:cs="Arial"/>
          <w:bCs/>
        </w:rPr>
        <w:t xml:space="preserve"> of the total site species </w:t>
      </w:r>
      <w:r w:rsidR="00324E82">
        <w:rPr>
          <w:rFonts w:ascii="Arial" w:eastAsiaTheme="minorEastAsia" w:hAnsi="Arial" w:cs="Arial"/>
          <w:bCs/>
        </w:rPr>
        <w:t xml:space="preserve">pool were </w:t>
      </w:r>
      <w:r w:rsidR="00324E82">
        <w:rPr>
          <w:rFonts w:ascii="Arial" w:eastAsiaTheme="minorEastAsia" w:hAnsi="Arial" w:cs="Arial"/>
          <w:bCs/>
        </w:rPr>
        <w:lastRenderedPageBreak/>
        <w:t xml:space="preserve">calculated by the total number of </w:t>
      </w:r>
      <w:r w:rsidR="00745979">
        <w:rPr>
          <w:rFonts w:ascii="Arial" w:eastAsiaTheme="minorEastAsia" w:hAnsi="Arial" w:cs="Arial"/>
          <w:bCs/>
        </w:rPr>
        <w:t xml:space="preserve">unique species observed </w:t>
      </w:r>
      <w:r w:rsidR="009649A9">
        <w:rPr>
          <w:rFonts w:ascii="Arial" w:eastAsiaTheme="minorEastAsia" w:hAnsi="Arial" w:cs="Arial"/>
          <w:bCs/>
        </w:rPr>
        <w:t xml:space="preserve">in </w:t>
      </w:r>
      <w:r w:rsidR="00745979">
        <w:rPr>
          <w:rFonts w:ascii="Arial" w:eastAsiaTheme="minorEastAsia" w:hAnsi="Arial" w:cs="Arial"/>
          <w:bCs/>
        </w:rPr>
        <w:t>the first 5 years of sampling, to account for varying durations of observation</w:t>
      </w:r>
      <w:r w:rsidR="009649A9">
        <w:rPr>
          <w:rFonts w:ascii="Arial" w:eastAsiaTheme="minorEastAsia" w:hAnsi="Arial" w:cs="Arial"/>
          <w:bCs/>
        </w:rPr>
        <w:t xml:space="preserve"> across sites</w:t>
      </w:r>
      <w:r w:rsidR="00745979">
        <w:rPr>
          <w:rFonts w:ascii="Arial" w:eastAsiaTheme="minorEastAsia" w:hAnsi="Arial" w:cs="Arial"/>
          <w:bCs/>
        </w:rPr>
        <w:t>.</w:t>
      </w:r>
    </w:p>
    <w:p w14:paraId="78550832" w14:textId="77777777" w:rsidR="0059081E" w:rsidRDefault="003258C2" w:rsidP="002B066D">
      <w:pPr>
        <w:rPr>
          <w:rFonts w:ascii="Arial" w:eastAsiaTheme="minorEastAsia" w:hAnsi="Arial" w:cs="Arial"/>
          <w:bCs/>
        </w:rPr>
      </w:pPr>
      <w:r>
        <w:rPr>
          <w:rFonts w:ascii="Arial" w:eastAsiaTheme="minorEastAsia" w:hAnsi="Arial" w:cs="Arial"/>
          <w:bCs/>
        </w:rPr>
        <w:t>From sites with complete data (</w:t>
      </w:r>
      <w:r w:rsidRPr="003258C2">
        <w:rPr>
          <w:rFonts w:ascii="Arial" w:eastAsiaTheme="minorEastAsia" w:hAnsi="Arial" w:cs="Arial"/>
          <w:bCs/>
          <w:i/>
          <w:iCs/>
        </w:rPr>
        <w:t xml:space="preserve">n </w:t>
      </w:r>
      <w:r w:rsidRPr="00A72AEF">
        <w:rPr>
          <w:rFonts w:ascii="Arial" w:eastAsiaTheme="minorEastAsia" w:hAnsi="Arial" w:cs="Arial"/>
          <w:bCs/>
        </w:rPr>
        <w:t>= 35</w:t>
      </w:r>
      <w:r>
        <w:rPr>
          <w:rFonts w:ascii="Arial" w:eastAsiaTheme="minorEastAsia" w:hAnsi="Arial" w:cs="Arial"/>
          <w:bCs/>
        </w:rPr>
        <w:t>), w</w:t>
      </w:r>
      <w:r w:rsidR="0029643C">
        <w:rPr>
          <w:rFonts w:ascii="Arial" w:eastAsiaTheme="minorEastAsia" w:hAnsi="Arial" w:cs="Arial"/>
          <w:bCs/>
        </w:rPr>
        <w:t xml:space="preserve">e used structural equation modeling (SEM) to evaluate hypothesizes links between environmental characteristics, community properties, and the dimensionality of community response to fertilization. </w:t>
      </w:r>
      <w:r w:rsidR="00C16329">
        <w:rPr>
          <w:rFonts w:ascii="Arial" w:eastAsiaTheme="minorEastAsia" w:hAnsi="Arial" w:cs="Arial"/>
          <w:bCs/>
        </w:rPr>
        <w:t xml:space="preserve">In our initial model, </w:t>
      </w:r>
      <w:r w:rsidR="009A00BD">
        <w:rPr>
          <w:rFonts w:ascii="Arial" w:eastAsiaTheme="minorEastAsia" w:hAnsi="Arial" w:cs="Arial"/>
          <w:bCs/>
        </w:rPr>
        <w:t>we specified pathways capturing site resource limitation</w:t>
      </w:r>
      <w:r w:rsidR="00085AD1">
        <w:rPr>
          <w:rFonts w:ascii="Arial" w:eastAsiaTheme="minorEastAsia" w:hAnsi="Arial" w:cs="Arial"/>
          <w:bCs/>
        </w:rPr>
        <w:t xml:space="preserve"> and community characteristics. </w:t>
      </w:r>
      <w:r w:rsidR="00D41A56">
        <w:rPr>
          <w:rFonts w:ascii="Arial" w:eastAsiaTheme="minorEastAsia" w:hAnsi="Arial" w:cs="Arial"/>
          <w:bCs/>
        </w:rPr>
        <w:t xml:space="preserve">We incorporated pathways between </w:t>
      </w:r>
      <w:r w:rsidR="00C16329">
        <w:rPr>
          <w:rFonts w:ascii="Arial" w:eastAsiaTheme="minorEastAsia" w:hAnsi="Arial" w:cs="Arial"/>
          <w:bCs/>
        </w:rPr>
        <w:t xml:space="preserve">composite variables describing soil nutrient availability and climatic conditions </w:t>
      </w:r>
      <w:r w:rsidR="005568B4">
        <w:rPr>
          <w:rFonts w:ascii="Arial" w:eastAsiaTheme="minorEastAsia" w:hAnsi="Arial" w:cs="Arial"/>
          <w:bCs/>
        </w:rPr>
        <w:t xml:space="preserve">on </w:t>
      </w:r>
      <w:r w:rsidR="00D41A56">
        <w:rPr>
          <w:rFonts w:ascii="Arial" w:eastAsiaTheme="minorEastAsia" w:hAnsi="Arial" w:cs="Arial"/>
          <w:bCs/>
        </w:rPr>
        <w:t xml:space="preserve">response </w:t>
      </w:r>
      <w:r w:rsidR="005568B4">
        <w:rPr>
          <w:rFonts w:ascii="Arial" w:eastAsiaTheme="minorEastAsia" w:hAnsi="Arial" w:cs="Arial"/>
          <w:bCs/>
        </w:rPr>
        <w:t xml:space="preserve">dimensionality, also mediated through intermediate connections between community biomass and light availability. </w:t>
      </w:r>
      <w:r w:rsidR="00DC3818">
        <w:rPr>
          <w:rFonts w:ascii="Arial" w:eastAsiaTheme="minorEastAsia" w:hAnsi="Arial" w:cs="Arial"/>
          <w:bCs/>
        </w:rPr>
        <w:t xml:space="preserve">These same variables describing soil and climatic conditions were also combined in pathways with </w:t>
      </w:r>
      <w:r w:rsidR="0050512D">
        <w:rPr>
          <w:rFonts w:ascii="Arial" w:eastAsiaTheme="minorEastAsia" w:hAnsi="Arial" w:cs="Arial"/>
          <w:bCs/>
        </w:rPr>
        <w:t xml:space="preserve">estimates to the site species pool to estimate effects mediated by species turnover and the abundance of community functional groups. </w:t>
      </w:r>
      <w:r w:rsidR="00DB6E94">
        <w:rPr>
          <w:rFonts w:ascii="Arial" w:eastAsiaTheme="minorEastAsia" w:hAnsi="Arial" w:cs="Arial"/>
          <w:bCs/>
        </w:rPr>
        <w:t xml:space="preserve">After fitting this initial model, we evaluated model fit and pruned non-significant pathways </w:t>
      </w:r>
      <w:r w:rsidR="003879EF">
        <w:rPr>
          <w:rFonts w:ascii="Arial" w:eastAsiaTheme="minorEastAsia" w:hAnsi="Arial" w:cs="Arial"/>
          <w:bCs/>
        </w:rPr>
        <w:t xml:space="preserve">to reduce model complexity. </w:t>
      </w:r>
    </w:p>
    <w:p w14:paraId="6319607E" w14:textId="77777777" w:rsidR="0059081E" w:rsidRPr="0059081E" w:rsidRDefault="0059081E" w:rsidP="002B066D">
      <w:pPr>
        <w:rPr>
          <w:rFonts w:ascii="Arial" w:eastAsiaTheme="minorEastAsia" w:hAnsi="Arial" w:cs="Arial"/>
          <w:bCs/>
          <w:i/>
          <w:iCs/>
        </w:rPr>
      </w:pPr>
      <w:r w:rsidRPr="0059081E">
        <w:rPr>
          <w:rFonts w:ascii="Arial" w:eastAsiaTheme="minorEastAsia" w:hAnsi="Arial" w:cs="Arial"/>
          <w:bCs/>
          <w:i/>
          <w:iCs/>
        </w:rPr>
        <w:t>Statistical Software</w:t>
      </w:r>
    </w:p>
    <w:p w14:paraId="79855FA7" w14:textId="11FB72DB" w:rsidR="0029643C" w:rsidRDefault="0059081E" w:rsidP="002B066D">
      <w:pPr>
        <w:rPr>
          <w:rFonts w:ascii="Arial" w:eastAsiaTheme="minorEastAsia" w:hAnsi="Arial" w:cs="Arial"/>
          <w:bCs/>
        </w:rPr>
      </w:pPr>
      <w:r>
        <w:rPr>
          <w:rFonts w:ascii="Arial" w:eastAsiaTheme="minorEastAsia" w:hAnsi="Arial" w:cs="Arial"/>
          <w:bCs/>
        </w:rPr>
        <w:t>All statistical analyses were performed in R version 4.0.2.</w:t>
      </w:r>
      <w:r w:rsidR="00FB1827">
        <w:rPr>
          <w:rFonts w:ascii="Arial" w:eastAsiaTheme="minorEastAsia" w:hAnsi="Arial" w:cs="Arial"/>
          <w:bCs/>
        </w:rPr>
        <w:t xml:space="preserve"> Semi-Major Axis (SMA) regression was performed using “</w:t>
      </w:r>
      <w:proofErr w:type="spellStart"/>
      <w:r w:rsidR="00FB1827">
        <w:rPr>
          <w:rFonts w:ascii="Arial" w:eastAsiaTheme="minorEastAsia" w:hAnsi="Arial" w:cs="Arial"/>
          <w:bCs/>
        </w:rPr>
        <w:t>smatr</w:t>
      </w:r>
      <w:proofErr w:type="spellEnd"/>
      <w:r w:rsidR="00FB1827">
        <w:rPr>
          <w:rFonts w:ascii="Arial" w:eastAsiaTheme="minorEastAsia" w:hAnsi="Arial" w:cs="Arial"/>
          <w:bCs/>
        </w:rPr>
        <w:t>”. Linear mixed effects modeling was conducted using “lme4” and “</w:t>
      </w:r>
      <w:proofErr w:type="spellStart"/>
      <w:r w:rsidR="00FB1827">
        <w:rPr>
          <w:rFonts w:ascii="Arial" w:eastAsiaTheme="minorEastAsia" w:hAnsi="Arial" w:cs="Arial"/>
          <w:bCs/>
        </w:rPr>
        <w:t>lmerTest</w:t>
      </w:r>
      <w:proofErr w:type="spellEnd"/>
      <w:r w:rsidR="00FB1827">
        <w:rPr>
          <w:rFonts w:ascii="Arial" w:eastAsiaTheme="minorEastAsia" w:hAnsi="Arial" w:cs="Arial"/>
          <w:bCs/>
        </w:rPr>
        <w:t xml:space="preserve">” packages. </w:t>
      </w:r>
      <w:r w:rsidR="005B41FA">
        <w:rPr>
          <w:rFonts w:ascii="Arial" w:eastAsiaTheme="minorEastAsia" w:hAnsi="Arial" w:cs="Arial"/>
          <w:bCs/>
        </w:rPr>
        <w:t>SEM analyses were conducted using “</w:t>
      </w:r>
      <w:proofErr w:type="spellStart"/>
      <w:r w:rsidR="005B41FA">
        <w:rPr>
          <w:rFonts w:ascii="Arial" w:eastAsiaTheme="minorEastAsia" w:hAnsi="Arial" w:cs="Arial"/>
          <w:bCs/>
        </w:rPr>
        <w:t>lavaan</w:t>
      </w:r>
      <w:proofErr w:type="spellEnd"/>
      <w:r w:rsidR="005B41FA">
        <w:rPr>
          <w:rFonts w:ascii="Arial" w:eastAsiaTheme="minorEastAsia" w:hAnsi="Arial" w:cs="Arial"/>
          <w:bCs/>
        </w:rPr>
        <w:t xml:space="preserve">”. </w:t>
      </w:r>
    </w:p>
    <w:p w14:paraId="73682680" w14:textId="7D99F85A" w:rsidR="00E63ABE" w:rsidRDefault="00E63ABE" w:rsidP="00337F21">
      <w:pPr>
        <w:rPr>
          <w:rFonts w:ascii="Arial" w:hAnsi="Arial" w:cs="Arial"/>
          <w:bCs/>
        </w:rPr>
      </w:pPr>
    </w:p>
    <w:p w14:paraId="7EF6E91D" w14:textId="24B226F0" w:rsidR="00E63ABE" w:rsidRDefault="00E63ABE" w:rsidP="00337F21">
      <w:pPr>
        <w:rPr>
          <w:rFonts w:ascii="Arial" w:hAnsi="Arial" w:cs="Arial"/>
          <w:b/>
        </w:rPr>
      </w:pPr>
      <w:r w:rsidRPr="00DB5B8B">
        <w:rPr>
          <w:rFonts w:ascii="Arial" w:hAnsi="Arial" w:cs="Arial"/>
          <w:b/>
        </w:rPr>
        <w:t>Results</w:t>
      </w:r>
    </w:p>
    <w:p w14:paraId="618C9715" w14:textId="5B0D06BE" w:rsidR="00723637" w:rsidRDefault="00723637" w:rsidP="00337F21">
      <w:pPr>
        <w:rPr>
          <w:rFonts w:ascii="Arial" w:hAnsi="Arial" w:cs="Arial"/>
          <w:bCs/>
        </w:rPr>
      </w:pPr>
      <w:r>
        <w:rPr>
          <w:rFonts w:ascii="Arial" w:hAnsi="Arial" w:cs="Arial"/>
          <w:bCs/>
          <w:i/>
          <w:iCs/>
        </w:rPr>
        <w:t>Community Responses to Nutrient Enrichment</w:t>
      </w:r>
    </w:p>
    <w:p w14:paraId="71B93A1C" w14:textId="3D844864" w:rsidR="00A81C17" w:rsidRDefault="00A81C17" w:rsidP="00337F21">
      <w:pPr>
        <w:rPr>
          <w:rFonts w:ascii="Arial" w:hAnsi="Arial" w:cs="Arial"/>
          <w:bCs/>
        </w:rPr>
      </w:pPr>
      <w:r>
        <w:rPr>
          <w:rFonts w:ascii="Arial" w:hAnsi="Arial" w:cs="Arial"/>
          <w:bCs/>
        </w:rPr>
        <w:t xml:space="preserve">Of the </w:t>
      </w:r>
      <w:r w:rsidR="005B1480">
        <w:rPr>
          <w:rFonts w:ascii="Arial" w:hAnsi="Arial" w:cs="Arial"/>
          <w:bCs/>
        </w:rPr>
        <w:t>49</w:t>
      </w:r>
      <w:r>
        <w:rPr>
          <w:rFonts w:ascii="Arial" w:hAnsi="Arial" w:cs="Arial"/>
          <w:bCs/>
        </w:rPr>
        <w:t xml:space="preserve"> sites </w:t>
      </w:r>
      <w:r w:rsidR="003D28AD">
        <w:rPr>
          <w:rFonts w:ascii="Arial" w:hAnsi="Arial" w:cs="Arial"/>
          <w:bCs/>
        </w:rPr>
        <w:t xml:space="preserve">included in analysis, </w:t>
      </w:r>
      <w:r w:rsidR="00654230">
        <w:rPr>
          <w:rFonts w:ascii="Arial" w:hAnsi="Arial" w:cs="Arial"/>
          <w:bCs/>
        </w:rPr>
        <w:t>37</w:t>
      </w:r>
      <w:r w:rsidR="00C04B5C">
        <w:rPr>
          <w:rFonts w:ascii="Arial" w:hAnsi="Arial" w:cs="Arial"/>
          <w:bCs/>
        </w:rPr>
        <w:t xml:space="preserve"> </w:t>
      </w:r>
      <w:r w:rsidR="004B7934">
        <w:rPr>
          <w:rFonts w:ascii="Arial" w:hAnsi="Arial" w:cs="Arial"/>
          <w:bCs/>
        </w:rPr>
        <w:t xml:space="preserve">showed significant (P &lt; 0.05) community responses to </w:t>
      </w:r>
      <w:r w:rsidR="00C04B5C">
        <w:rPr>
          <w:rFonts w:ascii="Arial" w:hAnsi="Arial" w:cs="Arial"/>
          <w:bCs/>
        </w:rPr>
        <w:t>nutrient addition treatments</w:t>
      </w:r>
      <w:r w:rsidR="00DC216D">
        <w:rPr>
          <w:rFonts w:ascii="Arial" w:hAnsi="Arial" w:cs="Arial"/>
          <w:bCs/>
        </w:rPr>
        <w:t xml:space="preserve"> (Figure 2a)</w:t>
      </w:r>
      <w:r w:rsidR="00C04B5C">
        <w:rPr>
          <w:rFonts w:ascii="Arial" w:hAnsi="Arial" w:cs="Arial"/>
          <w:bCs/>
        </w:rPr>
        <w:t xml:space="preserve">. </w:t>
      </w:r>
      <w:r w:rsidR="00607D38">
        <w:rPr>
          <w:rFonts w:ascii="Arial" w:hAnsi="Arial" w:cs="Arial"/>
          <w:bCs/>
        </w:rPr>
        <w:t xml:space="preserve">While a majority of sites exhibited significant effects of N enrichment, </w:t>
      </w:r>
      <w:r w:rsidR="001816B3">
        <w:rPr>
          <w:rFonts w:ascii="Arial" w:hAnsi="Arial" w:cs="Arial"/>
          <w:bCs/>
        </w:rPr>
        <w:t xml:space="preserve">many sites showed </w:t>
      </w:r>
      <w:r w:rsidR="006A0038">
        <w:rPr>
          <w:rFonts w:ascii="Arial" w:hAnsi="Arial" w:cs="Arial"/>
          <w:bCs/>
        </w:rPr>
        <w:t xml:space="preserve">strong </w:t>
      </w:r>
      <w:r w:rsidR="001816B3">
        <w:rPr>
          <w:rFonts w:ascii="Arial" w:hAnsi="Arial" w:cs="Arial"/>
          <w:bCs/>
        </w:rPr>
        <w:t>community response</w:t>
      </w:r>
      <w:r w:rsidR="006A0038">
        <w:rPr>
          <w:rFonts w:ascii="Arial" w:hAnsi="Arial" w:cs="Arial"/>
          <w:bCs/>
        </w:rPr>
        <w:t>s</w:t>
      </w:r>
      <w:r w:rsidR="001816B3">
        <w:rPr>
          <w:rFonts w:ascii="Arial" w:hAnsi="Arial" w:cs="Arial"/>
          <w:bCs/>
        </w:rPr>
        <w:t xml:space="preserve"> to multiple </w:t>
      </w:r>
      <w:r w:rsidR="00024987">
        <w:rPr>
          <w:rFonts w:ascii="Arial" w:hAnsi="Arial" w:cs="Arial"/>
          <w:bCs/>
        </w:rPr>
        <w:t>treatment</w:t>
      </w:r>
      <w:r w:rsidR="00AD2D4B">
        <w:rPr>
          <w:rFonts w:ascii="Arial" w:hAnsi="Arial" w:cs="Arial"/>
          <w:bCs/>
        </w:rPr>
        <w:t>s</w:t>
      </w:r>
      <w:r w:rsidR="00024987">
        <w:rPr>
          <w:rFonts w:ascii="Arial" w:hAnsi="Arial" w:cs="Arial"/>
          <w:bCs/>
        </w:rPr>
        <w:t xml:space="preserve">. </w:t>
      </w:r>
      <w:r w:rsidR="00376310">
        <w:rPr>
          <w:rFonts w:ascii="Arial" w:hAnsi="Arial" w:cs="Arial"/>
          <w:bCs/>
        </w:rPr>
        <w:t xml:space="preserve">Consistent with this observation, </w:t>
      </w:r>
      <w:r w:rsidR="00196537">
        <w:rPr>
          <w:rFonts w:ascii="Arial" w:hAnsi="Arial" w:cs="Arial"/>
          <w:bCs/>
        </w:rPr>
        <w:t xml:space="preserve">community rate of change per year of treatment was greatest in response to N enrichment; once accounting for site-level variation in average effect, estimated mean magnitude of community change (in net Euclidean distance per year) was significantly greater </w:t>
      </w:r>
      <w:r w:rsidR="008E37A5">
        <w:rPr>
          <w:rFonts w:ascii="Arial" w:hAnsi="Arial" w:cs="Arial"/>
          <w:bCs/>
        </w:rPr>
        <w:t xml:space="preserve">following N fertilization than either P or </w:t>
      </w:r>
      <w:r w:rsidR="00EA1865" w:rsidRPr="000D1D59">
        <w:rPr>
          <w:rFonts w:ascii="Arial" w:hAnsi="Arial" w:cs="Arial"/>
          <w:bCs/>
        </w:rPr>
        <w:t>K</w:t>
      </w:r>
      <w:r w:rsidR="00EA1865" w:rsidRPr="000D1D59">
        <w:rPr>
          <w:rFonts w:ascii="Arial" w:hAnsi="Arial" w:cs="Arial"/>
          <w:bCs/>
          <w:vertAlign w:val="subscript"/>
        </w:rPr>
        <w:t>µ</w:t>
      </w:r>
      <w:r w:rsidR="00EA1865">
        <w:rPr>
          <w:rFonts w:ascii="Arial" w:hAnsi="Arial" w:cs="Arial"/>
          <w:bCs/>
          <w:vertAlign w:val="subscript"/>
        </w:rPr>
        <w:t xml:space="preserve"> </w:t>
      </w:r>
      <w:r w:rsidR="00EA1865">
        <w:rPr>
          <w:rFonts w:ascii="Arial" w:hAnsi="Arial" w:cs="Arial"/>
          <w:bCs/>
        </w:rPr>
        <w:t>(</w:t>
      </w:r>
      <w:r w:rsidR="004137CA" w:rsidRPr="004137CA">
        <w:rPr>
          <w:rFonts w:ascii="Arial" w:hAnsi="Arial" w:cs="Arial"/>
          <w:bCs/>
          <w:i/>
          <w:iCs/>
        </w:rPr>
        <w:t>T</w:t>
      </w:r>
      <w:r w:rsidR="004137CA">
        <w:rPr>
          <w:rFonts w:ascii="Arial" w:hAnsi="Arial" w:cs="Arial"/>
          <w:bCs/>
          <w:vertAlign w:val="subscript"/>
        </w:rPr>
        <w:t>96</w:t>
      </w:r>
      <w:r w:rsidR="004137CA">
        <w:rPr>
          <w:rFonts w:ascii="Arial" w:hAnsi="Arial" w:cs="Arial"/>
          <w:bCs/>
        </w:rPr>
        <w:t xml:space="preserve"> = 3.1</w:t>
      </w:r>
      <w:r w:rsidR="00531E4A">
        <w:rPr>
          <w:rFonts w:ascii="Arial" w:hAnsi="Arial" w:cs="Arial"/>
          <w:bCs/>
        </w:rPr>
        <w:t>0</w:t>
      </w:r>
      <w:r w:rsidR="00EA1865">
        <w:rPr>
          <w:rFonts w:ascii="Arial" w:hAnsi="Arial" w:cs="Arial"/>
          <w:bCs/>
        </w:rPr>
        <w:t>, P &lt; 0.0</w:t>
      </w:r>
      <w:r w:rsidR="001361E1">
        <w:rPr>
          <w:rFonts w:ascii="Arial" w:hAnsi="Arial" w:cs="Arial"/>
          <w:bCs/>
        </w:rPr>
        <w:t>1</w:t>
      </w:r>
      <w:r w:rsidR="00EA1865">
        <w:rPr>
          <w:rFonts w:ascii="Arial" w:hAnsi="Arial" w:cs="Arial"/>
          <w:bCs/>
        </w:rPr>
        <w:t>)</w:t>
      </w:r>
      <w:r w:rsidR="00354D6A">
        <w:rPr>
          <w:rFonts w:ascii="Arial" w:hAnsi="Arial" w:cs="Arial"/>
          <w:bCs/>
        </w:rPr>
        <w:t>.</w:t>
      </w:r>
      <w:r w:rsidR="00585E30">
        <w:rPr>
          <w:rFonts w:ascii="Arial" w:hAnsi="Arial" w:cs="Arial"/>
          <w:bCs/>
        </w:rPr>
        <w:t xml:space="preserve"> </w:t>
      </w:r>
    </w:p>
    <w:p w14:paraId="4DF86C4E" w14:textId="53B17937" w:rsidR="003F21C3" w:rsidRPr="003F21C3" w:rsidRDefault="003F21C3" w:rsidP="00337F21">
      <w:pPr>
        <w:rPr>
          <w:rFonts w:ascii="Arial" w:hAnsi="Arial" w:cs="Arial"/>
          <w:bCs/>
          <w:i/>
          <w:iCs/>
        </w:rPr>
      </w:pPr>
      <w:r w:rsidRPr="003F21C3">
        <w:rPr>
          <w:rFonts w:ascii="Arial" w:hAnsi="Arial" w:cs="Arial"/>
          <w:bCs/>
          <w:i/>
          <w:iCs/>
        </w:rPr>
        <w:t>Correlation Among Community Trajectories</w:t>
      </w:r>
    </w:p>
    <w:p w14:paraId="29082996" w14:textId="31B54129" w:rsidR="003D28AD" w:rsidRDefault="00E97FEA" w:rsidP="00337F21">
      <w:pPr>
        <w:rPr>
          <w:rFonts w:ascii="Arial" w:hAnsi="Arial" w:cs="Arial"/>
          <w:bCs/>
        </w:rPr>
      </w:pPr>
      <w:r>
        <w:rPr>
          <w:rFonts w:ascii="Arial" w:hAnsi="Arial" w:cs="Arial"/>
          <w:bCs/>
        </w:rPr>
        <w:t xml:space="preserve">After standardizing overall community </w:t>
      </w:r>
      <w:r w:rsidR="001E0B91">
        <w:rPr>
          <w:rFonts w:ascii="Arial" w:hAnsi="Arial" w:cs="Arial"/>
          <w:bCs/>
        </w:rPr>
        <w:t xml:space="preserve">trajectories </w:t>
      </w:r>
      <w:r>
        <w:rPr>
          <w:rFonts w:ascii="Arial" w:hAnsi="Arial" w:cs="Arial"/>
          <w:bCs/>
        </w:rPr>
        <w:t xml:space="preserve">to unit </w:t>
      </w:r>
      <w:r w:rsidR="00585E30">
        <w:rPr>
          <w:rFonts w:ascii="Arial" w:hAnsi="Arial" w:cs="Arial"/>
          <w:bCs/>
        </w:rPr>
        <w:t xml:space="preserve">length within </w:t>
      </w:r>
      <w:r w:rsidR="00BA22D5">
        <w:rPr>
          <w:rFonts w:ascii="Arial" w:hAnsi="Arial" w:cs="Arial"/>
          <w:bCs/>
        </w:rPr>
        <w:t>each site</w:t>
      </w:r>
      <w:r w:rsidR="00585E30">
        <w:rPr>
          <w:rFonts w:ascii="Arial" w:hAnsi="Arial" w:cs="Arial"/>
          <w:bCs/>
        </w:rPr>
        <w:t>,</w:t>
      </w:r>
      <w:r w:rsidR="00BA22D5">
        <w:rPr>
          <w:rFonts w:ascii="Arial" w:hAnsi="Arial" w:cs="Arial"/>
          <w:bCs/>
        </w:rPr>
        <w:t xml:space="preserve"> </w:t>
      </w:r>
      <w:r w:rsidR="00423913">
        <w:rPr>
          <w:rFonts w:ascii="Arial" w:hAnsi="Arial" w:cs="Arial"/>
          <w:bCs/>
        </w:rPr>
        <w:t xml:space="preserve">semi </w:t>
      </w:r>
      <w:r w:rsidR="00451B1D">
        <w:rPr>
          <w:rFonts w:ascii="Arial" w:hAnsi="Arial" w:cs="Arial"/>
          <w:bCs/>
        </w:rPr>
        <w:t>major axis (</w:t>
      </w:r>
      <w:r w:rsidR="00423913">
        <w:rPr>
          <w:rFonts w:ascii="Arial" w:hAnsi="Arial" w:cs="Arial"/>
          <w:bCs/>
        </w:rPr>
        <w:t>S</w:t>
      </w:r>
      <w:r w:rsidR="00451B1D">
        <w:rPr>
          <w:rFonts w:ascii="Arial" w:hAnsi="Arial" w:cs="Arial"/>
          <w:bCs/>
        </w:rPr>
        <w:t xml:space="preserve">MA) regression was used to evaluate correlations among </w:t>
      </w:r>
      <w:r w:rsidR="001E0B91">
        <w:rPr>
          <w:rFonts w:ascii="Arial" w:hAnsi="Arial" w:cs="Arial"/>
          <w:bCs/>
        </w:rPr>
        <w:t>respon</w:t>
      </w:r>
      <w:r w:rsidR="00BC3F06">
        <w:rPr>
          <w:rFonts w:ascii="Arial" w:hAnsi="Arial" w:cs="Arial"/>
          <w:bCs/>
        </w:rPr>
        <w:t xml:space="preserve">ses </w:t>
      </w:r>
      <w:r w:rsidR="004F5216">
        <w:rPr>
          <w:rFonts w:ascii="Arial" w:hAnsi="Arial" w:cs="Arial"/>
          <w:bCs/>
        </w:rPr>
        <w:t>to treatments</w:t>
      </w:r>
      <w:r w:rsidR="00D4476E">
        <w:rPr>
          <w:rFonts w:ascii="Arial" w:hAnsi="Arial" w:cs="Arial"/>
          <w:bCs/>
        </w:rPr>
        <w:t xml:space="preserve"> at the species level</w:t>
      </w:r>
      <w:r w:rsidR="004F5216">
        <w:rPr>
          <w:rFonts w:ascii="Arial" w:hAnsi="Arial" w:cs="Arial"/>
          <w:bCs/>
        </w:rPr>
        <w:t xml:space="preserve">. Pairwise comparisons between </w:t>
      </w:r>
      <w:r w:rsidR="002559EA">
        <w:rPr>
          <w:rFonts w:ascii="Arial" w:hAnsi="Arial" w:cs="Arial"/>
          <w:bCs/>
        </w:rPr>
        <w:t xml:space="preserve">nutrient addition treatments </w:t>
      </w:r>
      <w:r w:rsidR="00A84322">
        <w:rPr>
          <w:rFonts w:ascii="Arial" w:hAnsi="Arial" w:cs="Arial"/>
          <w:bCs/>
        </w:rPr>
        <w:t>(N-P, N-</w:t>
      </w:r>
      <w:r w:rsidR="00A84322" w:rsidRPr="000D1D59">
        <w:rPr>
          <w:rFonts w:ascii="Arial" w:hAnsi="Arial" w:cs="Arial"/>
          <w:bCs/>
        </w:rPr>
        <w:t>K</w:t>
      </w:r>
      <w:r w:rsidR="00A84322" w:rsidRPr="000D1D59">
        <w:rPr>
          <w:rFonts w:ascii="Arial" w:hAnsi="Arial" w:cs="Arial"/>
          <w:bCs/>
          <w:vertAlign w:val="subscript"/>
        </w:rPr>
        <w:t>µ</w:t>
      </w:r>
      <w:r w:rsidR="00A84322">
        <w:rPr>
          <w:rFonts w:ascii="Arial" w:hAnsi="Arial" w:cs="Arial"/>
          <w:bCs/>
        </w:rPr>
        <w:t>, P-</w:t>
      </w:r>
      <w:r w:rsidR="00A84322" w:rsidRPr="000D1D59">
        <w:rPr>
          <w:rFonts w:ascii="Arial" w:hAnsi="Arial" w:cs="Arial"/>
          <w:bCs/>
        </w:rPr>
        <w:t>K</w:t>
      </w:r>
      <w:r w:rsidR="00A84322" w:rsidRPr="000D1D59">
        <w:rPr>
          <w:rFonts w:ascii="Arial" w:hAnsi="Arial" w:cs="Arial"/>
          <w:bCs/>
          <w:vertAlign w:val="subscript"/>
        </w:rPr>
        <w:t>µ</w:t>
      </w:r>
      <w:r w:rsidR="00A84322">
        <w:rPr>
          <w:rFonts w:ascii="Arial" w:hAnsi="Arial" w:cs="Arial"/>
          <w:bCs/>
        </w:rPr>
        <w:t>)</w:t>
      </w:r>
      <w:r w:rsidR="00712928">
        <w:rPr>
          <w:rFonts w:ascii="Arial" w:hAnsi="Arial" w:cs="Arial"/>
          <w:bCs/>
        </w:rPr>
        <w:t xml:space="preserve"> revealed positively correlated responses among all treatments, </w:t>
      </w:r>
      <w:r w:rsidR="00BB6FE7">
        <w:rPr>
          <w:rFonts w:ascii="Arial" w:hAnsi="Arial" w:cs="Arial"/>
          <w:bCs/>
        </w:rPr>
        <w:t>generally</w:t>
      </w:r>
      <w:r w:rsidR="00712928">
        <w:rPr>
          <w:rFonts w:ascii="Arial" w:hAnsi="Arial" w:cs="Arial"/>
          <w:bCs/>
        </w:rPr>
        <w:t xml:space="preserve"> (Figure 3</w:t>
      </w:r>
      <w:r w:rsidR="00645956">
        <w:rPr>
          <w:rFonts w:ascii="Arial" w:hAnsi="Arial" w:cs="Arial"/>
          <w:bCs/>
        </w:rPr>
        <w:t>, Table 1</w:t>
      </w:r>
      <w:r w:rsidR="00712928">
        <w:rPr>
          <w:rFonts w:ascii="Arial" w:hAnsi="Arial" w:cs="Arial"/>
          <w:bCs/>
        </w:rPr>
        <w:t>).</w:t>
      </w:r>
      <w:r w:rsidR="002C7699">
        <w:rPr>
          <w:rFonts w:ascii="Arial" w:hAnsi="Arial" w:cs="Arial"/>
          <w:bCs/>
        </w:rPr>
        <w:t xml:space="preserve"> </w:t>
      </w:r>
      <w:r w:rsidR="00BB6FE7">
        <w:rPr>
          <w:rFonts w:ascii="Arial" w:hAnsi="Arial" w:cs="Arial"/>
          <w:bCs/>
        </w:rPr>
        <w:t xml:space="preserve">However, </w:t>
      </w:r>
      <w:r w:rsidR="00E623ED">
        <w:rPr>
          <w:rFonts w:ascii="Arial" w:hAnsi="Arial" w:cs="Arial"/>
          <w:bCs/>
        </w:rPr>
        <w:t>these relationships varied as a function of plant functional group</w:t>
      </w:r>
      <w:r w:rsidR="00895673">
        <w:rPr>
          <w:rFonts w:ascii="Arial" w:hAnsi="Arial" w:cs="Arial"/>
          <w:bCs/>
        </w:rPr>
        <w:t xml:space="preserve">. Small intercept terms and slope coefficients equal to one indicate that </w:t>
      </w:r>
      <w:r w:rsidR="00E623ED" w:rsidRPr="00E623ED">
        <w:rPr>
          <w:rFonts w:ascii="Arial" w:hAnsi="Arial" w:cs="Arial"/>
          <w:bCs/>
          <w:i/>
          <w:iCs/>
        </w:rPr>
        <w:t>Forb</w:t>
      </w:r>
      <w:r w:rsidR="00E623ED">
        <w:rPr>
          <w:rFonts w:ascii="Arial" w:hAnsi="Arial" w:cs="Arial"/>
          <w:bCs/>
        </w:rPr>
        <w:t xml:space="preserve">, </w:t>
      </w:r>
      <w:r w:rsidR="00E623ED" w:rsidRPr="00E623ED">
        <w:rPr>
          <w:rFonts w:ascii="Arial" w:hAnsi="Arial" w:cs="Arial"/>
          <w:bCs/>
          <w:i/>
          <w:iCs/>
        </w:rPr>
        <w:t>Graminoid</w:t>
      </w:r>
      <w:r w:rsidR="00E623ED">
        <w:rPr>
          <w:rFonts w:ascii="Arial" w:hAnsi="Arial" w:cs="Arial"/>
          <w:bCs/>
        </w:rPr>
        <w:t xml:space="preserve"> and </w:t>
      </w:r>
      <w:r w:rsidR="00E623ED" w:rsidRPr="00E623ED">
        <w:rPr>
          <w:rFonts w:ascii="Arial" w:hAnsi="Arial" w:cs="Arial"/>
          <w:bCs/>
          <w:i/>
          <w:iCs/>
        </w:rPr>
        <w:t>Woody</w:t>
      </w:r>
      <w:r w:rsidR="00E623ED">
        <w:rPr>
          <w:rFonts w:ascii="Arial" w:hAnsi="Arial" w:cs="Arial"/>
          <w:bCs/>
        </w:rPr>
        <w:t xml:space="preserve"> species</w:t>
      </w:r>
      <w:r w:rsidR="002D0D4F">
        <w:rPr>
          <w:rFonts w:ascii="Arial" w:hAnsi="Arial" w:cs="Arial"/>
          <w:bCs/>
        </w:rPr>
        <w:t xml:space="preserve"> exhibited relatively </w:t>
      </w:r>
      <w:r w:rsidR="00895673">
        <w:rPr>
          <w:rFonts w:ascii="Arial" w:hAnsi="Arial" w:cs="Arial"/>
          <w:bCs/>
        </w:rPr>
        <w:t>equal responses across all treatment comparisons</w:t>
      </w:r>
      <w:r w:rsidR="00645956">
        <w:rPr>
          <w:rFonts w:ascii="Arial" w:hAnsi="Arial" w:cs="Arial"/>
          <w:bCs/>
        </w:rPr>
        <w:t xml:space="preserve">. </w:t>
      </w:r>
      <w:r w:rsidR="00895673">
        <w:rPr>
          <w:rFonts w:ascii="Arial" w:hAnsi="Arial" w:cs="Arial"/>
          <w:bCs/>
        </w:rPr>
        <w:t xml:space="preserve">In contrast, </w:t>
      </w:r>
      <w:r w:rsidR="00423913">
        <w:rPr>
          <w:rFonts w:ascii="Arial" w:hAnsi="Arial" w:cs="Arial"/>
          <w:bCs/>
        </w:rPr>
        <w:t>S</w:t>
      </w:r>
      <w:r w:rsidR="00036BAD" w:rsidRPr="00036BAD">
        <w:rPr>
          <w:rFonts w:ascii="Arial" w:hAnsi="Arial" w:cs="Arial"/>
          <w:bCs/>
        </w:rPr>
        <w:t>MA reg</w:t>
      </w:r>
      <w:r w:rsidR="00036BAD">
        <w:rPr>
          <w:rFonts w:ascii="Arial" w:hAnsi="Arial" w:cs="Arial"/>
          <w:bCs/>
        </w:rPr>
        <w:t xml:space="preserve">ression fits to </w:t>
      </w:r>
      <w:r w:rsidR="00036BAD">
        <w:rPr>
          <w:rFonts w:ascii="Arial" w:hAnsi="Arial" w:cs="Arial"/>
          <w:bCs/>
          <w:i/>
          <w:iCs/>
        </w:rPr>
        <w:t xml:space="preserve">Legume </w:t>
      </w:r>
      <w:r w:rsidR="00036BAD">
        <w:rPr>
          <w:rFonts w:ascii="Arial" w:hAnsi="Arial" w:cs="Arial"/>
          <w:bCs/>
        </w:rPr>
        <w:t xml:space="preserve">species </w:t>
      </w:r>
      <w:r w:rsidR="0036321B">
        <w:rPr>
          <w:rFonts w:ascii="Arial" w:hAnsi="Arial" w:cs="Arial"/>
          <w:bCs/>
        </w:rPr>
        <w:t xml:space="preserve">yielded </w:t>
      </w:r>
      <w:r w:rsidR="004A11E0">
        <w:rPr>
          <w:rFonts w:ascii="Arial" w:hAnsi="Arial" w:cs="Arial"/>
          <w:bCs/>
        </w:rPr>
        <w:t xml:space="preserve">slope coefficients and intercept terms that suggest stronger </w:t>
      </w:r>
      <w:r w:rsidR="009C4607">
        <w:rPr>
          <w:rFonts w:ascii="Arial" w:hAnsi="Arial" w:cs="Arial"/>
          <w:bCs/>
        </w:rPr>
        <w:t xml:space="preserve">responses to P and </w:t>
      </w:r>
      <w:r w:rsidR="009C4607" w:rsidRPr="000D1D59">
        <w:rPr>
          <w:rFonts w:ascii="Arial" w:hAnsi="Arial" w:cs="Arial"/>
          <w:bCs/>
        </w:rPr>
        <w:t>K</w:t>
      </w:r>
      <w:r w:rsidR="009C4607" w:rsidRPr="000D1D59">
        <w:rPr>
          <w:rFonts w:ascii="Arial" w:hAnsi="Arial" w:cs="Arial"/>
          <w:bCs/>
          <w:vertAlign w:val="subscript"/>
        </w:rPr>
        <w:t>µ</w:t>
      </w:r>
      <w:r w:rsidR="009C4607">
        <w:rPr>
          <w:rFonts w:ascii="Arial" w:hAnsi="Arial" w:cs="Arial"/>
          <w:bCs/>
        </w:rPr>
        <w:t xml:space="preserve"> treatments than would otherwise be predicted by response to N.</w:t>
      </w:r>
    </w:p>
    <w:p w14:paraId="3AE595B5" w14:textId="75D823A6" w:rsidR="00DC6D2D" w:rsidRDefault="00DC6D2D" w:rsidP="00337F21">
      <w:pPr>
        <w:rPr>
          <w:rFonts w:ascii="Arial" w:hAnsi="Arial" w:cs="Arial"/>
          <w:bCs/>
        </w:rPr>
      </w:pPr>
      <w:r>
        <w:rPr>
          <w:rFonts w:ascii="Arial" w:hAnsi="Arial" w:cs="Arial"/>
          <w:bCs/>
        </w:rPr>
        <w:t xml:space="preserve">Repeated </w:t>
      </w:r>
      <w:r w:rsidR="00C338BA">
        <w:rPr>
          <w:rFonts w:ascii="Arial" w:hAnsi="Arial" w:cs="Arial"/>
          <w:bCs/>
        </w:rPr>
        <w:t>S</w:t>
      </w:r>
      <w:r>
        <w:rPr>
          <w:rFonts w:ascii="Arial" w:hAnsi="Arial" w:cs="Arial"/>
          <w:bCs/>
        </w:rPr>
        <w:t xml:space="preserve">MA regression </w:t>
      </w:r>
      <w:r w:rsidR="005905E5">
        <w:rPr>
          <w:rFonts w:ascii="Arial" w:hAnsi="Arial" w:cs="Arial"/>
          <w:bCs/>
        </w:rPr>
        <w:t xml:space="preserve">with respect to plant dominance or longevity </w:t>
      </w:r>
      <w:r w:rsidR="000778D8">
        <w:rPr>
          <w:rFonts w:ascii="Arial" w:hAnsi="Arial" w:cs="Arial"/>
          <w:bCs/>
        </w:rPr>
        <w:t xml:space="preserve">showed </w:t>
      </w:r>
      <w:r w:rsidR="001A12D1">
        <w:rPr>
          <w:rFonts w:ascii="Arial" w:hAnsi="Arial" w:cs="Arial"/>
          <w:bCs/>
        </w:rPr>
        <w:t xml:space="preserve">no </w:t>
      </w:r>
      <w:r w:rsidR="00133CCE">
        <w:rPr>
          <w:rFonts w:ascii="Arial" w:hAnsi="Arial" w:cs="Arial"/>
          <w:bCs/>
        </w:rPr>
        <w:t>consistent deviations from general positive correlation in response coefficients</w:t>
      </w:r>
      <w:r w:rsidR="00416384">
        <w:rPr>
          <w:rFonts w:ascii="Arial" w:hAnsi="Arial" w:cs="Arial"/>
          <w:bCs/>
        </w:rPr>
        <w:t xml:space="preserve"> (</w:t>
      </w:r>
      <w:r w:rsidR="00F030CF" w:rsidRPr="00F030CF">
        <w:rPr>
          <w:rFonts w:ascii="Arial" w:hAnsi="Arial" w:cs="Arial"/>
          <w:bCs/>
          <w:highlight w:val="yellow"/>
        </w:rPr>
        <w:t>Appendix X</w:t>
      </w:r>
      <w:r w:rsidR="00416384">
        <w:rPr>
          <w:rFonts w:ascii="Arial" w:hAnsi="Arial" w:cs="Arial"/>
          <w:bCs/>
        </w:rPr>
        <w:t>).</w:t>
      </w:r>
    </w:p>
    <w:p w14:paraId="736FE256" w14:textId="09DBC220" w:rsidR="00EC2FD8" w:rsidRDefault="00EC2FD8" w:rsidP="00337F21">
      <w:pPr>
        <w:rPr>
          <w:rFonts w:ascii="Arial" w:hAnsi="Arial" w:cs="Arial"/>
          <w:bCs/>
        </w:rPr>
      </w:pPr>
      <w:r>
        <w:rPr>
          <w:rFonts w:ascii="Arial" w:hAnsi="Arial" w:cs="Arial"/>
          <w:bCs/>
          <w:i/>
          <w:iCs/>
        </w:rPr>
        <w:t>Response Dimensionality</w:t>
      </w:r>
    </w:p>
    <w:p w14:paraId="66266DB9" w14:textId="4E46523E" w:rsidR="00D2058F" w:rsidRDefault="00E974E7" w:rsidP="00337F21">
      <w:pPr>
        <w:rPr>
          <w:rFonts w:ascii="Arial" w:hAnsi="Arial" w:cs="Arial"/>
          <w:bCs/>
        </w:rPr>
      </w:pPr>
      <w:r>
        <w:rPr>
          <w:rFonts w:ascii="Arial" w:hAnsi="Arial" w:cs="Arial"/>
          <w:bCs/>
        </w:rPr>
        <w:lastRenderedPageBreak/>
        <w:t>Decomposition of estimated species responses across these three dimensions</w:t>
      </w:r>
      <w:r w:rsidR="00502835">
        <w:rPr>
          <w:rFonts w:ascii="Arial" w:hAnsi="Arial" w:cs="Arial"/>
          <w:bCs/>
        </w:rPr>
        <w:t xml:space="preserve"> </w:t>
      </w:r>
      <w:r w:rsidR="00920A7D">
        <w:rPr>
          <w:rFonts w:ascii="Arial" w:hAnsi="Arial" w:cs="Arial"/>
          <w:bCs/>
        </w:rPr>
        <w:t xml:space="preserve">of nutrient enrichment </w:t>
      </w:r>
      <w:r w:rsidR="00022890">
        <w:rPr>
          <w:rFonts w:ascii="Arial" w:hAnsi="Arial" w:cs="Arial"/>
          <w:bCs/>
        </w:rPr>
        <w:t xml:space="preserve">demonstrated </w:t>
      </w:r>
      <w:r w:rsidR="00FA3365">
        <w:rPr>
          <w:rFonts w:ascii="Arial" w:hAnsi="Arial" w:cs="Arial"/>
          <w:bCs/>
        </w:rPr>
        <w:t xml:space="preserve">strong evidence </w:t>
      </w:r>
      <w:r w:rsidR="006D4E4F">
        <w:rPr>
          <w:rFonts w:ascii="Arial" w:hAnsi="Arial" w:cs="Arial"/>
          <w:bCs/>
        </w:rPr>
        <w:t xml:space="preserve">for our null hypothesis </w:t>
      </w:r>
      <w:r w:rsidR="00D37889">
        <w:rPr>
          <w:rFonts w:ascii="Arial" w:hAnsi="Arial" w:cs="Arial"/>
          <w:bCs/>
        </w:rPr>
        <w:t>as a dominant pattern in our data</w:t>
      </w:r>
      <w:r w:rsidR="00C9013A">
        <w:rPr>
          <w:rFonts w:ascii="Arial" w:hAnsi="Arial" w:cs="Arial"/>
          <w:bCs/>
        </w:rPr>
        <w:t xml:space="preserve"> (Figure </w:t>
      </w:r>
      <w:r w:rsidR="001B27B0">
        <w:rPr>
          <w:rFonts w:ascii="Arial" w:hAnsi="Arial" w:cs="Arial"/>
          <w:bCs/>
        </w:rPr>
        <w:t xml:space="preserve">4a). </w:t>
      </w:r>
      <w:r w:rsidR="00BF2B9A">
        <w:rPr>
          <w:rFonts w:ascii="Arial" w:hAnsi="Arial" w:cs="Arial"/>
          <w:bCs/>
        </w:rPr>
        <w:t xml:space="preserve">Projection of responses onto </w:t>
      </w:r>
      <w:r w:rsidR="00A001D7">
        <w:rPr>
          <w:rFonts w:ascii="Arial" w:hAnsi="Arial" w:cs="Arial"/>
          <w:bCs/>
        </w:rPr>
        <w:t xml:space="preserve">the </w:t>
      </w:r>
      <w:r w:rsidR="00A001D7" w:rsidRPr="00A001D7">
        <w:rPr>
          <w:rFonts w:ascii="Arial" w:hAnsi="Arial" w:cs="Arial"/>
          <w:b/>
          <w:i/>
          <w:iCs/>
        </w:rPr>
        <w:t>y</w:t>
      </w:r>
      <w:r w:rsidR="00BF2B9A">
        <w:rPr>
          <w:rFonts w:ascii="Arial" w:hAnsi="Arial" w:cs="Arial"/>
          <w:bCs/>
        </w:rPr>
        <w:t xml:space="preserve"> vector (assuming proportionally equal responses to treatment) captured </w:t>
      </w:r>
      <w:r w:rsidR="00E27A68">
        <w:rPr>
          <w:rFonts w:ascii="Arial" w:hAnsi="Arial" w:cs="Arial"/>
          <w:bCs/>
        </w:rPr>
        <w:t xml:space="preserve">60.68% of the total </w:t>
      </w:r>
      <w:r w:rsidR="00F96CB3">
        <w:rPr>
          <w:rFonts w:ascii="Arial" w:hAnsi="Arial" w:cs="Arial"/>
          <w:bCs/>
        </w:rPr>
        <w:t xml:space="preserve">observed </w:t>
      </w:r>
      <w:r w:rsidR="00E27A68">
        <w:rPr>
          <w:rFonts w:ascii="Arial" w:hAnsi="Arial" w:cs="Arial"/>
          <w:bCs/>
        </w:rPr>
        <w:t xml:space="preserve">variance across </w:t>
      </w:r>
      <w:r w:rsidR="00CE59BD">
        <w:rPr>
          <w:rFonts w:ascii="Arial" w:hAnsi="Arial" w:cs="Arial"/>
          <w:bCs/>
        </w:rPr>
        <w:t>all species;</w:t>
      </w:r>
      <w:r w:rsidR="002548AC">
        <w:rPr>
          <w:rFonts w:ascii="Arial" w:hAnsi="Arial" w:cs="Arial"/>
          <w:bCs/>
        </w:rPr>
        <w:t xml:space="preserve"> overall species response dimensionality, </w:t>
      </w:r>
      <w:r w:rsidR="002548AC">
        <w:rPr>
          <w:rFonts w:ascii="Arial" w:hAnsi="Arial" w:cs="Arial"/>
          <w:bCs/>
          <w:i/>
          <w:iCs/>
        </w:rPr>
        <w:t>D</w:t>
      </w:r>
      <w:r w:rsidR="002548AC">
        <w:rPr>
          <w:rFonts w:ascii="Arial" w:hAnsi="Arial" w:cs="Arial"/>
          <w:bCs/>
        </w:rPr>
        <w:t xml:space="preserve">, was </w:t>
      </w:r>
      <w:r w:rsidR="00726BF5">
        <w:rPr>
          <w:rFonts w:ascii="Arial" w:hAnsi="Arial" w:cs="Arial"/>
          <w:bCs/>
        </w:rPr>
        <w:t xml:space="preserve">equal </w:t>
      </w:r>
      <w:r w:rsidR="00EC4FCE">
        <w:rPr>
          <w:rFonts w:ascii="Arial" w:hAnsi="Arial" w:cs="Arial"/>
          <w:bCs/>
        </w:rPr>
        <w:t>to</w:t>
      </w:r>
      <w:r w:rsidR="005D032E">
        <w:rPr>
          <w:rFonts w:ascii="Arial" w:hAnsi="Arial" w:cs="Arial"/>
          <w:bCs/>
        </w:rPr>
        <w:t xml:space="preserve"> 0.29</w:t>
      </w:r>
      <w:r w:rsidR="002548AC">
        <w:rPr>
          <w:rFonts w:ascii="Arial" w:hAnsi="Arial" w:cs="Arial"/>
          <w:bCs/>
        </w:rPr>
        <w:t>.</w:t>
      </w:r>
      <w:r w:rsidR="008A2082">
        <w:rPr>
          <w:rFonts w:ascii="Arial" w:hAnsi="Arial" w:cs="Arial"/>
          <w:bCs/>
        </w:rPr>
        <w:t xml:space="preserve"> </w:t>
      </w:r>
      <w:r w:rsidR="002548AC">
        <w:rPr>
          <w:rFonts w:ascii="Arial" w:hAnsi="Arial" w:cs="Arial"/>
          <w:bCs/>
        </w:rPr>
        <w:t>T</w:t>
      </w:r>
      <w:r w:rsidR="00936A5F">
        <w:rPr>
          <w:rFonts w:ascii="Arial" w:hAnsi="Arial" w:cs="Arial"/>
          <w:bCs/>
        </w:rPr>
        <w:t xml:space="preserve">his proportion is nearly identical to the fraction of variance captured by the first </w:t>
      </w:r>
      <w:r w:rsidR="00D2432C">
        <w:rPr>
          <w:rFonts w:ascii="Arial" w:hAnsi="Arial" w:cs="Arial"/>
          <w:bCs/>
        </w:rPr>
        <w:t>component</w:t>
      </w:r>
      <w:r w:rsidR="00936A5F">
        <w:rPr>
          <w:rFonts w:ascii="Arial" w:hAnsi="Arial" w:cs="Arial"/>
          <w:bCs/>
        </w:rPr>
        <w:t xml:space="preserve"> </w:t>
      </w:r>
      <w:r w:rsidR="00DB6E5A">
        <w:rPr>
          <w:rFonts w:ascii="Arial" w:hAnsi="Arial" w:cs="Arial"/>
          <w:bCs/>
        </w:rPr>
        <w:t xml:space="preserve">in </w:t>
      </w:r>
      <w:r w:rsidR="00936A5F">
        <w:rPr>
          <w:rFonts w:ascii="Arial" w:hAnsi="Arial" w:cs="Arial"/>
          <w:bCs/>
        </w:rPr>
        <w:t>Principal Component Analysis (PCA)</w:t>
      </w:r>
      <w:r w:rsidR="00F7315F">
        <w:rPr>
          <w:rFonts w:ascii="Arial" w:hAnsi="Arial" w:cs="Arial"/>
          <w:bCs/>
        </w:rPr>
        <w:t xml:space="preserve"> of our data</w:t>
      </w:r>
      <w:r w:rsidR="00936A5F">
        <w:rPr>
          <w:rFonts w:ascii="Arial" w:hAnsi="Arial" w:cs="Arial"/>
          <w:bCs/>
        </w:rPr>
        <w:t>,</w:t>
      </w:r>
      <w:r w:rsidR="00D2058F">
        <w:rPr>
          <w:rFonts w:ascii="Arial" w:hAnsi="Arial" w:cs="Arial"/>
          <w:bCs/>
        </w:rPr>
        <w:t xml:space="preserve"> 60.77%.</w:t>
      </w:r>
      <w:r w:rsidR="00795EA2">
        <w:rPr>
          <w:rFonts w:ascii="Arial" w:hAnsi="Arial" w:cs="Arial"/>
          <w:bCs/>
        </w:rPr>
        <w:t xml:space="preserve"> Given that PCA attempts to transform data into a new coordinate basis </w:t>
      </w:r>
      <w:r w:rsidR="00362E72">
        <w:rPr>
          <w:rFonts w:ascii="Arial" w:hAnsi="Arial" w:cs="Arial"/>
          <w:bCs/>
        </w:rPr>
        <w:t xml:space="preserve">that maximizes the fraction of variance </w:t>
      </w:r>
      <w:r w:rsidR="00E27D0A">
        <w:rPr>
          <w:rFonts w:ascii="Arial" w:hAnsi="Arial" w:cs="Arial"/>
          <w:bCs/>
        </w:rPr>
        <w:t>present in</w:t>
      </w:r>
      <w:r w:rsidR="00362E72">
        <w:rPr>
          <w:rFonts w:ascii="Arial" w:hAnsi="Arial" w:cs="Arial"/>
          <w:bCs/>
        </w:rPr>
        <w:t xml:space="preserve"> the first component, </w:t>
      </w:r>
      <w:r w:rsidR="006E55D8">
        <w:rPr>
          <w:rFonts w:ascii="Arial" w:hAnsi="Arial" w:cs="Arial"/>
          <w:bCs/>
        </w:rPr>
        <w:t xml:space="preserve">projection onto </w:t>
      </w:r>
      <w:r w:rsidR="00A001D7">
        <w:rPr>
          <w:rFonts w:ascii="Arial" w:hAnsi="Arial" w:cs="Arial"/>
          <w:bCs/>
        </w:rPr>
        <w:t xml:space="preserve">the </w:t>
      </w:r>
      <w:r w:rsidR="00A001D7" w:rsidRPr="00A001D7">
        <w:rPr>
          <w:rFonts w:ascii="Arial" w:hAnsi="Arial" w:cs="Arial"/>
          <w:b/>
          <w:i/>
          <w:iCs/>
        </w:rPr>
        <w:t>y</w:t>
      </w:r>
      <w:r w:rsidR="00A001D7">
        <w:rPr>
          <w:rFonts w:ascii="Arial" w:hAnsi="Arial" w:cs="Arial"/>
          <w:bCs/>
        </w:rPr>
        <w:t xml:space="preserve"> </w:t>
      </w:r>
      <w:r w:rsidR="00B24283">
        <w:rPr>
          <w:rFonts w:ascii="Arial" w:hAnsi="Arial" w:cs="Arial"/>
          <w:bCs/>
        </w:rPr>
        <w:t xml:space="preserve">vector </w:t>
      </w:r>
      <w:r w:rsidR="00A46CDA">
        <w:rPr>
          <w:rFonts w:ascii="Arial" w:hAnsi="Arial" w:cs="Arial"/>
          <w:bCs/>
        </w:rPr>
        <w:t xml:space="preserve">under our null hypothesis </w:t>
      </w:r>
      <w:r w:rsidR="00401455">
        <w:rPr>
          <w:rFonts w:ascii="Arial" w:hAnsi="Arial" w:cs="Arial"/>
          <w:bCs/>
        </w:rPr>
        <w:t xml:space="preserve">effectively </w:t>
      </w:r>
      <w:r w:rsidR="00E27D0A">
        <w:rPr>
          <w:rFonts w:ascii="Arial" w:hAnsi="Arial" w:cs="Arial"/>
          <w:bCs/>
        </w:rPr>
        <w:t xml:space="preserve">captures a strong pattern inherent in </w:t>
      </w:r>
      <w:r w:rsidR="00D37673">
        <w:rPr>
          <w:rFonts w:ascii="Arial" w:hAnsi="Arial" w:cs="Arial"/>
          <w:bCs/>
        </w:rPr>
        <w:t xml:space="preserve">the </w:t>
      </w:r>
      <w:r w:rsidR="00E27D0A">
        <w:rPr>
          <w:rFonts w:ascii="Arial" w:hAnsi="Arial" w:cs="Arial"/>
          <w:bCs/>
        </w:rPr>
        <w:t xml:space="preserve">data. </w:t>
      </w:r>
    </w:p>
    <w:p w14:paraId="4EB309E2" w14:textId="04B0F15A" w:rsidR="00466760" w:rsidRDefault="00F876C8" w:rsidP="000B0469">
      <w:pPr>
        <w:rPr>
          <w:rFonts w:ascii="Arial" w:hAnsi="Arial" w:cs="Arial"/>
          <w:bCs/>
        </w:rPr>
      </w:pPr>
      <w:r>
        <w:rPr>
          <w:rFonts w:ascii="Arial" w:hAnsi="Arial" w:cs="Arial"/>
          <w:bCs/>
        </w:rPr>
        <w:t xml:space="preserve">Consistent with </w:t>
      </w:r>
      <w:r w:rsidR="0058457B">
        <w:rPr>
          <w:rFonts w:ascii="Arial" w:hAnsi="Arial" w:cs="Arial"/>
          <w:bCs/>
        </w:rPr>
        <w:t xml:space="preserve">observations made in pairwise comparisons of treatment responses, </w:t>
      </w:r>
      <w:r w:rsidR="00646A52">
        <w:rPr>
          <w:rFonts w:ascii="Arial" w:hAnsi="Arial" w:cs="Arial"/>
          <w:bCs/>
        </w:rPr>
        <w:t xml:space="preserve">plant functional groups exhibited consistent patterns of </w:t>
      </w:r>
      <w:r w:rsidR="00BD4E19">
        <w:rPr>
          <w:rFonts w:ascii="Arial" w:hAnsi="Arial" w:cs="Arial"/>
          <w:bCs/>
        </w:rPr>
        <w:t>deviation from the null hypothesis</w:t>
      </w:r>
      <w:r w:rsidR="00226D34">
        <w:rPr>
          <w:rFonts w:ascii="Arial" w:hAnsi="Arial" w:cs="Arial"/>
          <w:bCs/>
        </w:rPr>
        <w:t xml:space="preserve"> (Figure 4b, Table 2)</w:t>
      </w:r>
      <w:r w:rsidR="00BD4E19">
        <w:rPr>
          <w:rFonts w:ascii="Arial" w:hAnsi="Arial" w:cs="Arial"/>
          <w:bCs/>
        </w:rPr>
        <w:t xml:space="preserve">. </w:t>
      </w:r>
      <w:r w:rsidR="007A324B">
        <w:rPr>
          <w:rFonts w:ascii="Arial" w:hAnsi="Arial" w:cs="Arial"/>
          <w:bCs/>
        </w:rPr>
        <w:t xml:space="preserve">While mean </w:t>
      </w:r>
      <w:r w:rsidR="00207162">
        <w:rPr>
          <w:rFonts w:ascii="Arial" w:hAnsi="Arial" w:cs="Arial"/>
          <w:bCs/>
        </w:rPr>
        <w:t xml:space="preserve">coordinates of plant functional groups did not </w:t>
      </w:r>
      <w:r w:rsidR="00087492">
        <w:rPr>
          <w:rFonts w:ascii="Arial" w:hAnsi="Arial" w:cs="Arial"/>
          <w:bCs/>
        </w:rPr>
        <w:t xml:space="preserve">differ </w:t>
      </w:r>
      <w:r w:rsidR="00AB1F64">
        <w:rPr>
          <w:rFonts w:ascii="Arial" w:hAnsi="Arial" w:cs="Arial"/>
          <w:bCs/>
        </w:rPr>
        <w:t xml:space="preserve">significantly </w:t>
      </w:r>
      <w:r w:rsidR="00120CA8">
        <w:rPr>
          <w:rFonts w:ascii="Arial" w:hAnsi="Arial" w:cs="Arial"/>
          <w:bCs/>
        </w:rPr>
        <w:t xml:space="preserve">on either </w:t>
      </w:r>
      <w:r w:rsidR="00120CA8" w:rsidRPr="00120CA8">
        <w:rPr>
          <w:rFonts w:ascii="Arial" w:hAnsi="Arial" w:cs="Arial"/>
          <w:b/>
          <w:i/>
          <w:iCs/>
        </w:rPr>
        <w:t xml:space="preserve">y </w:t>
      </w:r>
      <w:r w:rsidR="00120CA8">
        <w:rPr>
          <w:rFonts w:ascii="Arial" w:hAnsi="Arial" w:cs="Arial"/>
          <w:bCs/>
        </w:rPr>
        <w:t xml:space="preserve">or </w:t>
      </w:r>
      <w:r w:rsidR="00120CA8">
        <w:rPr>
          <w:rFonts w:ascii="Arial" w:hAnsi="Arial" w:cs="Arial"/>
          <w:b/>
          <w:i/>
          <w:iCs/>
        </w:rPr>
        <w:t>b</w:t>
      </w:r>
      <w:r w:rsidR="00120CA8">
        <w:rPr>
          <w:rFonts w:ascii="Arial" w:hAnsi="Arial" w:cs="Arial"/>
          <w:b/>
          <w:i/>
          <w:iCs/>
          <w:vertAlign w:val="subscript"/>
        </w:rPr>
        <w:t>1</w:t>
      </w:r>
      <w:r w:rsidR="00120CA8">
        <w:rPr>
          <w:rFonts w:ascii="Arial" w:hAnsi="Arial" w:cs="Arial"/>
          <w:b/>
          <w:i/>
          <w:iCs/>
        </w:rPr>
        <w:t xml:space="preserve"> </w:t>
      </w:r>
      <w:r w:rsidR="00120CA8">
        <w:rPr>
          <w:rFonts w:ascii="Arial" w:hAnsi="Arial" w:cs="Arial"/>
          <w:bCs/>
        </w:rPr>
        <w:t xml:space="preserve">dimensions, </w:t>
      </w:r>
      <w:r w:rsidR="00087492">
        <w:rPr>
          <w:rFonts w:ascii="Arial" w:hAnsi="Arial" w:cs="Arial"/>
          <w:bCs/>
        </w:rPr>
        <w:t xml:space="preserve">the mean coordinate </w:t>
      </w:r>
      <w:r w:rsidR="00033C88">
        <w:rPr>
          <w:rFonts w:ascii="Arial" w:hAnsi="Arial" w:cs="Arial"/>
          <w:bCs/>
        </w:rPr>
        <w:t xml:space="preserve">position </w:t>
      </w:r>
      <w:r w:rsidR="00087492">
        <w:rPr>
          <w:rFonts w:ascii="Arial" w:hAnsi="Arial" w:cs="Arial"/>
          <w:bCs/>
        </w:rPr>
        <w:t xml:space="preserve">of </w:t>
      </w:r>
      <w:r w:rsidR="00087492">
        <w:rPr>
          <w:rFonts w:ascii="Arial" w:hAnsi="Arial" w:cs="Arial"/>
          <w:bCs/>
          <w:i/>
          <w:iCs/>
        </w:rPr>
        <w:t xml:space="preserve">Legume </w:t>
      </w:r>
      <w:r w:rsidR="001103A2">
        <w:rPr>
          <w:rFonts w:ascii="Arial" w:hAnsi="Arial" w:cs="Arial"/>
          <w:bCs/>
        </w:rPr>
        <w:t xml:space="preserve">species </w:t>
      </w:r>
      <w:r w:rsidR="00FB6A59">
        <w:rPr>
          <w:rFonts w:ascii="Arial" w:hAnsi="Arial" w:cs="Arial"/>
          <w:bCs/>
        </w:rPr>
        <w:t xml:space="preserve">on the second rejection dimension, </w:t>
      </w:r>
      <w:r w:rsidR="00FB6A59">
        <w:rPr>
          <w:rFonts w:ascii="Arial" w:hAnsi="Arial" w:cs="Arial"/>
          <w:b/>
          <w:i/>
          <w:iCs/>
        </w:rPr>
        <w:t>b</w:t>
      </w:r>
      <w:r w:rsidR="00FB6A59">
        <w:rPr>
          <w:rFonts w:ascii="Arial" w:hAnsi="Arial" w:cs="Arial"/>
          <w:b/>
          <w:i/>
          <w:iCs/>
          <w:vertAlign w:val="subscript"/>
        </w:rPr>
        <w:t>2</w:t>
      </w:r>
      <w:r w:rsidR="00FB6A59">
        <w:rPr>
          <w:rFonts w:ascii="Arial" w:hAnsi="Arial" w:cs="Arial"/>
          <w:bCs/>
        </w:rPr>
        <w:t xml:space="preserve">, </w:t>
      </w:r>
      <w:r w:rsidR="001103A2">
        <w:rPr>
          <w:rFonts w:ascii="Arial" w:hAnsi="Arial" w:cs="Arial"/>
          <w:bCs/>
        </w:rPr>
        <w:t xml:space="preserve">was significantly larger than the means </w:t>
      </w:r>
      <w:r w:rsidR="005F3FB6">
        <w:rPr>
          <w:rFonts w:ascii="Arial" w:hAnsi="Arial" w:cs="Arial"/>
          <w:bCs/>
        </w:rPr>
        <w:t xml:space="preserve">of </w:t>
      </w:r>
      <w:r w:rsidR="001103A2">
        <w:rPr>
          <w:rFonts w:ascii="Arial" w:hAnsi="Arial" w:cs="Arial"/>
          <w:bCs/>
        </w:rPr>
        <w:t>all other functional group</w:t>
      </w:r>
      <w:r w:rsidR="00AC5976">
        <w:rPr>
          <w:rFonts w:ascii="Arial" w:hAnsi="Arial" w:cs="Arial"/>
          <w:bCs/>
        </w:rPr>
        <w:t>s</w:t>
      </w:r>
      <w:r w:rsidR="001103A2">
        <w:rPr>
          <w:rFonts w:ascii="Arial" w:hAnsi="Arial" w:cs="Arial"/>
          <w:bCs/>
        </w:rPr>
        <w:t>.</w:t>
      </w:r>
      <w:r w:rsidR="00F14A13">
        <w:rPr>
          <w:rFonts w:ascii="Arial" w:hAnsi="Arial" w:cs="Arial"/>
          <w:bCs/>
        </w:rPr>
        <w:t xml:space="preserve"> Given the loadings specified in our </w:t>
      </w:r>
      <w:r w:rsidR="008B3E9D">
        <w:rPr>
          <w:rFonts w:ascii="Arial" w:hAnsi="Arial" w:cs="Arial"/>
          <w:bCs/>
        </w:rPr>
        <w:t>projection</w:t>
      </w:r>
      <w:r w:rsidR="002D786A">
        <w:rPr>
          <w:rFonts w:ascii="Arial" w:hAnsi="Arial" w:cs="Arial"/>
          <w:bCs/>
        </w:rPr>
        <w:t xml:space="preserve">, </w:t>
      </w:r>
      <w:r w:rsidR="002D786A">
        <w:rPr>
          <w:rFonts w:ascii="Arial" w:hAnsi="Arial" w:cs="Arial"/>
          <w:b/>
          <w:i/>
          <w:iCs/>
        </w:rPr>
        <w:t>P</w:t>
      </w:r>
      <w:r w:rsidR="002D786A">
        <w:rPr>
          <w:rFonts w:ascii="Arial" w:hAnsi="Arial" w:cs="Arial"/>
          <w:bCs/>
        </w:rPr>
        <w:t xml:space="preserve">, </w:t>
      </w:r>
      <w:r w:rsidR="006C4C7D">
        <w:rPr>
          <w:rFonts w:ascii="Arial" w:hAnsi="Arial" w:cs="Arial"/>
          <w:bCs/>
        </w:rPr>
        <w:t>larger average coordinate values in this second rejection dimension</w:t>
      </w:r>
      <w:r w:rsidR="009A0038">
        <w:rPr>
          <w:rFonts w:ascii="Arial" w:hAnsi="Arial" w:cs="Arial"/>
          <w:bCs/>
        </w:rPr>
        <w:t xml:space="preserve"> are correlated with proportionally </w:t>
      </w:r>
      <w:r w:rsidR="000B6936">
        <w:rPr>
          <w:rFonts w:ascii="Arial" w:hAnsi="Arial" w:cs="Arial"/>
          <w:bCs/>
        </w:rPr>
        <w:t xml:space="preserve">more positive responses to P or </w:t>
      </w:r>
      <w:r w:rsidR="000B6936" w:rsidRPr="000D1D59">
        <w:rPr>
          <w:rFonts w:ascii="Arial" w:hAnsi="Arial" w:cs="Arial"/>
          <w:bCs/>
        </w:rPr>
        <w:t>K</w:t>
      </w:r>
      <w:r w:rsidR="000B6936" w:rsidRPr="000D1D59">
        <w:rPr>
          <w:rFonts w:ascii="Arial" w:hAnsi="Arial" w:cs="Arial"/>
          <w:bCs/>
          <w:vertAlign w:val="subscript"/>
        </w:rPr>
        <w:t>µ</w:t>
      </w:r>
      <w:r w:rsidR="000B6936">
        <w:rPr>
          <w:rFonts w:ascii="Arial" w:hAnsi="Arial" w:cs="Arial"/>
          <w:bCs/>
        </w:rPr>
        <w:t xml:space="preserve"> treatments</w:t>
      </w:r>
      <w:r w:rsidR="00AE5163">
        <w:rPr>
          <w:rFonts w:ascii="Arial" w:hAnsi="Arial" w:cs="Arial"/>
          <w:bCs/>
        </w:rPr>
        <w:t xml:space="preserve"> than </w:t>
      </w:r>
      <w:r w:rsidR="00EF3633">
        <w:rPr>
          <w:rFonts w:ascii="Arial" w:hAnsi="Arial" w:cs="Arial"/>
          <w:bCs/>
        </w:rPr>
        <w:t xml:space="preserve">N enrichment. </w:t>
      </w:r>
    </w:p>
    <w:p w14:paraId="1327BE5F" w14:textId="7880886D" w:rsidR="00CD76BD" w:rsidRDefault="00CB0B56" w:rsidP="000B0469">
      <w:pPr>
        <w:rPr>
          <w:rFonts w:ascii="Arial" w:hAnsi="Arial" w:cs="Arial"/>
          <w:b/>
        </w:rPr>
      </w:pPr>
      <w:r>
        <w:rPr>
          <w:rFonts w:ascii="Arial" w:hAnsi="Arial" w:cs="Arial"/>
          <w:bCs/>
          <w:i/>
          <w:iCs/>
        </w:rPr>
        <w:t>Site Variation in Response Dimensionality</w:t>
      </w:r>
    </w:p>
    <w:p w14:paraId="64851B0F" w14:textId="20387F23" w:rsidR="006549AE" w:rsidRDefault="00CB0B56" w:rsidP="000B0469">
      <w:pPr>
        <w:rPr>
          <w:rFonts w:ascii="Arial" w:hAnsi="Arial" w:cs="Arial"/>
          <w:bCs/>
        </w:rPr>
      </w:pPr>
      <w:r>
        <w:rPr>
          <w:rFonts w:ascii="Arial" w:hAnsi="Arial" w:cs="Arial"/>
          <w:bCs/>
        </w:rPr>
        <w:t xml:space="preserve">To evaluate the </w:t>
      </w:r>
      <w:r w:rsidR="0016419F">
        <w:rPr>
          <w:rFonts w:ascii="Arial" w:hAnsi="Arial" w:cs="Arial"/>
          <w:bCs/>
        </w:rPr>
        <w:t>environmental and community determinants</w:t>
      </w:r>
      <w:r>
        <w:rPr>
          <w:rFonts w:ascii="Arial" w:hAnsi="Arial" w:cs="Arial"/>
          <w:bCs/>
        </w:rPr>
        <w:t xml:space="preserve"> </w:t>
      </w:r>
      <w:r w:rsidR="0016419F">
        <w:rPr>
          <w:rFonts w:ascii="Arial" w:hAnsi="Arial" w:cs="Arial"/>
          <w:bCs/>
        </w:rPr>
        <w:t xml:space="preserve">of </w:t>
      </w:r>
      <w:r w:rsidR="00877298">
        <w:rPr>
          <w:rFonts w:ascii="Arial" w:hAnsi="Arial" w:cs="Arial"/>
          <w:bCs/>
        </w:rPr>
        <w:t>response dimensionality</w:t>
      </w:r>
      <w:r w:rsidR="00190CCF">
        <w:rPr>
          <w:rFonts w:ascii="Arial" w:hAnsi="Arial" w:cs="Arial"/>
          <w:bCs/>
        </w:rPr>
        <w:t xml:space="preserve">, </w:t>
      </w:r>
      <w:r w:rsidR="00877298">
        <w:rPr>
          <w:rFonts w:ascii="Arial" w:hAnsi="Arial" w:cs="Arial"/>
          <w:bCs/>
        </w:rPr>
        <w:t xml:space="preserve">we </w:t>
      </w:r>
      <w:r w:rsidR="005134FA">
        <w:rPr>
          <w:rFonts w:ascii="Arial" w:hAnsi="Arial" w:cs="Arial"/>
          <w:bCs/>
        </w:rPr>
        <w:t xml:space="preserve">subdivided data to </w:t>
      </w:r>
      <w:r w:rsidR="004B6B5B">
        <w:rPr>
          <w:rFonts w:ascii="Arial" w:hAnsi="Arial" w:cs="Arial"/>
          <w:bCs/>
        </w:rPr>
        <w:t xml:space="preserve">calculate </w:t>
      </w:r>
      <w:r w:rsidR="00CB21D7">
        <w:rPr>
          <w:rFonts w:ascii="Arial" w:hAnsi="Arial" w:cs="Arial"/>
          <w:bCs/>
          <w:i/>
          <w:iCs/>
        </w:rPr>
        <w:t>D</w:t>
      </w:r>
      <w:r w:rsidR="00CB21D7">
        <w:rPr>
          <w:rFonts w:ascii="Arial" w:hAnsi="Arial" w:cs="Arial"/>
          <w:bCs/>
        </w:rPr>
        <w:t xml:space="preserve"> </w:t>
      </w:r>
      <w:r w:rsidR="00FF3BB5">
        <w:rPr>
          <w:rFonts w:ascii="Arial" w:hAnsi="Arial" w:cs="Arial"/>
          <w:bCs/>
        </w:rPr>
        <w:t xml:space="preserve">for </w:t>
      </w:r>
      <w:r w:rsidR="00EF0F9E">
        <w:rPr>
          <w:rFonts w:ascii="Arial" w:hAnsi="Arial" w:cs="Arial"/>
          <w:bCs/>
        </w:rPr>
        <w:t xml:space="preserve">all </w:t>
      </w:r>
      <w:r w:rsidR="00CB38FE">
        <w:rPr>
          <w:rFonts w:ascii="Arial" w:hAnsi="Arial" w:cs="Arial"/>
          <w:bCs/>
        </w:rPr>
        <w:t>species observed within each site</w:t>
      </w:r>
      <w:r w:rsidR="00EF0F9E">
        <w:rPr>
          <w:rFonts w:ascii="Arial" w:hAnsi="Arial" w:cs="Arial"/>
          <w:bCs/>
        </w:rPr>
        <w:t xml:space="preserve">, yielding </w:t>
      </w:r>
      <w:r w:rsidR="00E02A28">
        <w:rPr>
          <w:rFonts w:ascii="Arial" w:hAnsi="Arial" w:cs="Arial"/>
          <w:bCs/>
        </w:rPr>
        <w:t xml:space="preserve">estimates of </w:t>
      </w:r>
      <w:r w:rsidR="00E02A28">
        <w:rPr>
          <w:rFonts w:ascii="Arial" w:hAnsi="Arial" w:cs="Arial"/>
          <w:bCs/>
          <w:i/>
          <w:iCs/>
        </w:rPr>
        <w:t>D</w:t>
      </w:r>
      <w:r w:rsidR="00E02A28">
        <w:rPr>
          <w:rFonts w:ascii="Arial" w:hAnsi="Arial" w:cs="Arial"/>
          <w:bCs/>
        </w:rPr>
        <w:t xml:space="preserve"> that ranged between </w:t>
      </w:r>
      <w:r w:rsidR="005A045B">
        <w:rPr>
          <w:rFonts w:ascii="Arial" w:hAnsi="Arial" w:cs="Arial"/>
          <w:bCs/>
        </w:rPr>
        <w:t xml:space="preserve">0.08 and </w:t>
      </w:r>
      <w:r w:rsidR="00D41B68">
        <w:rPr>
          <w:rFonts w:ascii="Arial" w:hAnsi="Arial" w:cs="Arial"/>
          <w:bCs/>
        </w:rPr>
        <w:t>0.73</w:t>
      </w:r>
      <w:r w:rsidR="00F13D22">
        <w:rPr>
          <w:rFonts w:ascii="Arial" w:hAnsi="Arial" w:cs="Arial"/>
          <w:bCs/>
        </w:rPr>
        <w:t xml:space="preserve"> (</w:t>
      </w:r>
      <w:r w:rsidR="008C0103">
        <w:rPr>
          <w:rFonts w:ascii="Arial" w:hAnsi="Arial" w:cs="Arial"/>
          <w:bCs/>
        </w:rPr>
        <w:t>M</w:t>
      </w:r>
      <w:r w:rsidR="00CF7AA0">
        <w:rPr>
          <w:rFonts w:ascii="Arial" w:hAnsi="Arial" w:cs="Arial"/>
          <w:bCs/>
        </w:rPr>
        <w:t xml:space="preserve">ean </w:t>
      </w:r>
      <w:r w:rsidR="00F13D22">
        <w:rPr>
          <w:rFonts w:ascii="Arial" w:hAnsi="Arial" w:cs="Arial"/>
          <w:bCs/>
        </w:rPr>
        <w:t>= 0.39)</w:t>
      </w:r>
      <w:r w:rsidR="00FB28C7">
        <w:rPr>
          <w:rFonts w:ascii="Arial" w:hAnsi="Arial" w:cs="Arial"/>
          <w:bCs/>
        </w:rPr>
        <w:t>.</w:t>
      </w:r>
    </w:p>
    <w:p w14:paraId="08E00245" w14:textId="448E2098" w:rsidR="00754F85" w:rsidRDefault="00441350" w:rsidP="000B0469">
      <w:pPr>
        <w:rPr>
          <w:rFonts w:ascii="Arial" w:hAnsi="Arial" w:cs="Arial"/>
          <w:bCs/>
        </w:rPr>
      </w:pPr>
      <w:r>
        <w:rPr>
          <w:rFonts w:ascii="Arial" w:hAnsi="Arial" w:cs="Arial"/>
          <w:bCs/>
        </w:rPr>
        <w:t xml:space="preserve">Consistent with our hypotheses, SEM analysis identified significant relationships </w:t>
      </w:r>
      <w:r w:rsidR="00FC506E">
        <w:rPr>
          <w:rFonts w:ascii="Arial" w:hAnsi="Arial" w:cs="Arial"/>
          <w:bCs/>
        </w:rPr>
        <w:t xml:space="preserve">between soil </w:t>
      </w:r>
      <w:r w:rsidR="002E2614">
        <w:rPr>
          <w:rFonts w:ascii="Arial" w:hAnsi="Arial" w:cs="Arial"/>
          <w:bCs/>
        </w:rPr>
        <w:t>resource availability, climatic characteristics, and response dimensionality</w:t>
      </w:r>
      <w:r w:rsidR="008B4C50">
        <w:rPr>
          <w:rFonts w:ascii="Arial" w:hAnsi="Arial" w:cs="Arial"/>
          <w:bCs/>
        </w:rPr>
        <w:t xml:space="preserve"> (Figure 5)</w:t>
      </w:r>
      <w:r w:rsidR="002E2614">
        <w:rPr>
          <w:rFonts w:ascii="Arial" w:hAnsi="Arial" w:cs="Arial"/>
          <w:bCs/>
        </w:rPr>
        <w:t xml:space="preserve">. </w:t>
      </w:r>
      <w:r w:rsidR="00A22314">
        <w:rPr>
          <w:rFonts w:ascii="Arial" w:hAnsi="Arial" w:cs="Arial"/>
          <w:bCs/>
        </w:rPr>
        <w:t xml:space="preserve">While increasing precipitation </w:t>
      </w:r>
      <w:r w:rsidR="00DE04CF">
        <w:rPr>
          <w:rFonts w:ascii="Arial" w:hAnsi="Arial" w:cs="Arial"/>
          <w:bCs/>
        </w:rPr>
        <w:t xml:space="preserve">and lower growing season temperatures </w:t>
      </w:r>
      <w:r w:rsidR="003A4463">
        <w:rPr>
          <w:rFonts w:ascii="Arial" w:hAnsi="Arial" w:cs="Arial"/>
          <w:bCs/>
        </w:rPr>
        <w:t xml:space="preserve">produced a positive, direct effect on response dimensionality, </w:t>
      </w:r>
      <w:r w:rsidR="004F7DB3">
        <w:rPr>
          <w:rFonts w:ascii="Arial" w:hAnsi="Arial" w:cs="Arial"/>
          <w:bCs/>
        </w:rPr>
        <w:t xml:space="preserve">the effects of resource availability were primarily mediated through </w:t>
      </w:r>
      <w:r w:rsidR="002648A7">
        <w:rPr>
          <w:rFonts w:ascii="Arial" w:hAnsi="Arial" w:cs="Arial"/>
          <w:bCs/>
        </w:rPr>
        <w:t>changes in average biomass and canopy light interception</w:t>
      </w:r>
      <w:r w:rsidR="00DB6533">
        <w:rPr>
          <w:rFonts w:ascii="Arial" w:hAnsi="Arial" w:cs="Arial"/>
          <w:bCs/>
        </w:rPr>
        <w:t xml:space="preserve"> </w:t>
      </w:r>
      <w:r w:rsidR="00B04ED8">
        <w:rPr>
          <w:rFonts w:ascii="Arial" w:hAnsi="Arial" w:cs="Arial"/>
          <w:bCs/>
        </w:rPr>
        <w:t>–</w:t>
      </w:r>
      <w:r w:rsidR="00DB6533">
        <w:rPr>
          <w:rFonts w:ascii="Arial" w:hAnsi="Arial" w:cs="Arial"/>
          <w:bCs/>
        </w:rPr>
        <w:t xml:space="preserve"> </w:t>
      </w:r>
      <w:r w:rsidR="00226DDB">
        <w:rPr>
          <w:rFonts w:ascii="Arial" w:hAnsi="Arial" w:cs="Arial"/>
          <w:bCs/>
        </w:rPr>
        <w:t xml:space="preserve">experiments performed in </w:t>
      </w:r>
      <w:r w:rsidR="00DB6533">
        <w:rPr>
          <w:rFonts w:ascii="Arial" w:hAnsi="Arial" w:cs="Arial"/>
          <w:bCs/>
        </w:rPr>
        <w:t xml:space="preserve">more </w:t>
      </w:r>
      <w:r w:rsidR="004965E8">
        <w:rPr>
          <w:rFonts w:ascii="Arial" w:hAnsi="Arial" w:cs="Arial"/>
          <w:bCs/>
        </w:rPr>
        <w:t xml:space="preserve">productive environments </w:t>
      </w:r>
      <w:r w:rsidR="00486921">
        <w:rPr>
          <w:rFonts w:ascii="Arial" w:hAnsi="Arial" w:cs="Arial"/>
          <w:bCs/>
        </w:rPr>
        <w:t xml:space="preserve">characterized by </w:t>
      </w:r>
      <w:r w:rsidR="004965E8">
        <w:rPr>
          <w:rFonts w:ascii="Arial" w:hAnsi="Arial" w:cs="Arial"/>
          <w:bCs/>
        </w:rPr>
        <w:t xml:space="preserve">stronger competition for available light were significantly correlated with greater variation in trajectories of community change </w:t>
      </w:r>
      <w:r w:rsidR="00556DFB">
        <w:rPr>
          <w:rFonts w:ascii="Arial" w:hAnsi="Arial" w:cs="Arial"/>
          <w:bCs/>
        </w:rPr>
        <w:t>across our three fertilization treatments.</w:t>
      </w:r>
    </w:p>
    <w:p w14:paraId="78A8289B" w14:textId="5EA583DD" w:rsidR="00A16F82" w:rsidRDefault="00033D5C" w:rsidP="00337F21">
      <w:pPr>
        <w:rPr>
          <w:rFonts w:ascii="Arial" w:hAnsi="Arial" w:cs="Arial"/>
          <w:bCs/>
        </w:rPr>
      </w:pPr>
      <w:r>
        <w:rPr>
          <w:rFonts w:ascii="Arial" w:hAnsi="Arial" w:cs="Arial"/>
          <w:bCs/>
        </w:rPr>
        <w:t xml:space="preserve">Site species richness, soil resources, and climate also had effects on response dimensionality through changes in pre-treatment </w:t>
      </w:r>
      <w:r w:rsidR="009C3317">
        <w:rPr>
          <w:rFonts w:ascii="Arial" w:hAnsi="Arial" w:cs="Arial"/>
          <w:bCs/>
        </w:rPr>
        <w:t>spatial turnover in species diversity</w:t>
      </w:r>
      <w:r w:rsidR="00B75CDE">
        <w:rPr>
          <w:rFonts w:ascii="Arial" w:hAnsi="Arial" w:cs="Arial"/>
          <w:bCs/>
        </w:rPr>
        <w:t xml:space="preserve"> (Figure 5)</w:t>
      </w:r>
      <w:r w:rsidR="009C3317">
        <w:rPr>
          <w:rFonts w:ascii="Arial" w:hAnsi="Arial" w:cs="Arial"/>
          <w:bCs/>
        </w:rPr>
        <w:t xml:space="preserve">. </w:t>
      </w:r>
      <w:r w:rsidR="00FE185A">
        <w:rPr>
          <w:rFonts w:ascii="Arial" w:hAnsi="Arial" w:cs="Arial"/>
          <w:bCs/>
        </w:rPr>
        <w:t xml:space="preserve">Greater species turnover, implying non-local mechanisms of species coexistence, and pre-treatment abundance of legumes combined to have negative effects on the dimensionality </w:t>
      </w:r>
      <w:r w:rsidR="009D18FB">
        <w:rPr>
          <w:rFonts w:ascii="Arial" w:hAnsi="Arial" w:cs="Arial"/>
          <w:bCs/>
        </w:rPr>
        <w:t>of community response to treatment.</w:t>
      </w:r>
    </w:p>
    <w:p w14:paraId="0EC0902D" w14:textId="0C67CE7D" w:rsidR="00E0424E" w:rsidRDefault="00E0424E" w:rsidP="00337F21">
      <w:pPr>
        <w:rPr>
          <w:rFonts w:ascii="Arial" w:hAnsi="Arial" w:cs="Arial"/>
          <w:bCs/>
        </w:rPr>
      </w:pPr>
    </w:p>
    <w:p w14:paraId="05695779" w14:textId="7144010B" w:rsidR="00E0424E" w:rsidRDefault="00E0424E">
      <w:pPr>
        <w:rPr>
          <w:rFonts w:ascii="Arial" w:hAnsi="Arial" w:cs="Arial"/>
          <w:bCs/>
        </w:rPr>
      </w:pPr>
      <w:r>
        <w:rPr>
          <w:rFonts w:ascii="Arial" w:hAnsi="Arial" w:cs="Arial"/>
          <w:bCs/>
        </w:rPr>
        <w:br w:type="page"/>
      </w:r>
    </w:p>
    <w:p w14:paraId="58E8FA35" w14:textId="0034018C" w:rsidR="00E0424E" w:rsidRDefault="00E0424E" w:rsidP="00337F21">
      <w:pPr>
        <w:rPr>
          <w:rFonts w:ascii="Arial" w:hAnsi="Arial" w:cs="Arial"/>
          <w:b/>
        </w:rPr>
      </w:pPr>
      <w:r>
        <w:rPr>
          <w:rFonts w:ascii="Arial" w:hAnsi="Arial" w:cs="Arial"/>
          <w:b/>
        </w:rPr>
        <w:lastRenderedPageBreak/>
        <w:t>Discussion</w:t>
      </w:r>
    </w:p>
    <w:p w14:paraId="58CE603D" w14:textId="77777777" w:rsidR="004F5196" w:rsidRDefault="004F5196" w:rsidP="004F5196">
      <w:pPr>
        <w:rPr>
          <w:rFonts w:ascii="Arial" w:hAnsi="Arial" w:cs="Arial"/>
          <w:bCs/>
        </w:rPr>
      </w:pPr>
      <w:r>
        <w:rPr>
          <w:rFonts w:ascii="Arial" w:hAnsi="Arial" w:cs="Arial"/>
          <w:bCs/>
        </w:rPr>
        <w:t>An increasing body of evidence indicates that the productivity, diversity, and composition of plant communities is controlled by the abundance of multiple limiting factors, including water, light, and soil nutrients. While multiple niche dimensions may give rise to multi-dimensional trade-offs in these systems, the realized trade-offs will depend on how strongly these limiting resources structure communities in each system. In the context of nutrient enrichment, the importance of a one-dimensional tradeoff in light competition vs. multi-dimensional tradeoffs for belowground nutrients will depend on whether species are better differentiated by their ability to compete for light or specialize on certain resource types, respectively.</w:t>
      </w:r>
    </w:p>
    <w:p w14:paraId="219A9E2A" w14:textId="34C24C68" w:rsidR="004927B1" w:rsidRDefault="004F5196" w:rsidP="004F5196">
      <w:pPr>
        <w:rPr>
          <w:rFonts w:ascii="Arial" w:hAnsi="Arial" w:cs="Arial"/>
          <w:bCs/>
        </w:rPr>
      </w:pPr>
      <w:r>
        <w:rPr>
          <w:rFonts w:ascii="Arial" w:hAnsi="Arial" w:cs="Arial"/>
          <w:bCs/>
        </w:rPr>
        <w:t>In this study, we provide a global synthesis of these two perspectives. Rather than identify which mechanism better predicts community change, we characterize sites across a continuum of response. Echoing previous studies of experimental nutrient manipulations in grasslands, we emphasize that these mechanisms (and others)</w:t>
      </w:r>
      <w:r w:rsidR="008A19BB">
        <w:rPr>
          <w:rFonts w:ascii="Arial" w:hAnsi="Arial" w:cs="Arial"/>
          <w:bCs/>
        </w:rPr>
        <w:t xml:space="preserve"> are expected to</w:t>
      </w:r>
      <w:r>
        <w:rPr>
          <w:rFonts w:ascii="Arial" w:hAnsi="Arial" w:cs="Arial"/>
          <w:bCs/>
        </w:rPr>
        <w:t xml:space="preserve"> act simultaneously</w:t>
      </w:r>
      <w:r>
        <w:rPr>
          <w:rFonts w:ascii="Arial" w:hAnsi="Arial" w:cs="Arial"/>
          <w:bCs/>
        </w:rPr>
        <w:t xml:space="preserve"> </w:t>
      </w:r>
      <w:r w:rsidR="008A19BB">
        <w:rPr>
          <w:rFonts w:ascii="Arial" w:hAnsi="Arial" w:cs="Arial"/>
          <w:bCs/>
        </w:rPr>
        <w:t xml:space="preserve">in many systems. </w:t>
      </w:r>
    </w:p>
    <w:p w14:paraId="1CFA0721" w14:textId="2728E9A8" w:rsidR="004927B1" w:rsidRDefault="00AE7B3D" w:rsidP="004F5196">
      <w:pPr>
        <w:rPr>
          <w:rFonts w:ascii="Arial" w:hAnsi="Arial" w:cs="Arial"/>
          <w:bCs/>
        </w:rPr>
      </w:pPr>
      <w:r>
        <w:rPr>
          <w:rFonts w:ascii="Arial" w:hAnsi="Arial" w:cs="Arial"/>
          <w:bCs/>
        </w:rPr>
        <w:t>Across sites, we found that fertilization treatments differed in their average effect on community composition</w:t>
      </w:r>
      <w:r w:rsidR="002B7DA2">
        <w:rPr>
          <w:rFonts w:ascii="Arial" w:hAnsi="Arial" w:cs="Arial"/>
          <w:bCs/>
        </w:rPr>
        <w:t xml:space="preserve"> (Figure 1). Consistent with studies of nutrient limitation in terrestrial plant </w:t>
      </w:r>
      <w:r w:rsidR="00636210">
        <w:rPr>
          <w:rFonts w:ascii="Arial" w:hAnsi="Arial" w:cs="Arial"/>
          <w:bCs/>
        </w:rPr>
        <w:t>communities</w:t>
      </w:r>
      <w:r w:rsidR="00D5019B">
        <w:rPr>
          <w:rFonts w:ascii="Arial" w:hAnsi="Arial" w:cs="Arial"/>
          <w:bCs/>
        </w:rPr>
        <w:t xml:space="preserve"> and Nutrient Network data, sites exhibited more sensitivity to </w:t>
      </w:r>
      <w:r w:rsidR="000B7484">
        <w:rPr>
          <w:rFonts w:ascii="Arial" w:hAnsi="Arial" w:cs="Arial"/>
          <w:bCs/>
        </w:rPr>
        <w:t>N enrichment</w:t>
      </w:r>
      <w:r w:rsidR="00B03974">
        <w:rPr>
          <w:rFonts w:ascii="Arial" w:hAnsi="Arial" w:cs="Arial"/>
          <w:bCs/>
        </w:rPr>
        <w:t xml:space="preserve"> than either P or K treatments. </w:t>
      </w:r>
      <w:r w:rsidR="002277B5">
        <w:rPr>
          <w:rFonts w:ascii="Arial" w:hAnsi="Arial" w:cs="Arial"/>
          <w:bCs/>
        </w:rPr>
        <w:t xml:space="preserve">While this </w:t>
      </w:r>
      <w:r w:rsidR="00161567">
        <w:rPr>
          <w:rFonts w:ascii="Arial" w:hAnsi="Arial" w:cs="Arial"/>
          <w:bCs/>
        </w:rPr>
        <w:t xml:space="preserve">finding suggests that variation in N availability acts as more important niche dimension, this may also be a function of our dataset; </w:t>
      </w:r>
      <w:r w:rsidR="00964D5F">
        <w:rPr>
          <w:rFonts w:ascii="Arial" w:hAnsi="Arial" w:cs="Arial"/>
          <w:bCs/>
        </w:rPr>
        <w:t xml:space="preserve">the Nutrient Network’s focus on grassland ecosystems with disproportionate representation in temperate North America and Europe may skew these results. </w:t>
      </w:r>
      <w:r w:rsidR="00E871DC">
        <w:rPr>
          <w:rFonts w:ascii="Arial" w:hAnsi="Arial" w:cs="Arial"/>
          <w:bCs/>
        </w:rPr>
        <w:t xml:space="preserve">Nutrient demands are known to vary as a function of dominant ecotype, climatic characteristics, and </w:t>
      </w:r>
      <w:r w:rsidR="00461829">
        <w:rPr>
          <w:rFonts w:ascii="Arial" w:hAnsi="Arial" w:cs="Arial"/>
          <w:bCs/>
        </w:rPr>
        <w:t xml:space="preserve">edaphic properties. </w:t>
      </w:r>
      <w:r w:rsidR="004B7564">
        <w:rPr>
          <w:rFonts w:ascii="Arial" w:hAnsi="Arial" w:cs="Arial"/>
          <w:bCs/>
        </w:rPr>
        <w:t>SOME NOTES HERE ABOUT TREES/SHRUBS AND AUSTRALIA</w:t>
      </w:r>
    </w:p>
    <w:p w14:paraId="6798947E" w14:textId="013DBF33" w:rsidR="004B7564" w:rsidRDefault="004B7564" w:rsidP="004F5196">
      <w:pPr>
        <w:rPr>
          <w:rFonts w:ascii="Arial" w:hAnsi="Arial" w:cs="Arial"/>
          <w:bCs/>
        </w:rPr>
      </w:pPr>
      <w:r>
        <w:rPr>
          <w:rFonts w:ascii="Arial" w:hAnsi="Arial" w:cs="Arial"/>
          <w:bCs/>
        </w:rPr>
        <w:t xml:space="preserve">After controlling for these </w:t>
      </w:r>
      <w:r w:rsidR="00944B96">
        <w:rPr>
          <w:rFonts w:ascii="Arial" w:hAnsi="Arial" w:cs="Arial"/>
          <w:bCs/>
        </w:rPr>
        <w:t xml:space="preserve">differences in magnitude of effect, we found strong evidence for largely one-dimensional patterns of community change across N, P, and </w:t>
      </w:r>
      <w:proofErr w:type="spellStart"/>
      <w:r w:rsidR="00944B96">
        <w:rPr>
          <w:rFonts w:ascii="Arial" w:hAnsi="Arial" w:cs="Arial"/>
          <w:bCs/>
        </w:rPr>
        <w:t>K_mu</w:t>
      </w:r>
      <w:proofErr w:type="spellEnd"/>
      <w:r w:rsidR="00944B96">
        <w:rPr>
          <w:rFonts w:ascii="Arial" w:hAnsi="Arial" w:cs="Arial"/>
          <w:bCs/>
        </w:rPr>
        <w:t xml:space="preserve"> treatments (Figure 2).</w:t>
      </w:r>
      <w:r w:rsidR="00785505">
        <w:rPr>
          <w:rFonts w:ascii="Arial" w:hAnsi="Arial" w:cs="Arial"/>
          <w:bCs/>
        </w:rPr>
        <w:t xml:space="preserve"> </w:t>
      </w:r>
      <w:r w:rsidR="00010A5E">
        <w:rPr>
          <w:rFonts w:ascii="Arial" w:hAnsi="Arial" w:cs="Arial"/>
          <w:bCs/>
        </w:rPr>
        <w:t xml:space="preserve">The dominance of a single axis is consistent with our “neutral” </w:t>
      </w:r>
      <w:r w:rsidR="00BD12C5">
        <w:rPr>
          <w:rFonts w:ascii="Arial" w:hAnsi="Arial" w:cs="Arial"/>
          <w:bCs/>
        </w:rPr>
        <w:t>model</w:t>
      </w:r>
      <w:r w:rsidR="00010A5E">
        <w:rPr>
          <w:rFonts w:ascii="Arial" w:hAnsi="Arial" w:cs="Arial"/>
          <w:bCs/>
        </w:rPr>
        <w:t xml:space="preserve"> </w:t>
      </w:r>
      <w:r w:rsidR="00D12BD0">
        <w:rPr>
          <w:rFonts w:ascii="Arial" w:hAnsi="Arial" w:cs="Arial"/>
          <w:bCs/>
        </w:rPr>
        <w:t xml:space="preserve">assuming </w:t>
      </w:r>
      <w:r w:rsidR="008567A2">
        <w:rPr>
          <w:rFonts w:ascii="Arial" w:hAnsi="Arial" w:cs="Arial"/>
          <w:bCs/>
        </w:rPr>
        <w:t xml:space="preserve">proportionally equal responses </w:t>
      </w:r>
      <w:r w:rsidR="002208C5">
        <w:rPr>
          <w:rFonts w:ascii="Arial" w:hAnsi="Arial" w:cs="Arial"/>
          <w:bCs/>
        </w:rPr>
        <w:t>to different treatments</w:t>
      </w:r>
      <w:r w:rsidR="00EB442C">
        <w:rPr>
          <w:rFonts w:ascii="Arial" w:hAnsi="Arial" w:cs="Arial"/>
          <w:bCs/>
        </w:rPr>
        <w:t xml:space="preserve"> –</w:t>
      </w:r>
      <w:r w:rsidR="008B05F9">
        <w:rPr>
          <w:rFonts w:ascii="Arial" w:hAnsi="Arial" w:cs="Arial"/>
          <w:bCs/>
        </w:rPr>
        <w:t xml:space="preserve"> </w:t>
      </w:r>
      <w:r w:rsidR="007D6770">
        <w:rPr>
          <w:rFonts w:ascii="Arial" w:hAnsi="Arial" w:cs="Arial"/>
          <w:bCs/>
        </w:rPr>
        <w:t xml:space="preserve">expected </w:t>
      </w:r>
      <w:r w:rsidR="00CA4B43">
        <w:rPr>
          <w:rFonts w:ascii="Arial" w:hAnsi="Arial" w:cs="Arial"/>
          <w:bCs/>
        </w:rPr>
        <w:t xml:space="preserve">when nutrient enrichment </w:t>
      </w:r>
      <w:r w:rsidR="00B91CEE">
        <w:rPr>
          <w:rFonts w:ascii="Arial" w:hAnsi="Arial" w:cs="Arial"/>
          <w:bCs/>
        </w:rPr>
        <w:t xml:space="preserve">generates a shift in resource limitation from belowground resource to light, </w:t>
      </w:r>
      <w:r w:rsidR="00370DBD">
        <w:rPr>
          <w:rFonts w:ascii="Arial" w:hAnsi="Arial" w:cs="Arial"/>
          <w:bCs/>
        </w:rPr>
        <w:t xml:space="preserve">independent </w:t>
      </w:r>
      <w:r w:rsidR="00CF0B13">
        <w:rPr>
          <w:rFonts w:ascii="Arial" w:hAnsi="Arial" w:cs="Arial"/>
          <w:bCs/>
        </w:rPr>
        <w:t xml:space="preserve">of </w:t>
      </w:r>
      <w:r w:rsidR="00320265">
        <w:rPr>
          <w:rFonts w:ascii="Arial" w:hAnsi="Arial" w:cs="Arial"/>
          <w:bCs/>
        </w:rPr>
        <w:t xml:space="preserve">the </w:t>
      </w:r>
      <w:r w:rsidR="00CF0B13">
        <w:rPr>
          <w:rFonts w:ascii="Arial" w:hAnsi="Arial" w:cs="Arial"/>
          <w:bCs/>
        </w:rPr>
        <w:t xml:space="preserve">resource added. </w:t>
      </w:r>
      <w:r w:rsidR="00EB442C">
        <w:rPr>
          <w:rFonts w:ascii="Arial" w:hAnsi="Arial" w:cs="Arial"/>
          <w:bCs/>
        </w:rPr>
        <w:t xml:space="preserve">This </w:t>
      </w:r>
      <w:r w:rsidR="00E0295E">
        <w:rPr>
          <w:rFonts w:ascii="Arial" w:hAnsi="Arial" w:cs="Arial"/>
          <w:bCs/>
        </w:rPr>
        <w:t xml:space="preserve">perspective, focused on total belowground resource availability, rather than stoichiometry, follows a vast body </w:t>
      </w:r>
      <w:r w:rsidR="0021600C">
        <w:rPr>
          <w:rFonts w:ascii="Arial" w:hAnsi="Arial" w:cs="Arial"/>
          <w:bCs/>
        </w:rPr>
        <w:t xml:space="preserve">of </w:t>
      </w:r>
      <w:r w:rsidR="00E86CAE">
        <w:rPr>
          <w:rFonts w:ascii="Arial" w:hAnsi="Arial" w:cs="Arial"/>
          <w:bCs/>
        </w:rPr>
        <w:t xml:space="preserve">work on the role of </w:t>
      </w:r>
      <w:r w:rsidR="00EC19E8">
        <w:rPr>
          <w:rFonts w:ascii="Arial" w:hAnsi="Arial" w:cs="Arial"/>
          <w:bCs/>
        </w:rPr>
        <w:t>competition for available light in high resource environments.</w:t>
      </w:r>
      <w:r w:rsidR="00664F2F">
        <w:rPr>
          <w:rFonts w:ascii="Arial" w:hAnsi="Arial" w:cs="Arial"/>
          <w:bCs/>
        </w:rPr>
        <w:t xml:space="preserve"> MORE CITATIONS HERE</w:t>
      </w:r>
    </w:p>
    <w:p w14:paraId="4DD27491" w14:textId="190FB744" w:rsidR="00664F2F" w:rsidRDefault="004556B1" w:rsidP="004F5196">
      <w:pPr>
        <w:rPr>
          <w:rFonts w:ascii="Arial" w:hAnsi="Arial" w:cs="Arial"/>
          <w:bCs/>
        </w:rPr>
      </w:pPr>
      <w:r>
        <w:rPr>
          <w:rFonts w:ascii="Arial" w:hAnsi="Arial" w:cs="Arial"/>
          <w:bCs/>
        </w:rPr>
        <w:t>However</w:t>
      </w:r>
      <w:r w:rsidR="00BE1376">
        <w:rPr>
          <w:rFonts w:ascii="Arial" w:hAnsi="Arial" w:cs="Arial"/>
          <w:bCs/>
        </w:rPr>
        <w:t xml:space="preserve">, consistent deviations from this relationship as a function of </w:t>
      </w:r>
      <w:r w:rsidR="00541C7C">
        <w:rPr>
          <w:rFonts w:ascii="Arial" w:hAnsi="Arial" w:cs="Arial"/>
          <w:bCs/>
        </w:rPr>
        <w:t xml:space="preserve">plant </w:t>
      </w:r>
      <w:r w:rsidR="008C65AE">
        <w:rPr>
          <w:rFonts w:ascii="Arial" w:hAnsi="Arial" w:cs="Arial"/>
          <w:bCs/>
        </w:rPr>
        <w:t xml:space="preserve">functional strategy </w:t>
      </w:r>
      <w:r w:rsidR="00D00F9C">
        <w:rPr>
          <w:rFonts w:ascii="Arial" w:hAnsi="Arial" w:cs="Arial"/>
          <w:bCs/>
        </w:rPr>
        <w:t xml:space="preserve">suggest that </w:t>
      </w:r>
      <w:r w:rsidR="00600AF4">
        <w:rPr>
          <w:rFonts w:ascii="Arial" w:hAnsi="Arial" w:cs="Arial"/>
          <w:bCs/>
        </w:rPr>
        <w:t xml:space="preserve">species may specialize in </w:t>
      </w:r>
      <w:r w:rsidR="00344590">
        <w:rPr>
          <w:rFonts w:ascii="Arial" w:hAnsi="Arial" w:cs="Arial"/>
          <w:bCs/>
        </w:rPr>
        <w:t xml:space="preserve">the use of particular resources. Disproportionately positive responses of legumes to both Phosphorous and </w:t>
      </w:r>
      <w:proofErr w:type="spellStart"/>
      <w:r w:rsidR="00344590">
        <w:rPr>
          <w:rFonts w:ascii="Arial" w:hAnsi="Arial" w:cs="Arial"/>
          <w:bCs/>
        </w:rPr>
        <w:t>K_mu</w:t>
      </w:r>
      <w:proofErr w:type="spellEnd"/>
      <w:r w:rsidR="00344590">
        <w:rPr>
          <w:rFonts w:ascii="Arial" w:hAnsi="Arial" w:cs="Arial"/>
          <w:bCs/>
        </w:rPr>
        <w:t xml:space="preserve"> enrichment</w:t>
      </w:r>
      <w:r w:rsidR="00501EC3">
        <w:rPr>
          <w:rFonts w:ascii="Arial" w:hAnsi="Arial" w:cs="Arial"/>
          <w:bCs/>
        </w:rPr>
        <w:t xml:space="preserve"> are likely a function of </w:t>
      </w:r>
      <w:r w:rsidR="00BE7528">
        <w:rPr>
          <w:rFonts w:ascii="Arial" w:hAnsi="Arial" w:cs="Arial"/>
          <w:bCs/>
        </w:rPr>
        <w:t>their unique strategy</w:t>
      </w:r>
      <w:r w:rsidR="00BB4753">
        <w:rPr>
          <w:rFonts w:ascii="Arial" w:hAnsi="Arial" w:cs="Arial"/>
          <w:bCs/>
        </w:rPr>
        <w:t>. MORE CITATIONS HERE</w:t>
      </w:r>
      <w:r w:rsidR="007E0BA5">
        <w:rPr>
          <w:rFonts w:ascii="Arial" w:hAnsi="Arial" w:cs="Arial"/>
          <w:bCs/>
        </w:rPr>
        <w:t>.</w:t>
      </w:r>
    </w:p>
    <w:p w14:paraId="0AF66D7E" w14:textId="06A78364" w:rsidR="007E0BA5" w:rsidRPr="00344590" w:rsidRDefault="00207B4A" w:rsidP="004F5196">
      <w:pPr>
        <w:rPr>
          <w:rFonts w:ascii="Arial" w:hAnsi="Arial" w:cs="Arial"/>
          <w:bCs/>
        </w:rPr>
      </w:pPr>
      <w:r>
        <w:rPr>
          <w:rFonts w:ascii="Arial" w:hAnsi="Arial" w:cs="Arial"/>
          <w:bCs/>
        </w:rPr>
        <w:t xml:space="preserve">Moreover, </w:t>
      </w:r>
      <w:r w:rsidR="00DC50E6">
        <w:rPr>
          <w:rFonts w:ascii="Arial" w:hAnsi="Arial" w:cs="Arial"/>
          <w:bCs/>
        </w:rPr>
        <w:t xml:space="preserve">variation </w:t>
      </w:r>
      <w:r w:rsidR="00571015">
        <w:rPr>
          <w:rFonts w:ascii="Arial" w:hAnsi="Arial" w:cs="Arial"/>
          <w:bCs/>
        </w:rPr>
        <w:t xml:space="preserve">in site responses </w:t>
      </w:r>
      <w:r w:rsidR="00A90C42">
        <w:rPr>
          <w:rFonts w:ascii="Arial" w:hAnsi="Arial" w:cs="Arial"/>
          <w:bCs/>
        </w:rPr>
        <w:t xml:space="preserve">suggests that the development of </w:t>
      </w:r>
      <w:r w:rsidR="00B628DF">
        <w:rPr>
          <w:rFonts w:ascii="Arial" w:hAnsi="Arial" w:cs="Arial"/>
          <w:bCs/>
        </w:rPr>
        <w:t xml:space="preserve">multi-dimensional tradeoffs </w:t>
      </w:r>
      <w:r w:rsidR="00110EF7">
        <w:rPr>
          <w:rFonts w:ascii="Arial" w:hAnsi="Arial" w:cs="Arial"/>
          <w:bCs/>
        </w:rPr>
        <w:t xml:space="preserve">is constrained </w:t>
      </w:r>
      <w:r w:rsidR="003704BB">
        <w:rPr>
          <w:rFonts w:ascii="Arial" w:hAnsi="Arial" w:cs="Arial"/>
          <w:bCs/>
        </w:rPr>
        <w:t xml:space="preserve">by </w:t>
      </w:r>
      <w:r w:rsidR="00D0588C">
        <w:rPr>
          <w:rFonts w:ascii="Arial" w:hAnsi="Arial" w:cs="Arial"/>
          <w:bCs/>
        </w:rPr>
        <w:t>systems</w:t>
      </w:r>
      <w:r w:rsidR="005A1F45">
        <w:rPr>
          <w:rFonts w:ascii="Arial" w:hAnsi="Arial" w:cs="Arial"/>
          <w:bCs/>
        </w:rPr>
        <w:t>-specific</w:t>
      </w:r>
      <w:r w:rsidR="003704BB">
        <w:rPr>
          <w:rFonts w:ascii="Arial" w:hAnsi="Arial" w:cs="Arial"/>
          <w:bCs/>
        </w:rPr>
        <w:t xml:space="preserve"> characteris</w:t>
      </w:r>
      <w:r w:rsidR="008263D6">
        <w:rPr>
          <w:rFonts w:ascii="Arial" w:hAnsi="Arial" w:cs="Arial"/>
          <w:bCs/>
        </w:rPr>
        <w:t>tics</w:t>
      </w:r>
      <w:r w:rsidR="00264848">
        <w:rPr>
          <w:rFonts w:ascii="Arial" w:hAnsi="Arial" w:cs="Arial"/>
          <w:bCs/>
        </w:rPr>
        <w:t>.</w:t>
      </w:r>
      <w:r w:rsidR="00B628DF">
        <w:rPr>
          <w:rFonts w:ascii="Arial" w:hAnsi="Arial" w:cs="Arial"/>
          <w:bCs/>
        </w:rPr>
        <w:t xml:space="preserve"> By </w:t>
      </w:r>
      <w:r w:rsidR="0037159C">
        <w:rPr>
          <w:rFonts w:ascii="Arial" w:hAnsi="Arial" w:cs="Arial"/>
          <w:bCs/>
        </w:rPr>
        <w:t>manipulating the availability of belowground resources, f</w:t>
      </w:r>
      <w:r w:rsidR="00A41F68">
        <w:rPr>
          <w:rFonts w:ascii="Arial" w:hAnsi="Arial" w:cs="Arial"/>
          <w:bCs/>
        </w:rPr>
        <w:t xml:space="preserve">ertilization affects only a subset of </w:t>
      </w:r>
      <w:r w:rsidR="005A1F45">
        <w:rPr>
          <w:rFonts w:ascii="Arial" w:hAnsi="Arial" w:cs="Arial"/>
          <w:bCs/>
        </w:rPr>
        <w:t>the total limiting factors present within a system.</w:t>
      </w:r>
      <w:r w:rsidR="00D8255A">
        <w:rPr>
          <w:rFonts w:ascii="Arial" w:hAnsi="Arial" w:cs="Arial"/>
          <w:bCs/>
        </w:rPr>
        <w:t xml:space="preserve"> </w:t>
      </w:r>
      <w:r w:rsidR="00680713">
        <w:rPr>
          <w:rFonts w:ascii="Arial" w:hAnsi="Arial" w:cs="Arial"/>
          <w:bCs/>
        </w:rPr>
        <w:t xml:space="preserve">While water availability, community composition, </w:t>
      </w:r>
      <w:r w:rsidR="00587212">
        <w:rPr>
          <w:rFonts w:ascii="Arial" w:hAnsi="Arial" w:cs="Arial"/>
          <w:bCs/>
        </w:rPr>
        <w:t xml:space="preserve">and </w:t>
      </w:r>
      <w:r w:rsidR="00CE066B">
        <w:rPr>
          <w:rFonts w:ascii="Arial" w:hAnsi="Arial" w:cs="Arial"/>
          <w:bCs/>
        </w:rPr>
        <w:t xml:space="preserve">temperature are known to control </w:t>
      </w:r>
      <w:r w:rsidR="003D2398">
        <w:rPr>
          <w:rFonts w:ascii="Arial" w:hAnsi="Arial" w:cs="Arial"/>
          <w:bCs/>
        </w:rPr>
        <w:t xml:space="preserve">susceptibility to nutrient enrichment, these same characteristics are also likely to constrain how trade-offs develop within a system. </w:t>
      </w:r>
      <w:r w:rsidR="00CB108F">
        <w:rPr>
          <w:rFonts w:ascii="Arial" w:hAnsi="Arial" w:cs="Arial"/>
          <w:bCs/>
        </w:rPr>
        <w:t xml:space="preserve">In many grassland environments, for example, </w:t>
      </w:r>
      <w:r w:rsidR="00CF44F3">
        <w:rPr>
          <w:rFonts w:ascii="Arial" w:hAnsi="Arial" w:cs="Arial"/>
          <w:bCs/>
        </w:rPr>
        <w:t xml:space="preserve">community diversity is maintained through </w:t>
      </w:r>
      <w:r w:rsidR="0092111C">
        <w:rPr>
          <w:rFonts w:ascii="Arial" w:hAnsi="Arial" w:cs="Arial"/>
          <w:bCs/>
        </w:rPr>
        <w:t xml:space="preserve">storage effects that </w:t>
      </w:r>
      <w:r w:rsidR="008C3F95">
        <w:rPr>
          <w:rFonts w:ascii="Arial" w:hAnsi="Arial" w:cs="Arial"/>
          <w:bCs/>
        </w:rPr>
        <w:t>depend on spatial and temporal variation</w:t>
      </w:r>
      <w:r w:rsidR="005F6EAD">
        <w:rPr>
          <w:rFonts w:ascii="Arial" w:hAnsi="Arial" w:cs="Arial"/>
          <w:bCs/>
        </w:rPr>
        <w:t xml:space="preserve"> </w:t>
      </w:r>
      <w:r w:rsidR="005C3990">
        <w:rPr>
          <w:rFonts w:ascii="Arial" w:hAnsi="Arial" w:cs="Arial"/>
          <w:bCs/>
        </w:rPr>
        <w:t xml:space="preserve">in the environment. </w:t>
      </w:r>
    </w:p>
    <w:p w14:paraId="75679744" w14:textId="222308D6" w:rsidR="001167AB" w:rsidRDefault="001167AB" w:rsidP="004F5196">
      <w:pPr>
        <w:rPr>
          <w:rFonts w:ascii="Arial" w:hAnsi="Arial" w:cs="Arial"/>
          <w:bCs/>
        </w:rPr>
      </w:pPr>
    </w:p>
    <w:p w14:paraId="3516BA68" w14:textId="4A7595A0" w:rsidR="001167AB" w:rsidRDefault="001167AB" w:rsidP="004F5196">
      <w:pPr>
        <w:rPr>
          <w:rFonts w:ascii="Arial" w:hAnsi="Arial" w:cs="Arial"/>
          <w:bCs/>
        </w:rPr>
      </w:pPr>
      <w:r>
        <w:rPr>
          <w:rFonts w:ascii="Arial" w:hAnsi="Arial" w:cs="Arial"/>
          <w:bCs/>
        </w:rPr>
        <w:t xml:space="preserve">Limitations – </w:t>
      </w:r>
    </w:p>
    <w:p w14:paraId="569FBCFF" w14:textId="5D278C08" w:rsidR="001167AB" w:rsidRDefault="001167AB" w:rsidP="004F5196">
      <w:pPr>
        <w:rPr>
          <w:rFonts w:ascii="Arial" w:hAnsi="Arial" w:cs="Arial"/>
          <w:bCs/>
        </w:rPr>
      </w:pPr>
      <w:r>
        <w:rPr>
          <w:rFonts w:ascii="Arial" w:hAnsi="Arial" w:cs="Arial"/>
          <w:bCs/>
        </w:rPr>
        <w:t>Not mechanistic</w:t>
      </w:r>
    </w:p>
    <w:p w14:paraId="5133EB84" w14:textId="2FB70A3B" w:rsidR="002D5D5C" w:rsidRDefault="002D5D5C" w:rsidP="004F5196">
      <w:pPr>
        <w:rPr>
          <w:rFonts w:ascii="Arial" w:hAnsi="Arial" w:cs="Arial"/>
          <w:bCs/>
        </w:rPr>
      </w:pPr>
      <w:r>
        <w:rPr>
          <w:rFonts w:ascii="Arial" w:hAnsi="Arial" w:cs="Arial"/>
          <w:bCs/>
        </w:rPr>
        <w:t>Harder to tell if each resource is truly “limiting”</w:t>
      </w:r>
    </w:p>
    <w:p w14:paraId="63A841CB" w14:textId="77777777" w:rsidR="008A19BB" w:rsidRDefault="008A19BB" w:rsidP="00B7687C">
      <w:pPr>
        <w:widowControl w:val="0"/>
        <w:autoSpaceDE w:val="0"/>
        <w:autoSpaceDN w:val="0"/>
        <w:adjustRightInd w:val="0"/>
        <w:spacing w:line="240" w:lineRule="auto"/>
        <w:ind w:left="480" w:hanging="480"/>
        <w:rPr>
          <w:rFonts w:ascii="Arial" w:hAnsi="Arial" w:cs="Arial"/>
          <w:bCs/>
        </w:rPr>
      </w:pPr>
    </w:p>
    <w:p w14:paraId="7CDE0F69" w14:textId="32E9CC5C" w:rsidR="00B7687C" w:rsidRPr="00B7687C" w:rsidRDefault="00702222" w:rsidP="00B67192">
      <w:pPr>
        <w:rPr>
          <w:rFonts w:ascii="Arial" w:hAnsi="Arial" w:cs="Arial"/>
          <w:b/>
        </w:rPr>
      </w:pPr>
      <w:r>
        <w:rPr>
          <w:rFonts w:ascii="Arial" w:hAnsi="Arial" w:cs="Arial"/>
          <w:b/>
        </w:rPr>
        <w:br w:type="page"/>
      </w:r>
      <w:r w:rsidR="00B7687C" w:rsidRPr="00B7687C">
        <w:rPr>
          <w:rFonts w:ascii="Arial" w:hAnsi="Arial" w:cs="Arial"/>
          <w:b/>
        </w:rPr>
        <w:lastRenderedPageBreak/>
        <w:t>References</w:t>
      </w:r>
    </w:p>
    <w:p w14:paraId="5976510F" w14:textId="1C81CE6F" w:rsidR="00A1182F" w:rsidRPr="00A1182F" w:rsidRDefault="00B7687C" w:rsidP="00A1182F">
      <w:pPr>
        <w:widowControl w:val="0"/>
        <w:autoSpaceDE w:val="0"/>
        <w:autoSpaceDN w:val="0"/>
        <w:adjustRightInd w:val="0"/>
        <w:spacing w:line="240" w:lineRule="auto"/>
        <w:ind w:left="480" w:hanging="480"/>
        <w:rPr>
          <w:rFonts w:ascii="Arial" w:hAnsi="Arial" w:cs="Arial"/>
          <w:noProof/>
          <w:szCs w:val="24"/>
        </w:rPr>
      </w:pPr>
      <w:r>
        <w:rPr>
          <w:rFonts w:ascii="Arial" w:hAnsi="Arial" w:cs="Arial"/>
          <w:bCs/>
        </w:rPr>
        <w:fldChar w:fldCharType="begin" w:fldLock="1"/>
      </w:r>
      <w:r>
        <w:rPr>
          <w:rFonts w:ascii="Arial" w:hAnsi="Arial" w:cs="Arial"/>
          <w:bCs/>
        </w:rPr>
        <w:instrText xml:space="preserve">ADDIN Mendeley Bibliography CSL_BIBLIOGRAPHY </w:instrText>
      </w:r>
      <w:r>
        <w:rPr>
          <w:rFonts w:ascii="Arial" w:hAnsi="Arial" w:cs="Arial"/>
          <w:bCs/>
        </w:rPr>
        <w:fldChar w:fldCharType="separate"/>
      </w:r>
      <w:r w:rsidR="00A1182F" w:rsidRPr="00A1182F">
        <w:rPr>
          <w:rFonts w:ascii="Arial" w:hAnsi="Arial" w:cs="Arial"/>
          <w:noProof/>
          <w:szCs w:val="24"/>
        </w:rPr>
        <w:t>Ågren, G. I. 2008. Stoichiometry and Nutrition of Plant Growth in Natural Communities. Annual Review of Ecology, Evolution, and Systematics 39:153–170.</w:t>
      </w:r>
    </w:p>
    <w:p w14:paraId="2B10A10A"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Chapin, F. S. 1980. The Mineral Nutrition of Wild Plants. Annual Review of Ecology and Systematics 11:233–260.</w:t>
      </w:r>
    </w:p>
    <w:p w14:paraId="37FEC863"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DeMalach, N., and R. Kadmon. 2017. Light competition explains diversity decline better than niche dimensionality. Functional Ecology 31:1834–1838.</w:t>
      </w:r>
    </w:p>
    <w:p w14:paraId="445A49F1"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Dybzinski, R., and D. Tilman. 2007. Resource use patterns predict long-term outcomes of plant competition for nutrients and light. American Naturalist 170:305–318.</w:t>
      </w:r>
    </w:p>
    <w:p w14:paraId="56D3836F"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Fay, P. A., S. M. Prober, W. S. Harpole, J. M. H. Knops, J. D. Bakker, E. T. Borer, E. M. Lind, A. S. MacDougall, E. W. Seabloom, P. D. Wragg, P. B. Adler, D. M. Blumenthal, Y. M. Buckley, C. Chu, E. E. Cleland, S. L. Collins, K. F. Davies, G. Du, X. Feng, J. Firn, D. S. Gruner, N. Hagenah, Y. Hautier, R. W. Heckman, V. L. Jin, K. P. Kirkman, J. Klein, L. M. Ladwig, Q. Li, R. L. McCulley, B. A. Melbourne, C. E. Mitchell, J. L. Moore, J. W. Morgan, A. C. Risch, M. Schütz, C. J. Stevens, D. A. Wedin, and L. H. Yang. 2015. Grassland productivity limited by multiple nutrients. Nature Plants 1:1–5.</w:t>
      </w:r>
    </w:p>
    <w:p w14:paraId="0B660DD9"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Grace, J. B., T. M. Anderson, E. W. Seabloom, E. T. Borer, P. B. Adler, W. S. Harpole, Y. Hautier, H. Hillebrand, E. M. Lind, M. Pärtel, J. D. Bakker, Y. M. Buckley, M. J. Crawley, E. I. Damschen, K. F. Davies, P. A. Fay, J. Firn, D. S. Gruner, A. Hector, J. M. H. Knops, A. S. MacDougall, B. A. Melbourne, J. W. Morgan, J. L. Orrock, S. M. Prober, and M. D. Smith. 2016. Integrative modelling reveals mechanisms linking productivity and plant species richness. Nature 529:390–393.</w:t>
      </w:r>
    </w:p>
    <w:p w14:paraId="652DED1C"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Güsewell, S. 2004. N:P ratios in terrestrial plants: Variation and functional significance. New Phytologist 164:243–266.</w:t>
      </w:r>
    </w:p>
    <w:p w14:paraId="2DEE3C9D"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Harpole, W. S., L. L. Sullivan, E. M. Lind, J. Firn, P. B. Adler, E. T. Borer, J. Chase, P. A. Fay, Y. Hautier, H. Hillebrand, A. S. MacDougall, E. W. Seabloom, J. D. Bakker, M. W. Cadotte, E. J. Chaneton, C. Chu, N. Hagenah, K. Kirkman, K. J. La Pierre, J. L. Moore, J. W. Morgan, S. M. Prober, A. C. Risch, M. Schuetz, and C. J. Stevens. 2017. Out of the shadows: multiple nutrient limitations drive relationships among biomass, light and plant diversity. Functional Ecology 31:1839–1846.</w:t>
      </w:r>
    </w:p>
    <w:p w14:paraId="27982D07"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Harpole, W. S., L. L. Sullivan, E. M. Lind, J. Firn, P. B. Adler, E. T. Borer, J. Chase, P. A. Fay, Y. Hautier, H. Hillebrand, A. S. MacDougall, E. W. Seabloom, R. Williams, J. D. Bakker, M. W. Cadotte, E. J. Chaneton, C. Chu, E. E. Cleland, C. D’Antonio, K. F. Davies, D. S. Gruner, N. Hagenah, K. Kirkman, J. M. H. Knops, K. J. La Pierre, R. L. McCulley, J. L. Moore, J. W. Morgan, S. M. Prober, A. C. Risch, M. Schuetz, C. J. Stevens, and P. D. Wragg. 2016. Addition of multiple limiting resources reduces grassland diversity. Nature 537:93–96.</w:t>
      </w:r>
    </w:p>
    <w:p w14:paraId="14041ECB"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Harpole, W. S., and D. Tilman. 2007. Grassland species loss resulting from reduced niche dimension. Nature 446:791–793.</w:t>
      </w:r>
    </w:p>
    <w:p w14:paraId="7D1DFC87"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Hautier, Y., P. a Niklaus, and A. Hector. 2009. Competition for light causes plant biodiversity loss after eutrophication. Science (New York, N.Y.) 324:636–638.</w:t>
      </w:r>
    </w:p>
    <w:p w14:paraId="026DBC63"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Hautier, Y., E. Vojtech, and A. Hector. 2018. The importance of competition for light depends on productivity and disturbance. Ecology and Evolution 8:10655–10661.</w:t>
      </w:r>
    </w:p>
    <w:p w14:paraId="46E0C076"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lastRenderedPageBreak/>
        <w:t>Hutchinson, G. 1957. Concluding remarks. Cold Spring Harbor Symposia on ….</w:t>
      </w:r>
    </w:p>
    <w:p w14:paraId="374445F0"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Knecht, M. F., and A. Göransson. 2004. Terrestrial plants require nutrients in similar proportions. Tree Physiology 24:447–460.</w:t>
      </w:r>
    </w:p>
    <w:p w14:paraId="513BD537"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Lambers, H., J. A. Raven, G. R. Shaver, and S. E. Smith. 2008. Plant nutrient-acquisition strategies change with soil age. Trends in Ecology and Evolution 23:95–103.</w:t>
      </w:r>
    </w:p>
    <w:p w14:paraId="7F6F6E53"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Mattson, D. A., and W. J. Herms. 1992. The Dilemma of Plants: To Grow or Defend. The Quarterly Review of Biology 67:283–335.</w:t>
      </w:r>
    </w:p>
    <w:p w14:paraId="70E87410"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Pacala, S. W., and M. Rees. 1998. Models suggesting field experiments to test two hypotheses explaining successional diversity. The American naturalist 152:729–737.</w:t>
      </w:r>
    </w:p>
    <w:p w14:paraId="20B98B37"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Passarge, J., S. Hol, M. Escher, and J. Huisman. 2006. Competition for nutrients and light: Stable coexistence, alternative stable states, or competitive exclusion? Ecological Monographs 76:57–72.</w:t>
      </w:r>
    </w:p>
    <w:p w14:paraId="091E8B22"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Suding, K. N., S. L. Collins, L. Gough, C. Clark, E. E. Cleland, K. L. Gross, D. G. Milchunas, and S. Pennings. 2005. Functional- and abundance-based mechanisms explain diversity loss due to N fertilization. Proceedings of the National Academy of Sciences of the United States of America 102:4387–4392.</w:t>
      </w:r>
    </w:p>
    <w:p w14:paraId="73CC5C22"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Tilman, D. 1994. Competition and Biodiversity in Spatially Structured Habitats. Ecology 75:2–16.</w:t>
      </w:r>
    </w:p>
    <w:p w14:paraId="01F77AD1"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Tilman, D. 2004. Niche tradeoffs, neutrality, and community structure: a stochastic theory of resource competition, invasion, and community assembly. Proceedings of the National Academy of Sciences of the United States of America 101:10854–61.</w:t>
      </w:r>
    </w:p>
    <w:p w14:paraId="0E2F5E26"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szCs w:val="24"/>
        </w:rPr>
      </w:pPr>
      <w:r w:rsidRPr="00A1182F">
        <w:rPr>
          <w:rFonts w:ascii="Arial" w:hAnsi="Arial" w:cs="Arial"/>
          <w:noProof/>
          <w:szCs w:val="24"/>
        </w:rPr>
        <w:t>Tilman, G. D. 1984. Plant Dominance Along an Experimental Nutrient Gradient. Ecology 65:1445–1453.</w:t>
      </w:r>
    </w:p>
    <w:p w14:paraId="4A3B9074" w14:textId="77777777" w:rsidR="00A1182F" w:rsidRPr="00A1182F" w:rsidRDefault="00A1182F" w:rsidP="00A1182F">
      <w:pPr>
        <w:widowControl w:val="0"/>
        <w:autoSpaceDE w:val="0"/>
        <w:autoSpaceDN w:val="0"/>
        <w:adjustRightInd w:val="0"/>
        <w:spacing w:line="240" w:lineRule="auto"/>
        <w:ind w:left="480" w:hanging="480"/>
        <w:rPr>
          <w:rFonts w:ascii="Arial" w:hAnsi="Arial" w:cs="Arial"/>
          <w:noProof/>
        </w:rPr>
      </w:pPr>
      <w:r w:rsidRPr="00A1182F">
        <w:rPr>
          <w:rFonts w:ascii="Arial" w:hAnsi="Arial" w:cs="Arial"/>
          <w:noProof/>
          <w:szCs w:val="24"/>
        </w:rPr>
        <w:t>Wright, I. J., P. B. Reich, M. Westoby, D. D. Ackerly, Z. Baruch, F. Bongers, J. Cavender-Bares, T. Chapin, J. H. C. Cornellssen, M. Diemer, J. Flexas, E. Garnier, P. K. Groom, J. Gulias, K. Hikosaka, B. B. Lamont, T. Lee, W. Lee, C. Lusk, J. J. Midgley, M. L. Navas, Ü. Niinemets, J. Oleksyn, H. Osada, H. Poorter, P. Pool, L. Prior, V. I. Pyankov, C. Roumet, S. C. Thomas, M. G. Tjoelker, E. J. Veneklaas, and R. Villar. 2004. The worldwide leaf economics spectrum. Nature 428:821–827.</w:t>
      </w:r>
    </w:p>
    <w:p w14:paraId="0070F2A3" w14:textId="416DCD3B" w:rsidR="00E37A35" w:rsidRPr="00B7687C" w:rsidRDefault="00B7687C" w:rsidP="00B7687C">
      <w:pPr>
        <w:rPr>
          <w:rFonts w:ascii="Arial" w:hAnsi="Arial" w:cs="Arial"/>
          <w:bCs/>
        </w:rPr>
      </w:pPr>
      <w:r>
        <w:rPr>
          <w:rFonts w:ascii="Arial" w:hAnsi="Arial" w:cs="Arial"/>
          <w:bCs/>
        </w:rPr>
        <w:fldChar w:fldCharType="end"/>
      </w:r>
    </w:p>
    <w:sectPr w:rsidR="00E37A35" w:rsidRPr="00B768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van batzer" w:date="2020-07-15T16:01:00Z" w:initials="eb">
    <w:p w14:paraId="261D4A29" w14:textId="229EDC16" w:rsidR="00B35751" w:rsidRDefault="00B35751">
      <w:pPr>
        <w:pStyle w:val="CommentText"/>
      </w:pPr>
      <w:r>
        <w:rPr>
          <w:rStyle w:val="CommentReference"/>
        </w:rPr>
        <w:annotationRef/>
      </w:r>
      <w:r>
        <w:t xml:space="preserve">Add note about how </w:t>
      </w:r>
      <w:r w:rsidR="00F46F2F">
        <w:t>to filter based on abundance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1D4A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9A6C4" w16cex:dateUtc="2020-07-15T2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1D4A29" w16cid:durableId="22B9A6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E5B38" w14:textId="77777777" w:rsidR="00C20751" w:rsidRDefault="00C20751" w:rsidP="00D253DD">
      <w:pPr>
        <w:spacing w:after="0" w:line="240" w:lineRule="auto"/>
      </w:pPr>
      <w:r>
        <w:separator/>
      </w:r>
    </w:p>
  </w:endnote>
  <w:endnote w:type="continuationSeparator" w:id="0">
    <w:p w14:paraId="4283551E" w14:textId="77777777" w:rsidR="00C20751" w:rsidRDefault="00C20751" w:rsidP="00D25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50F6D" w14:textId="77777777" w:rsidR="00C20751" w:rsidRDefault="00C20751" w:rsidP="00D253DD">
      <w:pPr>
        <w:spacing w:after="0" w:line="240" w:lineRule="auto"/>
      </w:pPr>
      <w:r>
        <w:separator/>
      </w:r>
    </w:p>
  </w:footnote>
  <w:footnote w:type="continuationSeparator" w:id="0">
    <w:p w14:paraId="2F160DD2" w14:textId="77777777" w:rsidR="00C20751" w:rsidRDefault="00C20751" w:rsidP="00D25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13DA8"/>
    <w:multiLevelType w:val="hybridMultilevel"/>
    <w:tmpl w:val="7F382CDA"/>
    <w:lvl w:ilvl="0" w:tplc="625AA64E">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142C7"/>
    <w:multiLevelType w:val="hybridMultilevel"/>
    <w:tmpl w:val="042EBD04"/>
    <w:lvl w:ilvl="0" w:tplc="870C802E">
      <w:numFmt w:val="bullet"/>
      <w:lvlText w:val="-"/>
      <w:lvlJc w:val="left"/>
      <w:pPr>
        <w:ind w:left="720" w:hanging="360"/>
      </w:pPr>
      <w:rPr>
        <w:rFonts w:ascii="Arial" w:eastAsiaTheme="minorHAnsi" w:hAnsi="Arial"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03231"/>
    <w:multiLevelType w:val="hybridMultilevel"/>
    <w:tmpl w:val="39664BFA"/>
    <w:lvl w:ilvl="0" w:tplc="FB0A5A78">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8E30C0"/>
    <w:multiLevelType w:val="hybridMultilevel"/>
    <w:tmpl w:val="648CE3D6"/>
    <w:lvl w:ilvl="0" w:tplc="3CAAC1E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64654"/>
    <w:multiLevelType w:val="hybridMultilevel"/>
    <w:tmpl w:val="AC1AFE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FB84F27"/>
    <w:multiLevelType w:val="hybridMultilevel"/>
    <w:tmpl w:val="8E200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an batzer">
    <w15:presenceInfo w15:providerId="Windows Live" w15:userId="268947ab2c8a44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21"/>
    <w:rsid w:val="00000EE5"/>
    <w:rsid w:val="000047D9"/>
    <w:rsid w:val="00010A5E"/>
    <w:rsid w:val="0001114E"/>
    <w:rsid w:val="00014588"/>
    <w:rsid w:val="00014F1D"/>
    <w:rsid w:val="000202B3"/>
    <w:rsid w:val="00022761"/>
    <w:rsid w:val="00022890"/>
    <w:rsid w:val="00024987"/>
    <w:rsid w:val="00027F3A"/>
    <w:rsid w:val="00033C88"/>
    <w:rsid w:val="00033D5C"/>
    <w:rsid w:val="00036BAD"/>
    <w:rsid w:val="00041177"/>
    <w:rsid w:val="000472B9"/>
    <w:rsid w:val="00051869"/>
    <w:rsid w:val="0005308C"/>
    <w:rsid w:val="00056516"/>
    <w:rsid w:val="00063FD5"/>
    <w:rsid w:val="00074B53"/>
    <w:rsid w:val="000773F8"/>
    <w:rsid w:val="000778D8"/>
    <w:rsid w:val="00082EEB"/>
    <w:rsid w:val="00084C54"/>
    <w:rsid w:val="00085AD1"/>
    <w:rsid w:val="00087492"/>
    <w:rsid w:val="00093E8E"/>
    <w:rsid w:val="000943D7"/>
    <w:rsid w:val="000A00A2"/>
    <w:rsid w:val="000A094D"/>
    <w:rsid w:val="000A2653"/>
    <w:rsid w:val="000A2769"/>
    <w:rsid w:val="000A338A"/>
    <w:rsid w:val="000A3976"/>
    <w:rsid w:val="000A48B6"/>
    <w:rsid w:val="000B0469"/>
    <w:rsid w:val="000B656A"/>
    <w:rsid w:val="000B6936"/>
    <w:rsid w:val="000B7484"/>
    <w:rsid w:val="000C1A95"/>
    <w:rsid w:val="000C367D"/>
    <w:rsid w:val="000C463D"/>
    <w:rsid w:val="000C75AC"/>
    <w:rsid w:val="000D0932"/>
    <w:rsid w:val="000D1D59"/>
    <w:rsid w:val="000D31B5"/>
    <w:rsid w:val="000D4396"/>
    <w:rsid w:val="000E0FCC"/>
    <w:rsid w:val="000F04B7"/>
    <w:rsid w:val="000F0630"/>
    <w:rsid w:val="000F4B98"/>
    <w:rsid w:val="000F6B7E"/>
    <w:rsid w:val="00100A81"/>
    <w:rsid w:val="00101432"/>
    <w:rsid w:val="00102BB1"/>
    <w:rsid w:val="00105150"/>
    <w:rsid w:val="001103A2"/>
    <w:rsid w:val="00110EF7"/>
    <w:rsid w:val="001110A3"/>
    <w:rsid w:val="00111A40"/>
    <w:rsid w:val="001167AB"/>
    <w:rsid w:val="00117E5E"/>
    <w:rsid w:val="00120CA8"/>
    <w:rsid w:val="00121B35"/>
    <w:rsid w:val="001227C5"/>
    <w:rsid w:val="00130588"/>
    <w:rsid w:val="00133CCE"/>
    <w:rsid w:val="001361E1"/>
    <w:rsid w:val="00141EA9"/>
    <w:rsid w:val="001476F3"/>
    <w:rsid w:val="00151718"/>
    <w:rsid w:val="00152B6D"/>
    <w:rsid w:val="00153AC2"/>
    <w:rsid w:val="00160F6F"/>
    <w:rsid w:val="00161567"/>
    <w:rsid w:val="0016419F"/>
    <w:rsid w:val="00177B10"/>
    <w:rsid w:val="00180676"/>
    <w:rsid w:val="001811E4"/>
    <w:rsid w:val="001816B3"/>
    <w:rsid w:val="00183192"/>
    <w:rsid w:val="001853DA"/>
    <w:rsid w:val="00190CCF"/>
    <w:rsid w:val="00192170"/>
    <w:rsid w:val="00193437"/>
    <w:rsid w:val="0019467D"/>
    <w:rsid w:val="00196537"/>
    <w:rsid w:val="001A0100"/>
    <w:rsid w:val="001A0448"/>
    <w:rsid w:val="001A12D1"/>
    <w:rsid w:val="001B0D07"/>
    <w:rsid w:val="001B27B0"/>
    <w:rsid w:val="001B45BE"/>
    <w:rsid w:val="001B582A"/>
    <w:rsid w:val="001B64D2"/>
    <w:rsid w:val="001B69B5"/>
    <w:rsid w:val="001C5F68"/>
    <w:rsid w:val="001C62B6"/>
    <w:rsid w:val="001D376A"/>
    <w:rsid w:val="001D414C"/>
    <w:rsid w:val="001D61A0"/>
    <w:rsid w:val="001E0B91"/>
    <w:rsid w:val="001E190D"/>
    <w:rsid w:val="001F4702"/>
    <w:rsid w:val="001F5C10"/>
    <w:rsid w:val="001F72E1"/>
    <w:rsid w:val="00201D49"/>
    <w:rsid w:val="00207162"/>
    <w:rsid w:val="00207B4A"/>
    <w:rsid w:val="0021309B"/>
    <w:rsid w:val="0021574F"/>
    <w:rsid w:val="00216002"/>
    <w:rsid w:val="0021600C"/>
    <w:rsid w:val="00216F13"/>
    <w:rsid w:val="00216FA1"/>
    <w:rsid w:val="002200A4"/>
    <w:rsid w:val="002208C5"/>
    <w:rsid w:val="002212AE"/>
    <w:rsid w:val="002261C2"/>
    <w:rsid w:val="00226D34"/>
    <w:rsid w:val="00226DDB"/>
    <w:rsid w:val="002277B5"/>
    <w:rsid w:val="00232EED"/>
    <w:rsid w:val="002360D5"/>
    <w:rsid w:val="002368B4"/>
    <w:rsid w:val="0023694C"/>
    <w:rsid w:val="00241FBC"/>
    <w:rsid w:val="00247520"/>
    <w:rsid w:val="0025067B"/>
    <w:rsid w:val="00250A04"/>
    <w:rsid w:val="002548AC"/>
    <w:rsid w:val="00254B9A"/>
    <w:rsid w:val="00254C06"/>
    <w:rsid w:val="002559EA"/>
    <w:rsid w:val="00257821"/>
    <w:rsid w:val="00260CBE"/>
    <w:rsid w:val="00264848"/>
    <w:rsid w:val="002648A7"/>
    <w:rsid w:val="002708BE"/>
    <w:rsid w:val="002744D0"/>
    <w:rsid w:val="002747E4"/>
    <w:rsid w:val="0027748D"/>
    <w:rsid w:val="00285DAA"/>
    <w:rsid w:val="002937A1"/>
    <w:rsid w:val="0029643C"/>
    <w:rsid w:val="00296F86"/>
    <w:rsid w:val="002A011F"/>
    <w:rsid w:val="002A10C5"/>
    <w:rsid w:val="002A3F75"/>
    <w:rsid w:val="002A768D"/>
    <w:rsid w:val="002B066D"/>
    <w:rsid w:val="002B176B"/>
    <w:rsid w:val="002B409E"/>
    <w:rsid w:val="002B7871"/>
    <w:rsid w:val="002B7DA2"/>
    <w:rsid w:val="002C7699"/>
    <w:rsid w:val="002D0D4F"/>
    <w:rsid w:val="002D10C1"/>
    <w:rsid w:val="002D3D21"/>
    <w:rsid w:val="002D403D"/>
    <w:rsid w:val="002D53FC"/>
    <w:rsid w:val="002D5D5C"/>
    <w:rsid w:val="002D786A"/>
    <w:rsid w:val="002E14AC"/>
    <w:rsid w:val="002E1C51"/>
    <w:rsid w:val="002E2614"/>
    <w:rsid w:val="002E31C6"/>
    <w:rsid w:val="002E3E7B"/>
    <w:rsid w:val="002E6DB1"/>
    <w:rsid w:val="002F0044"/>
    <w:rsid w:val="002F216E"/>
    <w:rsid w:val="002F449C"/>
    <w:rsid w:val="002F4677"/>
    <w:rsid w:val="002F4689"/>
    <w:rsid w:val="002F472D"/>
    <w:rsid w:val="002F4ADF"/>
    <w:rsid w:val="002F62EB"/>
    <w:rsid w:val="00303E7D"/>
    <w:rsid w:val="003045F4"/>
    <w:rsid w:val="00307586"/>
    <w:rsid w:val="00307621"/>
    <w:rsid w:val="00313AFE"/>
    <w:rsid w:val="00320265"/>
    <w:rsid w:val="00321871"/>
    <w:rsid w:val="0032386F"/>
    <w:rsid w:val="00324E82"/>
    <w:rsid w:val="003258C2"/>
    <w:rsid w:val="003368A9"/>
    <w:rsid w:val="00336974"/>
    <w:rsid w:val="00337F21"/>
    <w:rsid w:val="00340589"/>
    <w:rsid w:val="00340BD9"/>
    <w:rsid w:val="00344590"/>
    <w:rsid w:val="00347932"/>
    <w:rsid w:val="00351E73"/>
    <w:rsid w:val="00354D6A"/>
    <w:rsid w:val="00356F57"/>
    <w:rsid w:val="003616DD"/>
    <w:rsid w:val="00362E72"/>
    <w:rsid w:val="003630FA"/>
    <w:rsid w:val="0036321B"/>
    <w:rsid w:val="0036597A"/>
    <w:rsid w:val="00370117"/>
    <w:rsid w:val="003701E2"/>
    <w:rsid w:val="0037021B"/>
    <w:rsid w:val="003704BB"/>
    <w:rsid w:val="00370DBD"/>
    <w:rsid w:val="0037159C"/>
    <w:rsid w:val="00373FB8"/>
    <w:rsid w:val="00376310"/>
    <w:rsid w:val="00377595"/>
    <w:rsid w:val="003775BD"/>
    <w:rsid w:val="00384296"/>
    <w:rsid w:val="0038775E"/>
    <w:rsid w:val="003879EF"/>
    <w:rsid w:val="003934BE"/>
    <w:rsid w:val="00394EB0"/>
    <w:rsid w:val="00396A24"/>
    <w:rsid w:val="003A01E0"/>
    <w:rsid w:val="003A174E"/>
    <w:rsid w:val="003A22A5"/>
    <w:rsid w:val="003A4463"/>
    <w:rsid w:val="003A5788"/>
    <w:rsid w:val="003B013C"/>
    <w:rsid w:val="003B22B2"/>
    <w:rsid w:val="003B2CD7"/>
    <w:rsid w:val="003B5F58"/>
    <w:rsid w:val="003B7E58"/>
    <w:rsid w:val="003C1674"/>
    <w:rsid w:val="003C718B"/>
    <w:rsid w:val="003D2398"/>
    <w:rsid w:val="003D28AD"/>
    <w:rsid w:val="003D29CE"/>
    <w:rsid w:val="003D3739"/>
    <w:rsid w:val="003D5184"/>
    <w:rsid w:val="003D56EE"/>
    <w:rsid w:val="003D6478"/>
    <w:rsid w:val="003E002D"/>
    <w:rsid w:val="003F21C3"/>
    <w:rsid w:val="003F22B7"/>
    <w:rsid w:val="003F3272"/>
    <w:rsid w:val="003F6F1A"/>
    <w:rsid w:val="00400D94"/>
    <w:rsid w:val="00401455"/>
    <w:rsid w:val="004029C4"/>
    <w:rsid w:val="00410E07"/>
    <w:rsid w:val="004127E9"/>
    <w:rsid w:val="004137CA"/>
    <w:rsid w:val="00416384"/>
    <w:rsid w:val="00417EBD"/>
    <w:rsid w:val="0042082A"/>
    <w:rsid w:val="004217D8"/>
    <w:rsid w:val="00423913"/>
    <w:rsid w:val="004259AA"/>
    <w:rsid w:val="004271E9"/>
    <w:rsid w:val="00427EAE"/>
    <w:rsid w:val="00435ECD"/>
    <w:rsid w:val="00441350"/>
    <w:rsid w:val="0044588F"/>
    <w:rsid w:val="00451943"/>
    <w:rsid w:val="00451B1D"/>
    <w:rsid w:val="00452F72"/>
    <w:rsid w:val="004556B1"/>
    <w:rsid w:val="00460616"/>
    <w:rsid w:val="00461829"/>
    <w:rsid w:val="0046187B"/>
    <w:rsid w:val="00463DFE"/>
    <w:rsid w:val="00466760"/>
    <w:rsid w:val="00472D99"/>
    <w:rsid w:val="00486921"/>
    <w:rsid w:val="0048706F"/>
    <w:rsid w:val="00487487"/>
    <w:rsid w:val="00491160"/>
    <w:rsid w:val="0049192B"/>
    <w:rsid w:val="00491E89"/>
    <w:rsid w:val="004927B1"/>
    <w:rsid w:val="00493680"/>
    <w:rsid w:val="004965E8"/>
    <w:rsid w:val="004A11E0"/>
    <w:rsid w:val="004A48EC"/>
    <w:rsid w:val="004A5532"/>
    <w:rsid w:val="004A5B3D"/>
    <w:rsid w:val="004A7148"/>
    <w:rsid w:val="004A78D6"/>
    <w:rsid w:val="004B043C"/>
    <w:rsid w:val="004B44E0"/>
    <w:rsid w:val="004B6B5B"/>
    <w:rsid w:val="004B7564"/>
    <w:rsid w:val="004B7934"/>
    <w:rsid w:val="004C47A3"/>
    <w:rsid w:val="004D49D7"/>
    <w:rsid w:val="004E3380"/>
    <w:rsid w:val="004F1167"/>
    <w:rsid w:val="004F2018"/>
    <w:rsid w:val="004F5196"/>
    <w:rsid w:val="004F5216"/>
    <w:rsid w:val="004F7DB3"/>
    <w:rsid w:val="00500004"/>
    <w:rsid w:val="00500611"/>
    <w:rsid w:val="00501EC3"/>
    <w:rsid w:val="00502835"/>
    <w:rsid w:val="00503275"/>
    <w:rsid w:val="0050512D"/>
    <w:rsid w:val="005059BA"/>
    <w:rsid w:val="00510808"/>
    <w:rsid w:val="00512D75"/>
    <w:rsid w:val="005134FA"/>
    <w:rsid w:val="00520108"/>
    <w:rsid w:val="00522057"/>
    <w:rsid w:val="00522F21"/>
    <w:rsid w:val="005231C5"/>
    <w:rsid w:val="00527DA6"/>
    <w:rsid w:val="00531E4A"/>
    <w:rsid w:val="005357C8"/>
    <w:rsid w:val="005359D3"/>
    <w:rsid w:val="00536BD2"/>
    <w:rsid w:val="00541C7C"/>
    <w:rsid w:val="00546CA2"/>
    <w:rsid w:val="0055069A"/>
    <w:rsid w:val="0055376C"/>
    <w:rsid w:val="00554D0A"/>
    <w:rsid w:val="005568B4"/>
    <w:rsid w:val="00556B1D"/>
    <w:rsid w:val="00556DFB"/>
    <w:rsid w:val="00561012"/>
    <w:rsid w:val="0056197F"/>
    <w:rsid w:val="00571015"/>
    <w:rsid w:val="00574CB9"/>
    <w:rsid w:val="00575228"/>
    <w:rsid w:val="00575858"/>
    <w:rsid w:val="00576E84"/>
    <w:rsid w:val="0058457B"/>
    <w:rsid w:val="00585864"/>
    <w:rsid w:val="00585E30"/>
    <w:rsid w:val="00587212"/>
    <w:rsid w:val="005876CC"/>
    <w:rsid w:val="00587E49"/>
    <w:rsid w:val="005905E5"/>
    <w:rsid w:val="005906CF"/>
    <w:rsid w:val="0059081E"/>
    <w:rsid w:val="00591EC5"/>
    <w:rsid w:val="00593DC9"/>
    <w:rsid w:val="005941AE"/>
    <w:rsid w:val="00594F24"/>
    <w:rsid w:val="005A045B"/>
    <w:rsid w:val="005A10CE"/>
    <w:rsid w:val="005A1F45"/>
    <w:rsid w:val="005A493E"/>
    <w:rsid w:val="005A4CF3"/>
    <w:rsid w:val="005B1480"/>
    <w:rsid w:val="005B17D7"/>
    <w:rsid w:val="005B41FA"/>
    <w:rsid w:val="005C15EB"/>
    <w:rsid w:val="005C1FF9"/>
    <w:rsid w:val="005C29D2"/>
    <w:rsid w:val="005C3990"/>
    <w:rsid w:val="005D032E"/>
    <w:rsid w:val="005D1827"/>
    <w:rsid w:val="005D1EC0"/>
    <w:rsid w:val="005D2058"/>
    <w:rsid w:val="005D233D"/>
    <w:rsid w:val="005D6743"/>
    <w:rsid w:val="005D7D0A"/>
    <w:rsid w:val="005E0582"/>
    <w:rsid w:val="005E1086"/>
    <w:rsid w:val="005E35A5"/>
    <w:rsid w:val="005E5412"/>
    <w:rsid w:val="005E65A5"/>
    <w:rsid w:val="005E7372"/>
    <w:rsid w:val="005F3FB6"/>
    <w:rsid w:val="005F5948"/>
    <w:rsid w:val="005F66E7"/>
    <w:rsid w:val="005F6EAD"/>
    <w:rsid w:val="005F7B09"/>
    <w:rsid w:val="00600AF4"/>
    <w:rsid w:val="00601532"/>
    <w:rsid w:val="00602114"/>
    <w:rsid w:val="00602C91"/>
    <w:rsid w:val="00606D73"/>
    <w:rsid w:val="00607437"/>
    <w:rsid w:val="00607D38"/>
    <w:rsid w:val="006110F9"/>
    <w:rsid w:val="00612853"/>
    <w:rsid w:val="006129A3"/>
    <w:rsid w:val="006163E7"/>
    <w:rsid w:val="0061644B"/>
    <w:rsid w:val="006214EE"/>
    <w:rsid w:val="00625A0C"/>
    <w:rsid w:val="006347B4"/>
    <w:rsid w:val="00636210"/>
    <w:rsid w:val="00640319"/>
    <w:rsid w:val="00640702"/>
    <w:rsid w:val="00643D83"/>
    <w:rsid w:val="00645956"/>
    <w:rsid w:val="00645F4D"/>
    <w:rsid w:val="00646824"/>
    <w:rsid w:val="00646A52"/>
    <w:rsid w:val="00647ABB"/>
    <w:rsid w:val="00650F11"/>
    <w:rsid w:val="00651EF1"/>
    <w:rsid w:val="00653A14"/>
    <w:rsid w:val="00654230"/>
    <w:rsid w:val="006549AE"/>
    <w:rsid w:val="006556F7"/>
    <w:rsid w:val="00656500"/>
    <w:rsid w:val="006575DB"/>
    <w:rsid w:val="00664F2F"/>
    <w:rsid w:val="006671A6"/>
    <w:rsid w:val="0066728C"/>
    <w:rsid w:val="0067106A"/>
    <w:rsid w:val="00671457"/>
    <w:rsid w:val="00673DD3"/>
    <w:rsid w:val="00680713"/>
    <w:rsid w:val="00685FAF"/>
    <w:rsid w:val="00690E36"/>
    <w:rsid w:val="00691900"/>
    <w:rsid w:val="00694220"/>
    <w:rsid w:val="006A0038"/>
    <w:rsid w:val="006A37BB"/>
    <w:rsid w:val="006A3DD0"/>
    <w:rsid w:val="006A58F9"/>
    <w:rsid w:val="006B02F9"/>
    <w:rsid w:val="006B7EE7"/>
    <w:rsid w:val="006C4C7D"/>
    <w:rsid w:val="006C651F"/>
    <w:rsid w:val="006C6D50"/>
    <w:rsid w:val="006D1630"/>
    <w:rsid w:val="006D3A8A"/>
    <w:rsid w:val="006D4E4F"/>
    <w:rsid w:val="006D55F6"/>
    <w:rsid w:val="006D623F"/>
    <w:rsid w:val="006D683D"/>
    <w:rsid w:val="006D722E"/>
    <w:rsid w:val="006E0557"/>
    <w:rsid w:val="006E3D6C"/>
    <w:rsid w:val="006E55D8"/>
    <w:rsid w:val="006F0B58"/>
    <w:rsid w:val="006F607C"/>
    <w:rsid w:val="00702222"/>
    <w:rsid w:val="00703826"/>
    <w:rsid w:val="00705017"/>
    <w:rsid w:val="007065DB"/>
    <w:rsid w:val="00706939"/>
    <w:rsid w:val="00712928"/>
    <w:rsid w:val="00713FE8"/>
    <w:rsid w:val="0071548A"/>
    <w:rsid w:val="00716D46"/>
    <w:rsid w:val="007202C6"/>
    <w:rsid w:val="00720AA0"/>
    <w:rsid w:val="00723637"/>
    <w:rsid w:val="00723EFF"/>
    <w:rsid w:val="0072569F"/>
    <w:rsid w:val="00725AAA"/>
    <w:rsid w:val="00726BF5"/>
    <w:rsid w:val="00731482"/>
    <w:rsid w:val="00731617"/>
    <w:rsid w:val="00732799"/>
    <w:rsid w:val="00735F0B"/>
    <w:rsid w:val="007364F6"/>
    <w:rsid w:val="00742182"/>
    <w:rsid w:val="00743477"/>
    <w:rsid w:val="00743E7F"/>
    <w:rsid w:val="00745979"/>
    <w:rsid w:val="00754F85"/>
    <w:rsid w:val="0076069F"/>
    <w:rsid w:val="00762874"/>
    <w:rsid w:val="00762DB9"/>
    <w:rsid w:val="00762DE7"/>
    <w:rsid w:val="00763402"/>
    <w:rsid w:val="00763604"/>
    <w:rsid w:val="007648EF"/>
    <w:rsid w:val="007708B6"/>
    <w:rsid w:val="00771916"/>
    <w:rsid w:val="00772487"/>
    <w:rsid w:val="007740A0"/>
    <w:rsid w:val="00774FFB"/>
    <w:rsid w:val="007776A7"/>
    <w:rsid w:val="00782C1C"/>
    <w:rsid w:val="00782C2C"/>
    <w:rsid w:val="007835D1"/>
    <w:rsid w:val="00785505"/>
    <w:rsid w:val="00787436"/>
    <w:rsid w:val="00787748"/>
    <w:rsid w:val="007912FB"/>
    <w:rsid w:val="00795405"/>
    <w:rsid w:val="00795EA2"/>
    <w:rsid w:val="00796922"/>
    <w:rsid w:val="007971FD"/>
    <w:rsid w:val="007A06C6"/>
    <w:rsid w:val="007A1E0A"/>
    <w:rsid w:val="007A2E03"/>
    <w:rsid w:val="007A324B"/>
    <w:rsid w:val="007B1FED"/>
    <w:rsid w:val="007B36D5"/>
    <w:rsid w:val="007B3F55"/>
    <w:rsid w:val="007B513E"/>
    <w:rsid w:val="007B56D6"/>
    <w:rsid w:val="007B6F79"/>
    <w:rsid w:val="007B7292"/>
    <w:rsid w:val="007C0B33"/>
    <w:rsid w:val="007C30A9"/>
    <w:rsid w:val="007C4B4F"/>
    <w:rsid w:val="007C72CA"/>
    <w:rsid w:val="007D000A"/>
    <w:rsid w:val="007D10E8"/>
    <w:rsid w:val="007D1A60"/>
    <w:rsid w:val="007D4AD5"/>
    <w:rsid w:val="007D6770"/>
    <w:rsid w:val="007E0363"/>
    <w:rsid w:val="007E055E"/>
    <w:rsid w:val="007E0BA5"/>
    <w:rsid w:val="007E0D97"/>
    <w:rsid w:val="007E209F"/>
    <w:rsid w:val="007E2D21"/>
    <w:rsid w:val="007E578F"/>
    <w:rsid w:val="007E72EB"/>
    <w:rsid w:val="007F0529"/>
    <w:rsid w:val="007F2B3F"/>
    <w:rsid w:val="007F378B"/>
    <w:rsid w:val="007F385E"/>
    <w:rsid w:val="007F479C"/>
    <w:rsid w:val="007F4E3F"/>
    <w:rsid w:val="007F511D"/>
    <w:rsid w:val="007F6283"/>
    <w:rsid w:val="00805C45"/>
    <w:rsid w:val="00806992"/>
    <w:rsid w:val="008100C1"/>
    <w:rsid w:val="00813753"/>
    <w:rsid w:val="00813F5B"/>
    <w:rsid w:val="0081497A"/>
    <w:rsid w:val="00814FA0"/>
    <w:rsid w:val="00816ED4"/>
    <w:rsid w:val="00825646"/>
    <w:rsid w:val="008259B9"/>
    <w:rsid w:val="00825FC4"/>
    <w:rsid w:val="008263D6"/>
    <w:rsid w:val="00830CBA"/>
    <w:rsid w:val="00837F9D"/>
    <w:rsid w:val="00845777"/>
    <w:rsid w:val="00851421"/>
    <w:rsid w:val="00853C9F"/>
    <w:rsid w:val="00854079"/>
    <w:rsid w:val="008541EE"/>
    <w:rsid w:val="008567A2"/>
    <w:rsid w:val="00856CA0"/>
    <w:rsid w:val="00861A04"/>
    <w:rsid w:val="008665FC"/>
    <w:rsid w:val="00867F50"/>
    <w:rsid w:val="008734FE"/>
    <w:rsid w:val="00874D00"/>
    <w:rsid w:val="00876057"/>
    <w:rsid w:val="00877298"/>
    <w:rsid w:val="00881B80"/>
    <w:rsid w:val="00882921"/>
    <w:rsid w:val="00884233"/>
    <w:rsid w:val="008858EA"/>
    <w:rsid w:val="00891A53"/>
    <w:rsid w:val="00893BC5"/>
    <w:rsid w:val="00894EED"/>
    <w:rsid w:val="0089537C"/>
    <w:rsid w:val="00895673"/>
    <w:rsid w:val="00895CBD"/>
    <w:rsid w:val="0089793B"/>
    <w:rsid w:val="008A0BAB"/>
    <w:rsid w:val="008A19BB"/>
    <w:rsid w:val="008A2082"/>
    <w:rsid w:val="008A54C8"/>
    <w:rsid w:val="008A73A0"/>
    <w:rsid w:val="008A74C3"/>
    <w:rsid w:val="008A7F33"/>
    <w:rsid w:val="008B05F9"/>
    <w:rsid w:val="008B1432"/>
    <w:rsid w:val="008B3E9D"/>
    <w:rsid w:val="008B4C50"/>
    <w:rsid w:val="008C0103"/>
    <w:rsid w:val="008C2CAD"/>
    <w:rsid w:val="008C3256"/>
    <w:rsid w:val="008C3F95"/>
    <w:rsid w:val="008C4C3C"/>
    <w:rsid w:val="008C5077"/>
    <w:rsid w:val="008C5E3F"/>
    <w:rsid w:val="008C65AE"/>
    <w:rsid w:val="008C7F43"/>
    <w:rsid w:val="008D0A1F"/>
    <w:rsid w:val="008D0A89"/>
    <w:rsid w:val="008D6C56"/>
    <w:rsid w:val="008E143C"/>
    <w:rsid w:val="008E1497"/>
    <w:rsid w:val="008E37A5"/>
    <w:rsid w:val="008E517C"/>
    <w:rsid w:val="008E60DD"/>
    <w:rsid w:val="008E61DE"/>
    <w:rsid w:val="008E767D"/>
    <w:rsid w:val="008F1E65"/>
    <w:rsid w:val="008F5AF4"/>
    <w:rsid w:val="0090549C"/>
    <w:rsid w:val="0091035E"/>
    <w:rsid w:val="009106E5"/>
    <w:rsid w:val="00912529"/>
    <w:rsid w:val="00914BCA"/>
    <w:rsid w:val="00915A74"/>
    <w:rsid w:val="00920A7D"/>
    <w:rsid w:val="0092111C"/>
    <w:rsid w:val="00921D5E"/>
    <w:rsid w:val="00924736"/>
    <w:rsid w:val="00925250"/>
    <w:rsid w:val="00926E88"/>
    <w:rsid w:val="009322B7"/>
    <w:rsid w:val="00934D82"/>
    <w:rsid w:val="00936A5F"/>
    <w:rsid w:val="00936DA1"/>
    <w:rsid w:val="009437DE"/>
    <w:rsid w:val="00944B96"/>
    <w:rsid w:val="00945227"/>
    <w:rsid w:val="00954863"/>
    <w:rsid w:val="00955D5C"/>
    <w:rsid w:val="009649A9"/>
    <w:rsid w:val="00964D5F"/>
    <w:rsid w:val="00971175"/>
    <w:rsid w:val="00971855"/>
    <w:rsid w:val="00972796"/>
    <w:rsid w:val="009728D9"/>
    <w:rsid w:val="00980144"/>
    <w:rsid w:val="00992287"/>
    <w:rsid w:val="009930A3"/>
    <w:rsid w:val="00995061"/>
    <w:rsid w:val="009A0038"/>
    <w:rsid w:val="009A00BD"/>
    <w:rsid w:val="009A0989"/>
    <w:rsid w:val="009A0FA7"/>
    <w:rsid w:val="009A1ACE"/>
    <w:rsid w:val="009A2BD9"/>
    <w:rsid w:val="009A530D"/>
    <w:rsid w:val="009A77FA"/>
    <w:rsid w:val="009B2111"/>
    <w:rsid w:val="009B42C1"/>
    <w:rsid w:val="009B6BAE"/>
    <w:rsid w:val="009C1412"/>
    <w:rsid w:val="009C1B2F"/>
    <w:rsid w:val="009C1D82"/>
    <w:rsid w:val="009C3317"/>
    <w:rsid w:val="009C4607"/>
    <w:rsid w:val="009C5A00"/>
    <w:rsid w:val="009C6206"/>
    <w:rsid w:val="009D18FB"/>
    <w:rsid w:val="009D391D"/>
    <w:rsid w:val="009D5479"/>
    <w:rsid w:val="009D6F55"/>
    <w:rsid w:val="009E7A12"/>
    <w:rsid w:val="009F264E"/>
    <w:rsid w:val="009F2764"/>
    <w:rsid w:val="009F40EF"/>
    <w:rsid w:val="009F4F0B"/>
    <w:rsid w:val="00A001D7"/>
    <w:rsid w:val="00A00E69"/>
    <w:rsid w:val="00A1182F"/>
    <w:rsid w:val="00A11D8C"/>
    <w:rsid w:val="00A129E1"/>
    <w:rsid w:val="00A13829"/>
    <w:rsid w:val="00A139B3"/>
    <w:rsid w:val="00A16F82"/>
    <w:rsid w:val="00A22314"/>
    <w:rsid w:val="00A23444"/>
    <w:rsid w:val="00A23CD5"/>
    <w:rsid w:val="00A24ADC"/>
    <w:rsid w:val="00A31212"/>
    <w:rsid w:val="00A31E3C"/>
    <w:rsid w:val="00A3542C"/>
    <w:rsid w:val="00A35972"/>
    <w:rsid w:val="00A37DC6"/>
    <w:rsid w:val="00A411A7"/>
    <w:rsid w:val="00A413F2"/>
    <w:rsid w:val="00A414DE"/>
    <w:rsid w:val="00A41F68"/>
    <w:rsid w:val="00A42E01"/>
    <w:rsid w:val="00A42E11"/>
    <w:rsid w:val="00A436CC"/>
    <w:rsid w:val="00A44CC4"/>
    <w:rsid w:val="00A46CDA"/>
    <w:rsid w:val="00A60401"/>
    <w:rsid w:val="00A6061D"/>
    <w:rsid w:val="00A62AAE"/>
    <w:rsid w:val="00A64686"/>
    <w:rsid w:val="00A64F19"/>
    <w:rsid w:val="00A675BB"/>
    <w:rsid w:val="00A67CD4"/>
    <w:rsid w:val="00A70329"/>
    <w:rsid w:val="00A72AEF"/>
    <w:rsid w:val="00A74381"/>
    <w:rsid w:val="00A755A5"/>
    <w:rsid w:val="00A75ED1"/>
    <w:rsid w:val="00A768D0"/>
    <w:rsid w:val="00A81C17"/>
    <w:rsid w:val="00A84322"/>
    <w:rsid w:val="00A85EE4"/>
    <w:rsid w:val="00A86D2C"/>
    <w:rsid w:val="00A90237"/>
    <w:rsid w:val="00A90C42"/>
    <w:rsid w:val="00A92245"/>
    <w:rsid w:val="00A926C6"/>
    <w:rsid w:val="00A95548"/>
    <w:rsid w:val="00A95D98"/>
    <w:rsid w:val="00A967C8"/>
    <w:rsid w:val="00AA2B2A"/>
    <w:rsid w:val="00AA6483"/>
    <w:rsid w:val="00AB04E3"/>
    <w:rsid w:val="00AB1B8F"/>
    <w:rsid w:val="00AB1F64"/>
    <w:rsid w:val="00AB3528"/>
    <w:rsid w:val="00AC2699"/>
    <w:rsid w:val="00AC5703"/>
    <w:rsid w:val="00AC5976"/>
    <w:rsid w:val="00AC6FF3"/>
    <w:rsid w:val="00AD0B11"/>
    <w:rsid w:val="00AD2D4B"/>
    <w:rsid w:val="00AD6449"/>
    <w:rsid w:val="00AE11A0"/>
    <w:rsid w:val="00AE5163"/>
    <w:rsid w:val="00AE63C5"/>
    <w:rsid w:val="00AE7B3D"/>
    <w:rsid w:val="00AF5415"/>
    <w:rsid w:val="00B03974"/>
    <w:rsid w:val="00B04604"/>
    <w:rsid w:val="00B0486B"/>
    <w:rsid w:val="00B04ED8"/>
    <w:rsid w:val="00B07A2A"/>
    <w:rsid w:val="00B24283"/>
    <w:rsid w:val="00B242F3"/>
    <w:rsid w:val="00B30374"/>
    <w:rsid w:val="00B332EA"/>
    <w:rsid w:val="00B339E6"/>
    <w:rsid w:val="00B3435B"/>
    <w:rsid w:val="00B35751"/>
    <w:rsid w:val="00B364F9"/>
    <w:rsid w:val="00B37ED4"/>
    <w:rsid w:val="00B37F2F"/>
    <w:rsid w:val="00B43DAD"/>
    <w:rsid w:val="00B46B13"/>
    <w:rsid w:val="00B537A5"/>
    <w:rsid w:val="00B540A2"/>
    <w:rsid w:val="00B542E8"/>
    <w:rsid w:val="00B54870"/>
    <w:rsid w:val="00B6192D"/>
    <w:rsid w:val="00B6227F"/>
    <w:rsid w:val="00B628DF"/>
    <w:rsid w:val="00B66B09"/>
    <w:rsid w:val="00B67192"/>
    <w:rsid w:val="00B67B81"/>
    <w:rsid w:val="00B72EED"/>
    <w:rsid w:val="00B7353B"/>
    <w:rsid w:val="00B75201"/>
    <w:rsid w:val="00B75CDE"/>
    <w:rsid w:val="00B7687C"/>
    <w:rsid w:val="00B91CEE"/>
    <w:rsid w:val="00B93E14"/>
    <w:rsid w:val="00B95216"/>
    <w:rsid w:val="00B95E88"/>
    <w:rsid w:val="00B962A5"/>
    <w:rsid w:val="00BA22D5"/>
    <w:rsid w:val="00BA36CE"/>
    <w:rsid w:val="00BA59E3"/>
    <w:rsid w:val="00BA6599"/>
    <w:rsid w:val="00BB4753"/>
    <w:rsid w:val="00BB4CB2"/>
    <w:rsid w:val="00BB6FE7"/>
    <w:rsid w:val="00BC2EBE"/>
    <w:rsid w:val="00BC3F06"/>
    <w:rsid w:val="00BD07BB"/>
    <w:rsid w:val="00BD12C5"/>
    <w:rsid w:val="00BD15AB"/>
    <w:rsid w:val="00BD171E"/>
    <w:rsid w:val="00BD4E19"/>
    <w:rsid w:val="00BD6936"/>
    <w:rsid w:val="00BD699F"/>
    <w:rsid w:val="00BD72BD"/>
    <w:rsid w:val="00BD782D"/>
    <w:rsid w:val="00BE0915"/>
    <w:rsid w:val="00BE1376"/>
    <w:rsid w:val="00BE327D"/>
    <w:rsid w:val="00BE32EE"/>
    <w:rsid w:val="00BE5AE1"/>
    <w:rsid w:val="00BE7528"/>
    <w:rsid w:val="00BE7AB2"/>
    <w:rsid w:val="00BF2B9A"/>
    <w:rsid w:val="00BF323F"/>
    <w:rsid w:val="00BF352D"/>
    <w:rsid w:val="00C00ED6"/>
    <w:rsid w:val="00C03812"/>
    <w:rsid w:val="00C049DA"/>
    <w:rsid w:val="00C04B5C"/>
    <w:rsid w:val="00C10EA3"/>
    <w:rsid w:val="00C122BE"/>
    <w:rsid w:val="00C140A1"/>
    <w:rsid w:val="00C143A2"/>
    <w:rsid w:val="00C16329"/>
    <w:rsid w:val="00C2037B"/>
    <w:rsid w:val="00C20751"/>
    <w:rsid w:val="00C2161E"/>
    <w:rsid w:val="00C25169"/>
    <w:rsid w:val="00C27FC9"/>
    <w:rsid w:val="00C31C09"/>
    <w:rsid w:val="00C3275A"/>
    <w:rsid w:val="00C32E55"/>
    <w:rsid w:val="00C338BA"/>
    <w:rsid w:val="00C36EF5"/>
    <w:rsid w:val="00C37E30"/>
    <w:rsid w:val="00C404C2"/>
    <w:rsid w:val="00C4294C"/>
    <w:rsid w:val="00C476DB"/>
    <w:rsid w:val="00C4775C"/>
    <w:rsid w:val="00C51D00"/>
    <w:rsid w:val="00C541A1"/>
    <w:rsid w:val="00C55510"/>
    <w:rsid w:val="00C5778F"/>
    <w:rsid w:val="00C65258"/>
    <w:rsid w:val="00C657EE"/>
    <w:rsid w:val="00C75355"/>
    <w:rsid w:val="00C75C5B"/>
    <w:rsid w:val="00C7714A"/>
    <w:rsid w:val="00C77444"/>
    <w:rsid w:val="00C811A4"/>
    <w:rsid w:val="00C82644"/>
    <w:rsid w:val="00C834B4"/>
    <w:rsid w:val="00C85569"/>
    <w:rsid w:val="00C86E24"/>
    <w:rsid w:val="00C9013A"/>
    <w:rsid w:val="00C9041F"/>
    <w:rsid w:val="00C92C83"/>
    <w:rsid w:val="00C93772"/>
    <w:rsid w:val="00CA16FE"/>
    <w:rsid w:val="00CA1B05"/>
    <w:rsid w:val="00CA4B43"/>
    <w:rsid w:val="00CA7D80"/>
    <w:rsid w:val="00CB0B56"/>
    <w:rsid w:val="00CB0B59"/>
    <w:rsid w:val="00CB108F"/>
    <w:rsid w:val="00CB21D7"/>
    <w:rsid w:val="00CB38FE"/>
    <w:rsid w:val="00CB5B80"/>
    <w:rsid w:val="00CB682C"/>
    <w:rsid w:val="00CC0F0D"/>
    <w:rsid w:val="00CC1F87"/>
    <w:rsid w:val="00CC246C"/>
    <w:rsid w:val="00CC3017"/>
    <w:rsid w:val="00CC6FC3"/>
    <w:rsid w:val="00CC72EF"/>
    <w:rsid w:val="00CC7F1F"/>
    <w:rsid w:val="00CD08C3"/>
    <w:rsid w:val="00CD5880"/>
    <w:rsid w:val="00CD76BD"/>
    <w:rsid w:val="00CE066B"/>
    <w:rsid w:val="00CE38AF"/>
    <w:rsid w:val="00CE5182"/>
    <w:rsid w:val="00CE59BD"/>
    <w:rsid w:val="00CE6B0E"/>
    <w:rsid w:val="00CF0798"/>
    <w:rsid w:val="00CF0B13"/>
    <w:rsid w:val="00CF2EBD"/>
    <w:rsid w:val="00CF44F3"/>
    <w:rsid w:val="00CF6646"/>
    <w:rsid w:val="00CF7AA0"/>
    <w:rsid w:val="00D00F8F"/>
    <w:rsid w:val="00D00F9C"/>
    <w:rsid w:val="00D01904"/>
    <w:rsid w:val="00D030AB"/>
    <w:rsid w:val="00D04B7A"/>
    <w:rsid w:val="00D05519"/>
    <w:rsid w:val="00D0588C"/>
    <w:rsid w:val="00D075B1"/>
    <w:rsid w:val="00D12BD0"/>
    <w:rsid w:val="00D136BC"/>
    <w:rsid w:val="00D13A7C"/>
    <w:rsid w:val="00D14EF8"/>
    <w:rsid w:val="00D2058F"/>
    <w:rsid w:val="00D20983"/>
    <w:rsid w:val="00D21A0E"/>
    <w:rsid w:val="00D22C19"/>
    <w:rsid w:val="00D22DB9"/>
    <w:rsid w:val="00D23E62"/>
    <w:rsid w:val="00D2432C"/>
    <w:rsid w:val="00D253DD"/>
    <w:rsid w:val="00D319D7"/>
    <w:rsid w:val="00D37673"/>
    <w:rsid w:val="00D37889"/>
    <w:rsid w:val="00D41A56"/>
    <w:rsid w:val="00D41B68"/>
    <w:rsid w:val="00D4476E"/>
    <w:rsid w:val="00D4602B"/>
    <w:rsid w:val="00D5019B"/>
    <w:rsid w:val="00D55E54"/>
    <w:rsid w:val="00D56F3C"/>
    <w:rsid w:val="00D63D09"/>
    <w:rsid w:val="00D651A1"/>
    <w:rsid w:val="00D654E8"/>
    <w:rsid w:val="00D666CB"/>
    <w:rsid w:val="00D67AD9"/>
    <w:rsid w:val="00D71C7A"/>
    <w:rsid w:val="00D73129"/>
    <w:rsid w:val="00D76A24"/>
    <w:rsid w:val="00D77532"/>
    <w:rsid w:val="00D81792"/>
    <w:rsid w:val="00D8255A"/>
    <w:rsid w:val="00D9032F"/>
    <w:rsid w:val="00D905E3"/>
    <w:rsid w:val="00D95146"/>
    <w:rsid w:val="00D95E08"/>
    <w:rsid w:val="00D96A24"/>
    <w:rsid w:val="00DA18A7"/>
    <w:rsid w:val="00DA6E28"/>
    <w:rsid w:val="00DB3940"/>
    <w:rsid w:val="00DB566D"/>
    <w:rsid w:val="00DB5B8B"/>
    <w:rsid w:val="00DB6533"/>
    <w:rsid w:val="00DB6B98"/>
    <w:rsid w:val="00DB6E5A"/>
    <w:rsid w:val="00DB6E94"/>
    <w:rsid w:val="00DC0BED"/>
    <w:rsid w:val="00DC216D"/>
    <w:rsid w:val="00DC3818"/>
    <w:rsid w:val="00DC3E9D"/>
    <w:rsid w:val="00DC504E"/>
    <w:rsid w:val="00DC50E6"/>
    <w:rsid w:val="00DC6D2D"/>
    <w:rsid w:val="00DD0C17"/>
    <w:rsid w:val="00DD362F"/>
    <w:rsid w:val="00DD3B76"/>
    <w:rsid w:val="00DD7E5B"/>
    <w:rsid w:val="00DE04CF"/>
    <w:rsid w:val="00DE0C21"/>
    <w:rsid w:val="00DE41EA"/>
    <w:rsid w:val="00DE5808"/>
    <w:rsid w:val="00DF299A"/>
    <w:rsid w:val="00DF35A1"/>
    <w:rsid w:val="00E0295E"/>
    <w:rsid w:val="00E02A28"/>
    <w:rsid w:val="00E03A76"/>
    <w:rsid w:val="00E0424E"/>
    <w:rsid w:val="00E15CFE"/>
    <w:rsid w:val="00E20419"/>
    <w:rsid w:val="00E2058A"/>
    <w:rsid w:val="00E21518"/>
    <w:rsid w:val="00E227E8"/>
    <w:rsid w:val="00E27A68"/>
    <w:rsid w:val="00E27D0A"/>
    <w:rsid w:val="00E307DE"/>
    <w:rsid w:val="00E3732C"/>
    <w:rsid w:val="00E37A35"/>
    <w:rsid w:val="00E45C93"/>
    <w:rsid w:val="00E47234"/>
    <w:rsid w:val="00E47EEB"/>
    <w:rsid w:val="00E53802"/>
    <w:rsid w:val="00E5571C"/>
    <w:rsid w:val="00E623ED"/>
    <w:rsid w:val="00E63ABE"/>
    <w:rsid w:val="00E645A4"/>
    <w:rsid w:val="00E66BD6"/>
    <w:rsid w:val="00E70552"/>
    <w:rsid w:val="00E70D66"/>
    <w:rsid w:val="00E72FD9"/>
    <w:rsid w:val="00E808CD"/>
    <w:rsid w:val="00E853F6"/>
    <w:rsid w:val="00E86CAE"/>
    <w:rsid w:val="00E871DC"/>
    <w:rsid w:val="00E90165"/>
    <w:rsid w:val="00E90D5C"/>
    <w:rsid w:val="00E9431D"/>
    <w:rsid w:val="00E974E7"/>
    <w:rsid w:val="00E97FEA"/>
    <w:rsid w:val="00EA019C"/>
    <w:rsid w:val="00EA1865"/>
    <w:rsid w:val="00EA25EC"/>
    <w:rsid w:val="00EA3CC8"/>
    <w:rsid w:val="00EA74DD"/>
    <w:rsid w:val="00EB3729"/>
    <w:rsid w:val="00EB442C"/>
    <w:rsid w:val="00EB627A"/>
    <w:rsid w:val="00EB7EF6"/>
    <w:rsid w:val="00EC14BC"/>
    <w:rsid w:val="00EC19E8"/>
    <w:rsid w:val="00EC2FD8"/>
    <w:rsid w:val="00EC4FCE"/>
    <w:rsid w:val="00EC5354"/>
    <w:rsid w:val="00EC71F4"/>
    <w:rsid w:val="00EC7CCF"/>
    <w:rsid w:val="00ED1879"/>
    <w:rsid w:val="00ED3A53"/>
    <w:rsid w:val="00ED3EAA"/>
    <w:rsid w:val="00ED490E"/>
    <w:rsid w:val="00ED66F8"/>
    <w:rsid w:val="00ED68C7"/>
    <w:rsid w:val="00EF0C9A"/>
    <w:rsid w:val="00EF0EB3"/>
    <w:rsid w:val="00EF0F9E"/>
    <w:rsid w:val="00EF297E"/>
    <w:rsid w:val="00EF3633"/>
    <w:rsid w:val="00EF3A47"/>
    <w:rsid w:val="00EF6427"/>
    <w:rsid w:val="00EF74C6"/>
    <w:rsid w:val="00F030CF"/>
    <w:rsid w:val="00F10C75"/>
    <w:rsid w:val="00F1346C"/>
    <w:rsid w:val="00F13D22"/>
    <w:rsid w:val="00F14A13"/>
    <w:rsid w:val="00F14FF9"/>
    <w:rsid w:val="00F16891"/>
    <w:rsid w:val="00F17E3E"/>
    <w:rsid w:val="00F2333C"/>
    <w:rsid w:val="00F24301"/>
    <w:rsid w:val="00F27185"/>
    <w:rsid w:val="00F273B8"/>
    <w:rsid w:val="00F3013C"/>
    <w:rsid w:val="00F30E1E"/>
    <w:rsid w:val="00F32EF8"/>
    <w:rsid w:val="00F34840"/>
    <w:rsid w:val="00F436F2"/>
    <w:rsid w:val="00F4536F"/>
    <w:rsid w:val="00F458E0"/>
    <w:rsid w:val="00F46F2F"/>
    <w:rsid w:val="00F57EE2"/>
    <w:rsid w:val="00F60820"/>
    <w:rsid w:val="00F60B2C"/>
    <w:rsid w:val="00F63531"/>
    <w:rsid w:val="00F71FB7"/>
    <w:rsid w:val="00F7245F"/>
    <w:rsid w:val="00F7315F"/>
    <w:rsid w:val="00F73397"/>
    <w:rsid w:val="00F8115E"/>
    <w:rsid w:val="00F83071"/>
    <w:rsid w:val="00F8487F"/>
    <w:rsid w:val="00F876C8"/>
    <w:rsid w:val="00F87D8B"/>
    <w:rsid w:val="00F92218"/>
    <w:rsid w:val="00F94B56"/>
    <w:rsid w:val="00F96AE2"/>
    <w:rsid w:val="00F96CB3"/>
    <w:rsid w:val="00F973D1"/>
    <w:rsid w:val="00FA0B28"/>
    <w:rsid w:val="00FA3365"/>
    <w:rsid w:val="00FA4E3A"/>
    <w:rsid w:val="00FA7EC9"/>
    <w:rsid w:val="00FB09F5"/>
    <w:rsid w:val="00FB1706"/>
    <w:rsid w:val="00FB1827"/>
    <w:rsid w:val="00FB1FB9"/>
    <w:rsid w:val="00FB28C7"/>
    <w:rsid w:val="00FB6A59"/>
    <w:rsid w:val="00FC306A"/>
    <w:rsid w:val="00FC4852"/>
    <w:rsid w:val="00FC506E"/>
    <w:rsid w:val="00FC7015"/>
    <w:rsid w:val="00FD0BA6"/>
    <w:rsid w:val="00FD11AD"/>
    <w:rsid w:val="00FD7449"/>
    <w:rsid w:val="00FD757D"/>
    <w:rsid w:val="00FE185A"/>
    <w:rsid w:val="00FF3BB5"/>
    <w:rsid w:val="00FF3BCE"/>
    <w:rsid w:val="00FF5368"/>
    <w:rsid w:val="00FF6455"/>
    <w:rsid w:val="00FF6715"/>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6608E"/>
  <w15:chartTrackingRefBased/>
  <w15:docId w15:val="{62A966D0-29D0-4D44-B3DC-6D1A77B0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21"/>
    <w:pPr>
      <w:ind w:left="720"/>
      <w:contextualSpacing/>
    </w:pPr>
  </w:style>
  <w:style w:type="paragraph" w:styleId="Header">
    <w:name w:val="header"/>
    <w:basedOn w:val="Normal"/>
    <w:link w:val="HeaderChar"/>
    <w:uiPriority w:val="99"/>
    <w:unhideWhenUsed/>
    <w:rsid w:val="00D25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3DD"/>
  </w:style>
  <w:style w:type="paragraph" w:styleId="Footer">
    <w:name w:val="footer"/>
    <w:basedOn w:val="Normal"/>
    <w:link w:val="FooterChar"/>
    <w:uiPriority w:val="99"/>
    <w:unhideWhenUsed/>
    <w:rsid w:val="00D25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3DD"/>
  </w:style>
  <w:style w:type="character" w:styleId="PlaceholderText">
    <w:name w:val="Placeholder Text"/>
    <w:basedOn w:val="DefaultParagraphFont"/>
    <w:uiPriority w:val="99"/>
    <w:semiHidden/>
    <w:rsid w:val="00B07A2A"/>
    <w:rPr>
      <w:color w:val="808080"/>
    </w:rPr>
  </w:style>
  <w:style w:type="character" w:styleId="CommentReference">
    <w:name w:val="annotation reference"/>
    <w:basedOn w:val="DefaultParagraphFont"/>
    <w:uiPriority w:val="99"/>
    <w:semiHidden/>
    <w:unhideWhenUsed/>
    <w:rsid w:val="00D56F3C"/>
    <w:rPr>
      <w:sz w:val="16"/>
      <w:szCs w:val="16"/>
    </w:rPr>
  </w:style>
  <w:style w:type="paragraph" w:styleId="CommentText">
    <w:name w:val="annotation text"/>
    <w:basedOn w:val="Normal"/>
    <w:link w:val="CommentTextChar"/>
    <w:uiPriority w:val="99"/>
    <w:semiHidden/>
    <w:unhideWhenUsed/>
    <w:rsid w:val="00D56F3C"/>
    <w:pPr>
      <w:spacing w:line="240" w:lineRule="auto"/>
    </w:pPr>
    <w:rPr>
      <w:sz w:val="20"/>
      <w:szCs w:val="20"/>
    </w:rPr>
  </w:style>
  <w:style w:type="character" w:customStyle="1" w:styleId="CommentTextChar">
    <w:name w:val="Comment Text Char"/>
    <w:basedOn w:val="DefaultParagraphFont"/>
    <w:link w:val="CommentText"/>
    <w:uiPriority w:val="99"/>
    <w:semiHidden/>
    <w:rsid w:val="00D56F3C"/>
    <w:rPr>
      <w:sz w:val="20"/>
      <w:szCs w:val="20"/>
    </w:rPr>
  </w:style>
  <w:style w:type="paragraph" w:styleId="CommentSubject">
    <w:name w:val="annotation subject"/>
    <w:basedOn w:val="CommentText"/>
    <w:next w:val="CommentText"/>
    <w:link w:val="CommentSubjectChar"/>
    <w:uiPriority w:val="99"/>
    <w:semiHidden/>
    <w:unhideWhenUsed/>
    <w:rsid w:val="00D56F3C"/>
    <w:rPr>
      <w:b/>
      <w:bCs/>
    </w:rPr>
  </w:style>
  <w:style w:type="character" w:customStyle="1" w:styleId="CommentSubjectChar">
    <w:name w:val="Comment Subject Char"/>
    <w:basedOn w:val="CommentTextChar"/>
    <w:link w:val="CommentSubject"/>
    <w:uiPriority w:val="99"/>
    <w:semiHidden/>
    <w:rsid w:val="00D56F3C"/>
    <w:rPr>
      <w:b/>
      <w:bCs/>
      <w:sz w:val="20"/>
      <w:szCs w:val="20"/>
    </w:rPr>
  </w:style>
  <w:style w:type="paragraph" w:styleId="BalloonText">
    <w:name w:val="Balloon Text"/>
    <w:basedOn w:val="Normal"/>
    <w:link w:val="BalloonTextChar"/>
    <w:uiPriority w:val="99"/>
    <w:semiHidden/>
    <w:unhideWhenUsed/>
    <w:rsid w:val="00D56F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F3C"/>
    <w:rPr>
      <w:rFonts w:ascii="Segoe UI" w:hAnsi="Segoe UI" w:cs="Segoe UI"/>
      <w:sz w:val="18"/>
      <w:szCs w:val="18"/>
    </w:rPr>
  </w:style>
  <w:style w:type="character" w:styleId="Hyperlink">
    <w:name w:val="Hyperlink"/>
    <w:basedOn w:val="DefaultParagraphFont"/>
    <w:uiPriority w:val="99"/>
    <w:unhideWhenUsed/>
    <w:rsid w:val="00E5571C"/>
    <w:rPr>
      <w:color w:val="0563C1" w:themeColor="hyperlink"/>
      <w:u w:val="single"/>
    </w:rPr>
  </w:style>
  <w:style w:type="character" w:styleId="UnresolvedMention">
    <w:name w:val="Unresolved Mention"/>
    <w:basedOn w:val="DefaultParagraphFont"/>
    <w:uiPriority w:val="99"/>
    <w:semiHidden/>
    <w:unhideWhenUsed/>
    <w:rsid w:val="00E55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nutnet.org/exp_protoco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6FA15-F14A-44E8-B096-1A4DF1DAD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12</Pages>
  <Words>15382</Words>
  <Characters>87684</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127</cp:revision>
  <dcterms:created xsi:type="dcterms:W3CDTF">2020-07-15T18:59:00Z</dcterms:created>
  <dcterms:modified xsi:type="dcterms:W3CDTF">2020-07-15T23:52:00Z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182513da-cfa4-3849-a9d1-afc45ac0d642</vt:lpwstr>
  </property>
  <property fmtid="{D5CDD505-2E9C-101B-9397-08002B2CF9AE}" pid="24" name="Mendeley Citation Style_1">
    <vt:lpwstr>http://www.zotero.org/styles/ecology</vt:lpwstr>
  </property>
</Properties>
</file>