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A10AD" w14:textId="41F1DA75" w:rsidR="00FA0B28" w:rsidRDefault="00FA0B28" w:rsidP="00FA0B28">
      <w:pPr>
        <w:rPr>
          <w:rFonts w:ascii="Arial" w:hAnsi="Arial" w:cs="Arial"/>
          <w:b/>
        </w:rPr>
      </w:pPr>
      <w:r w:rsidRPr="007C1027">
        <w:rPr>
          <w:rFonts w:ascii="Arial" w:hAnsi="Arial" w:cs="Arial"/>
          <w:b/>
        </w:rPr>
        <w:t>Introduction</w:t>
      </w:r>
    </w:p>
    <w:p w14:paraId="29D2EACA" w14:textId="1BBD8923" w:rsidR="00D20983" w:rsidRDefault="00BD171E" w:rsidP="00FA0B28">
      <w:pPr>
        <w:rPr>
          <w:rFonts w:ascii="Arial" w:hAnsi="Arial" w:cs="Arial"/>
          <w:bCs/>
        </w:rPr>
      </w:pPr>
      <w:r w:rsidRPr="00BD171E">
        <w:rPr>
          <w:rFonts w:ascii="Arial" w:hAnsi="Arial" w:cs="Arial"/>
          <w:bCs/>
        </w:rPr>
        <w:t xml:space="preserve">In </w:t>
      </w:r>
      <w:r>
        <w:rPr>
          <w:rFonts w:ascii="Arial" w:hAnsi="Arial" w:cs="Arial"/>
          <w:bCs/>
        </w:rPr>
        <w:t xml:space="preserve">terrestrial systems, coexistence among plant species </w:t>
      </w:r>
      <w:r w:rsidR="00A42E11">
        <w:rPr>
          <w:rFonts w:ascii="Arial" w:hAnsi="Arial" w:cs="Arial"/>
          <w:bCs/>
        </w:rPr>
        <w:t xml:space="preserve">is </w:t>
      </w:r>
      <w:r>
        <w:rPr>
          <w:rFonts w:ascii="Arial" w:hAnsi="Arial" w:cs="Arial"/>
          <w:bCs/>
        </w:rPr>
        <w:t>governed by competition for a shared set of limiting resources</w:t>
      </w:r>
      <w:r w:rsidR="00BD782D">
        <w:rPr>
          <w:rFonts w:ascii="Arial" w:hAnsi="Arial" w:cs="Arial"/>
          <w:bCs/>
        </w:rPr>
        <w:t xml:space="preserve">. </w:t>
      </w:r>
      <w:r w:rsidR="005E1086">
        <w:rPr>
          <w:rFonts w:ascii="Arial" w:hAnsi="Arial" w:cs="Arial"/>
          <w:bCs/>
        </w:rPr>
        <w:t xml:space="preserve">For stable coexistence </w:t>
      </w:r>
      <w:r w:rsidR="00BC2EBE">
        <w:rPr>
          <w:rFonts w:ascii="Arial" w:hAnsi="Arial" w:cs="Arial"/>
          <w:bCs/>
        </w:rPr>
        <w:t>to occur</w:t>
      </w:r>
      <w:r w:rsidR="005E1086">
        <w:rPr>
          <w:rFonts w:ascii="Arial" w:hAnsi="Arial" w:cs="Arial"/>
          <w:bCs/>
        </w:rPr>
        <w:t xml:space="preserve">, </w:t>
      </w:r>
      <w:r w:rsidR="001811E4">
        <w:rPr>
          <w:rFonts w:ascii="Arial" w:hAnsi="Arial" w:cs="Arial"/>
          <w:bCs/>
        </w:rPr>
        <w:t xml:space="preserve">niche theory </w:t>
      </w:r>
      <w:r w:rsidR="001476F3">
        <w:rPr>
          <w:rFonts w:ascii="Arial" w:hAnsi="Arial" w:cs="Arial"/>
          <w:bCs/>
        </w:rPr>
        <w:t>states</w:t>
      </w:r>
      <w:r w:rsidR="001811E4">
        <w:rPr>
          <w:rFonts w:ascii="Arial" w:hAnsi="Arial" w:cs="Arial"/>
          <w:bCs/>
        </w:rPr>
        <w:t xml:space="preserve"> that </w:t>
      </w:r>
      <w:r w:rsidR="00DF35A1">
        <w:rPr>
          <w:rFonts w:ascii="Arial" w:hAnsi="Arial" w:cs="Arial"/>
          <w:bCs/>
        </w:rPr>
        <w:t xml:space="preserve">trade-offs must exist between factors that </w:t>
      </w:r>
      <w:r w:rsidR="0004497D">
        <w:rPr>
          <w:rFonts w:ascii="Arial" w:hAnsi="Arial" w:cs="Arial"/>
          <w:bCs/>
        </w:rPr>
        <w:t>govern</w:t>
      </w:r>
      <w:r w:rsidR="00DF35A1">
        <w:rPr>
          <w:rFonts w:ascii="Arial" w:hAnsi="Arial" w:cs="Arial"/>
          <w:bCs/>
        </w:rPr>
        <w:t xml:space="preserve"> plant growth</w:t>
      </w:r>
      <w:r w:rsidR="008100C1">
        <w:rPr>
          <w:rFonts w:ascii="Arial" w:hAnsi="Arial" w:cs="Arial"/>
          <w:bCs/>
        </w:rPr>
        <w:t xml:space="preserve"> to prevent competitive exclusion</w:t>
      </w:r>
      <w:r w:rsidR="00CC7F1F">
        <w:rPr>
          <w:rFonts w:ascii="Arial" w:hAnsi="Arial" w:cs="Arial"/>
          <w:bCs/>
        </w:rPr>
        <w:t xml:space="preserve"> </w:t>
      </w:r>
      <w:r w:rsidR="00CC7F1F">
        <w:rPr>
          <w:rFonts w:ascii="Arial" w:hAnsi="Arial" w:cs="Arial"/>
          <w:bCs/>
        </w:rPr>
        <w:fldChar w:fldCharType="begin" w:fldLock="1"/>
      </w:r>
      <w:r w:rsidR="00CC7F1F">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sidR="00CC7F1F">
        <w:rPr>
          <w:rFonts w:ascii="Arial" w:hAnsi="Arial" w:cs="Arial"/>
          <w:bCs/>
        </w:rPr>
        <w:fldChar w:fldCharType="separate"/>
      </w:r>
      <w:r w:rsidR="00CC7F1F" w:rsidRPr="00CC7F1F">
        <w:rPr>
          <w:rFonts w:ascii="Arial" w:hAnsi="Arial" w:cs="Arial"/>
          <w:bCs/>
          <w:noProof/>
        </w:rPr>
        <w:t>(Hutchinson 1957)</w:t>
      </w:r>
      <w:r w:rsidR="00CC7F1F">
        <w:rPr>
          <w:rFonts w:ascii="Arial" w:hAnsi="Arial" w:cs="Arial"/>
          <w:bCs/>
        </w:rPr>
        <w:fldChar w:fldCharType="end"/>
      </w:r>
      <w:r w:rsidR="00C36EF5">
        <w:rPr>
          <w:rFonts w:ascii="Arial" w:hAnsi="Arial" w:cs="Arial"/>
          <w:bCs/>
        </w:rPr>
        <w:t>. As a result, i</w:t>
      </w:r>
      <w:r w:rsidR="00A42E11">
        <w:rPr>
          <w:rFonts w:ascii="Arial" w:hAnsi="Arial" w:cs="Arial"/>
          <w:bCs/>
        </w:rPr>
        <w:t xml:space="preserve">t is theorized that greater </w:t>
      </w:r>
      <w:r w:rsidR="00A42E11">
        <w:rPr>
          <w:rFonts w:ascii="Arial" w:hAnsi="Arial" w:cs="Arial"/>
          <w:bCs/>
          <w:i/>
          <w:iCs/>
        </w:rPr>
        <w:t>dimensionality</w:t>
      </w:r>
      <w:r w:rsidR="00A42E11">
        <w:rPr>
          <w:rFonts w:ascii="Arial" w:hAnsi="Arial" w:cs="Arial"/>
          <w:bCs/>
        </w:rPr>
        <w:t xml:space="preserve">, or the number of limiting </w:t>
      </w:r>
      <w:r w:rsidR="00DF35A1">
        <w:rPr>
          <w:rFonts w:ascii="Arial" w:hAnsi="Arial" w:cs="Arial"/>
          <w:bCs/>
        </w:rPr>
        <w:t xml:space="preserve">factors </w:t>
      </w:r>
      <w:r w:rsidR="00A42E11">
        <w:rPr>
          <w:rFonts w:ascii="Arial" w:hAnsi="Arial" w:cs="Arial"/>
          <w:bCs/>
        </w:rPr>
        <w:t xml:space="preserve">in a system, </w:t>
      </w:r>
      <w:r w:rsidR="008D6C56">
        <w:rPr>
          <w:rFonts w:ascii="Arial" w:hAnsi="Arial" w:cs="Arial"/>
          <w:bCs/>
        </w:rPr>
        <w:t>may confer more opportunities for these trade-offs to develop</w:t>
      </w:r>
      <w:r w:rsidR="00A1182F">
        <w:rPr>
          <w:rFonts w:ascii="Arial" w:hAnsi="Arial" w:cs="Arial"/>
          <w:bCs/>
        </w:rPr>
        <w:t xml:space="preserve"> </w:t>
      </w:r>
      <w:r w:rsidR="00A1182F">
        <w:rPr>
          <w:rFonts w:ascii="Arial" w:hAnsi="Arial" w:cs="Arial"/>
          <w:bCs/>
        </w:rPr>
        <w:fldChar w:fldCharType="begin" w:fldLock="1"/>
      </w:r>
      <w:r w:rsidR="00A1182F">
        <w:rPr>
          <w:rFonts w:ascii="Arial" w:hAnsi="Arial" w:cs="Arial"/>
          <w:bCs/>
        </w:rPr>
        <w:instrText>ADDIN CSL_CITATION {"citationItems":[{"id":"ITEM-1","itemData":{"DOI":"10.1073/pnas.0403458101","ISSN":"0027-8424","PMID":"15243158","abstract":"Stochastic niche theory resolves many of the differences between neutral theory and classical tradeoff-based niche theories of resource competition and community structure. In stochastic niche theory, invading species become established only if propagules can survive stochastic mortality while growing to maturity on the resources left unconsumed by established species. The theory makes three predictions about community structure. First, stochastic niche assembly creates communities in which species dominate approximately equally wide \"slices\" of the habitat's spatial heterogeneity. These niche widths generate realistic distributions of species relative abundances for which, contrary to neutral theory but consistent with numerous observations, there are strong correlations among species traits, species abundances, and environmental conditions. Second, slight decreases in resource levels are predicted to cause large decreases in the probability that a propagule would survive to be an adult. These decreases cause local diversity to be limited by the inhibitory effects of resource use by established species on the establishment (recruitment) of potential invaders. If resource pulses or disturbance allowed invaders to overcome this recruitment limitation, many more species could indefinitely coexist. Third, the low invasibility of high diversity communities is predicted to result not from diversity per se, but from the uniformly low levels of resources that occur in high-diversity communities created by stochastic competitive assembly. This prediction provides a potential solution to the invasion paradox, which is the tendency for highly diverse regions to be more heavily invaded.","author":[{"dropping-particle":"","family":"Tilman","given":"David","non-dropping-particle":"","parse-names":false,"suffix":""}],"container-title":"Proceedings of the National Academy of Sciences of the United States of America","id":"ITEM-1","issue":"30","issued":{"date-parts":[["2004","7","27"]]},"page":"10854-61","title":"Niche tradeoffs, neutrality, and community structure: a stochastic theory of resource competition, invasion, and community assembly.","type":"article-journal","volume":"101"},"uris":["http://www.mendeley.com/documents/?uuid=abe022b6-15bd-4b76-b950-72cb25f204aa"]}],"mendeley":{"formattedCitation":"(Tilman 2004)","plainTextFormattedCitation":"(Tilman 2004)"},"properties":{"noteIndex":0},"schema":"https://github.com/citation-style-language/schema/raw/master/csl-citation.json"}</w:instrText>
      </w:r>
      <w:r w:rsidR="00A1182F">
        <w:rPr>
          <w:rFonts w:ascii="Arial" w:hAnsi="Arial" w:cs="Arial"/>
          <w:bCs/>
        </w:rPr>
        <w:fldChar w:fldCharType="separate"/>
      </w:r>
      <w:r w:rsidR="00A1182F" w:rsidRPr="00A1182F">
        <w:rPr>
          <w:rFonts w:ascii="Arial" w:hAnsi="Arial" w:cs="Arial"/>
          <w:bCs/>
          <w:noProof/>
        </w:rPr>
        <w:t>(Tilman 2004)</w:t>
      </w:r>
      <w:r w:rsidR="00A1182F">
        <w:rPr>
          <w:rFonts w:ascii="Arial" w:hAnsi="Arial" w:cs="Arial"/>
          <w:bCs/>
        </w:rPr>
        <w:fldChar w:fldCharType="end"/>
      </w:r>
      <w:r w:rsidR="008D6C56">
        <w:rPr>
          <w:rFonts w:ascii="Arial" w:hAnsi="Arial" w:cs="Arial"/>
          <w:bCs/>
        </w:rPr>
        <w:t xml:space="preserve">. </w:t>
      </w:r>
    </w:p>
    <w:p w14:paraId="3731EAA6" w14:textId="1103BDA5" w:rsidR="0004497D" w:rsidRDefault="0004497D" w:rsidP="00FA0B28">
      <w:pPr>
        <w:rPr>
          <w:rFonts w:ascii="Arial" w:hAnsi="Arial" w:cs="Arial"/>
          <w:bCs/>
        </w:rPr>
      </w:pPr>
    </w:p>
    <w:p w14:paraId="578F2687" w14:textId="29C5DCBD" w:rsidR="0004497D" w:rsidRDefault="0004497D" w:rsidP="0004497D">
      <w:pPr>
        <w:tabs>
          <w:tab w:val="left" w:pos="5490"/>
        </w:tabs>
        <w:rPr>
          <w:rFonts w:ascii="Arial" w:hAnsi="Arial" w:cs="Arial"/>
          <w:bCs/>
        </w:rPr>
      </w:pPr>
    </w:p>
    <w:p w14:paraId="26B21461" w14:textId="77777777" w:rsidR="0004497D" w:rsidRPr="00A42E11" w:rsidRDefault="0004497D" w:rsidP="00FA0B28">
      <w:pPr>
        <w:rPr>
          <w:rFonts w:ascii="Arial" w:hAnsi="Arial" w:cs="Arial"/>
          <w:bCs/>
        </w:rPr>
      </w:pPr>
    </w:p>
    <w:p w14:paraId="1DFC8004" w14:textId="14EE0C87" w:rsidR="00417EBD" w:rsidRDefault="00F57EE2" w:rsidP="00FA0B28">
      <w:pPr>
        <w:rPr>
          <w:rFonts w:ascii="Arial" w:hAnsi="Arial" w:cs="Arial"/>
          <w:bCs/>
        </w:rPr>
      </w:pPr>
      <w:r>
        <w:rPr>
          <w:rFonts w:ascii="Arial" w:hAnsi="Arial" w:cs="Arial"/>
          <w:bCs/>
        </w:rPr>
        <w:t xml:space="preserve">The number and types of trade-offs present in plant systems has been the subject of considerable exploration. </w:t>
      </w:r>
      <w:r w:rsidR="00FF6455">
        <w:rPr>
          <w:rFonts w:ascii="Arial" w:hAnsi="Arial" w:cs="Arial"/>
          <w:bCs/>
        </w:rPr>
        <w:t>Plants are known to exhibit competition-colonization trade-offs</w:t>
      </w:r>
      <w:r w:rsidR="00A37DC6">
        <w:rPr>
          <w:rFonts w:ascii="Arial" w:hAnsi="Arial" w:cs="Arial"/>
          <w:bCs/>
        </w:rPr>
        <w:t xml:space="preserve"> </w:t>
      </w:r>
      <w:r w:rsidR="00A37DC6">
        <w:rPr>
          <w:rFonts w:ascii="Arial" w:hAnsi="Arial" w:cs="Arial"/>
          <w:bCs/>
        </w:rPr>
        <w:fldChar w:fldCharType="begin" w:fldLock="1"/>
      </w:r>
      <w:r w:rsidR="00A37DC6">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(Tilman 1994, Pacala and Rees 1998)</w:t>
      </w:r>
      <w:r w:rsidR="00A37DC6">
        <w:rPr>
          <w:rFonts w:ascii="Arial" w:hAnsi="Arial" w:cs="Arial"/>
          <w:bCs/>
        </w:rPr>
        <w:fldChar w:fldCharType="end"/>
      </w:r>
      <w:r w:rsidR="00FF6455">
        <w:rPr>
          <w:rFonts w:ascii="Arial" w:hAnsi="Arial" w:cs="Arial"/>
          <w:bCs/>
        </w:rPr>
        <w:t>, trade-offs between herbivore defense and growth</w:t>
      </w:r>
      <w:r w:rsidR="00A37DC6">
        <w:rPr>
          <w:rFonts w:ascii="Arial" w:hAnsi="Arial" w:cs="Arial"/>
          <w:bCs/>
        </w:rPr>
        <w:t xml:space="preserve"> </w:t>
      </w:r>
      <w:r w:rsidR="00A37DC6">
        <w:rPr>
          <w:rFonts w:ascii="Arial" w:hAnsi="Arial" w:cs="Arial"/>
          <w:bCs/>
        </w:rPr>
        <w:fldChar w:fldCharType="begin" w:fldLock="1"/>
      </w:r>
      <w:r w:rsidR="00C85569">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(Mattson and Herms 1992)</w:t>
      </w:r>
      <w:r w:rsidR="00A37DC6">
        <w:rPr>
          <w:rFonts w:ascii="Arial" w:hAnsi="Arial" w:cs="Arial"/>
          <w:bCs/>
        </w:rPr>
        <w:fldChar w:fldCharType="end"/>
      </w:r>
      <w:r w:rsidR="00FF6455">
        <w:rPr>
          <w:rFonts w:ascii="Arial" w:hAnsi="Arial" w:cs="Arial"/>
          <w:bCs/>
        </w:rPr>
        <w:t>, or contrasts between leaf longevity and photosynthetic rate described the leaf economic spectrum</w:t>
      </w:r>
      <w:r w:rsidR="00A37DC6">
        <w:rPr>
          <w:rFonts w:ascii="Arial" w:hAnsi="Arial" w:cs="Arial"/>
          <w:bCs/>
        </w:rPr>
        <w:t xml:space="preserve"> </w:t>
      </w:r>
      <w:r w:rsidR="00A37DC6">
        <w:rPr>
          <w:rFonts w:ascii="Arial" w:hAnsi="Arial" w:cs="Arial"/>
          <w:bCs/>
        </w:rPr>
        <w:fldChar w:fldCharType="begin" w:fldLock="1"/>
      </w:r>
      <w:r w:rsidR="00A62AAE">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sidR="00A37DC6">
        <w:rPr>
          <w:rFonts w:ascii="Arial" w:hAnsi="Arial" w:cs="Arial"/>
          <w:bCs/>
        </w:rPr>
        <w:fldChar w:fldCharType="separate"/>
      </w:r>
      <w:r w:rsidR="00C85569" w:rsidRPr="00C85569">
        <w:rPr>
          <w:rFonts w:ascii="Arial" w:hAnsi="Arial" w:cs="Arial"/>
          <w:bCs/>
          <w:noProof/>
        </w:rPr>
        <w:t>(Wright et al. 2004)</w:t>
      </w:r>
      <w:r w:rsidR="00A37DC6">
        <w:rPr>
          <w:rFonts w:ascii="Arial" w:hAnsi="Arial" w:cs="Arial"/>
          <w:bCs/>
        </w:rPr>
        <w:fldChar w:fldCharType="end"/>
      </w:r>
      <w:r w:rsidR="00FF6455">
        <w:rPr>
          <w:rFonts w:ascii="Arial" w:hAnsi="Arial" w:cs="Arial"/>
          <w:bCs/>
        </w:rPr>
        <w:t xml:space="preserve">. Depending on factors such as </w:t>
      </w:r>
      <w:r w:rsidR="00D666CB">
        <w:rPr>
          <w:rFonts w:ascii="Arial" w:hAnsi="Arial" w:cs="Arial"/>
          <w:bCs/>
        </w:rPr>
        <w:t xml:space="preserve">disturbance regime, herbivore abundance, or environmental stress, </w:t>
      </w:r>
      <w:r w:rsidR="00051869">
        <w:rPr>
          <w:rFonts w:ascii="Arial" w:hAnsi="Arial" w:cs="Arial"/>
          <w:bCs/>
        </w:rPr>
        <w:t xml:space="preserve">variation across these different </w:t>
      </w:r>
      <w:r w:rsidR="005F7B09">
        <w:rPr>
          <w:rFonts w:ascii="Arial" w:hAnsi="Arial" w:cs="Arial"/>
          <w:bCs/>
        </w:rPr>
        <w:t xml:space="preserve">niche </w:t>
      </w:r>
      <w:r w:rsidR="00051869">
        <w:rPr>
          <w:rFonts w:ascii="Arial" w:hAnsi="Arial" w:cs="Arial"/>
          <w:bCs/>
        </w:rPr>
        <w:t>axes present conditions where one competitor will be favored over others.</w:t>
      </w:r>
    </w:p>
    <w:p w14:paraId="69D2C9BF" w14:textId="61D3C7F6" w:rsidR="00500004" w:rsidRDefault="005C15EB" w:rsidP="00417EBD">
      <w:pPr>
        <w:rPr>
          <w:rFonts w:ascii="Arial" w:hAnsi="Arial" w:cs="Arial"/>
          <w:bCs/>
        </w:rPr>
      </w:pPr>
      <w:r>
        <w:rPr>
          <w:rFonts w:ascii="Arial" w:hAnsi="Arial" w:cs="Arial"/>
          <w:bCs/>
        </w:rPr>
        <w:t>In response to global biodiversity loss, trade-off</w:t>
      </w:r>
      <w:r w:rsidR="00640319">
        <w:rPr>
          <w:rFonts w:ascii="Arial" w:hAnsi="Arial" w:cs="Arial"/>
          <w:bCs/>
        </w:rPr>
        <w:t xml:space="preserve">s </w:t>
      </w:r>
      <w:r w:rsidR="008A0BAB">
        <w:rPr>
          <w:rFonts w:ascii="Arial" w:hAnsi="Arial" w:cs="Arial"/>
          <w:bCs/>
        </w:rPr>
        <w:t xml:space="preserve">have been used to </w:t>
      </w:r>
      <w:r w:rsidR="006B7EE7">
        <w:rPr>
          <w:rFonts w:ascii="Arial" w:hAnsi="Arial" w:cs="Arial"/>
          <w:bCs/>
        </w:rPr>
        <w:t xml:space="preserve">understand </w:t>
      </w:r>
      <w:r w:rsidR="00FF5368">
        <w:rPr>
          <w:rFonts w:ascii="Arial" w:hAnsi="Arial" w:cs="Arial"/>
          <w:bCs/>
        </w:rPr>
        <w:t xml:space="preserve">changes in plant composition in diversity following </w:t>
      </w:r>
      <w:r w:rsidR="009930A3">
        <w:rPr>
          <w:rFonts w:ascii="Arial" w:hAnsi="Arial" w:cs="Arial"/>
          <w:bCs/>
        </w:rPr>
        <w:t xml:space="preserve">human-derived increases in nutrient availability. </w:t>
      </w:r>
      <w:r w:rsidR="00216F13">
        <w:rPr>
          <w:rFonts w:ascii="Arial" w:hAnsi="Arial" w:cs="Arial"/>
          <w:bCs/>
        </w:rPr>
        <w:t>In most cases, biodiversity loss driven by nutrient enrichment is attributed to a shift in competition for belowground resources to competition for light</w:t>
      </w:r>
      <w:r w:rsidR="00A37DC6">
        <w:rPr>
          <w:rFonts w:ascii="Arial" w:hAnsi="Arial" w:cs="Arial"/>
          <w:bCs/>
        </w:rPr>
        <w:t xml:space="preserve"> </w:t>
      </w:r>
      <w:r w:rsidR="00A37DC6">
        <w:rPr>
          <w:rFonts w:ascii="Arial" w:hAnsi="Arial" w:cs="Arial"/>
          <w:bCs/>
        </w:rPr>
        <w:fldChar w:fldCharType="begin" w:fldLock="1"/>
      </w:r>
      <w:r w:rsidR="00E9431D">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A37DC6">
        <w:rPr>
          <w:rFonts w:ascii="Arial" w:hAnsi="Arial" w:cs="Arial"/>
          <w:bCs/>
        </w:rPr>
        <w:fldChar w:fldCharType="separate"/>
      </w:r>
      <w:r w:rsidR="00A62AAE" w:rsidRPr="00A62AAE">
        <w:rPr>
          <w:rFonts w:ascii="Arial" w:hAnsi="Arial" w:cs="Arial"/>
          <w:bCs/>
          <w:noProof/>
        </w:rPr>
        <w:t>(Tilman 1984, Dybzinski and Tilman 2007, Hautier et al. 2009)</w:t>
      </w:r>
      <w:r w:rsidR="00A37DC6">
        <w:rPr>
          <w:rFonts w:ascii="Arial" w:hAnsi="Arial" w:cs="Arial"/>
          <w:bCs/>
        </w:rPr>
        <w:fldChar w:fldCharType="end"/>
      </w:r>
      <w:r w:rsidR="00216F13">
        <w:rPr>
          <w:rFonts w:ascii="Arial" w:hAnsi="Arial" w:cs="Arial"/>
          <w:bCs/>
        </w:rPr>
        <w:t>. This one-dimensional trade</w:t>
      </w:r>
      <w:r w:rsidR="00A74381">
        <w:rPr>
          <w:rFonts w:ascii="Arial" w:hAnsi="Arial" w:cs="Arial"/>
          <w:bCs/>
        </w:rPr>
        <w:t>-</w:t>
      </w:r>
      <w:r w:rsidR="00216F13">
        <w:rPr>
          <w:rFonts w:ascii="Arial" w:hAnsi="Arial" w:cs="Arial"/>
          <w:bCs/>
        </w:rPr>
        <w:t>off that physiological adaptations designed to increase nutrient uptake belowground come at the expense of investment into photosynthetic tissues that intercept available photosynthetic radiation. Increases in fertility through nutrient enrichment thus selects for species of larger stature with proportionally greater investment to aboveground vs. belowground components</w:t>
      </w:r>
      <w:r w:rsidR="00A62AAE">
        <w:rPr>
          <w:rFonts w:ascii="Arial" w:hAnsi="Arial" w:cs="Arial"/>
          <w:bCs/>
        </w:rPr>
        <w:t>.</w:t>
      </w:r>
    </w:p>
    <w:p w14:paraId="7B0F7DA3" w14:textId="58C1C76B" w:rsidR="00500004" w:rsidRDefault="00A74381" w:rsidP="00417EBD">
      <w:pPr>
        <w:rPr>
          <w:rFonts w:ascii="Arial" w:hAnsi="Arial" w:cs="Arial"/>
          <w:bCs/>
        </w:rPr>
      </w:pPr>
      <w:r>
        <w:rPr>
          <w:rFonts w:ascii="Arial" w:hAnsi="Arial" w:cs="Arial"/>
          <w:bCs/>
        </w:rPr>
        <w:t>T</w:t>
      </w:r>
      <w:r w:rsidR="008C3256">
        <w:rPr>
          <w:rFonts w:ascii="Arial" w:hAnsi="Arial" w:cs="Arial"/>
          <w:bCs/>
        </w:rPr>
        <w:t xml:space="preserve">his one-dimensional </w:t>
      </w:r>
      <w:r>
        <w:rPr>
          <w:rFonts w:ascii="Arial" w:hAnsi="Arial" w:cs="Arial"/>
          <w:bCs/>
        </w:rPr>
        <w:t xml:space="preserve">trade-off suggests that effects on community depend on changes in total resource availability, irrespective of which belowground resource </w:t>
      </w:r>
      <w:r w:rsidR="00FD7449">
        <w:rPr>
          <w:rFonts w:ascii="Arial" w:hAnsi="Arial" w:cs="Arial"/>
          <w:bCs/>
        </w:rPr>
        <w:t>is enriched</w:t>
      </w:r>
      <w:r>
        <w:rPr>
          <w:rFonts w:ascii="Arial" w:hAnsi="Arial" w:cs="Arial"/>
          <w:bCs/>
        </w:rPr>
        <w:t>.</w:t>
      </w:r>
      <w:r w:rsidR="00FD7449">
        <w:rPr>
          <w:rFonts w:ascii="Arial" w:hAnsi="Arial" w:cs="Arial"/>
          <w:bCs/>
        </w:rPr>
        <w:t xml:space="preserve"> However, </w:t>
      </w:r>
      <w:r w:rsidR="009A1ACE">
        <w:rPr>
          <w:rFonts w:ascii="Arial" w:hAnsi="Arial" w:cs="Arial"/>
          <w:bCs/>
        </w:rPr>
        <w:t xml:space="preserve">many systems are known to be limited by more than one belowground resource, </w:t>
      </w:r>
      <w:r w:rsidR="00E853F6">
        <w:rPr>
          <w:rFonts w:ascii="Arial" w:hAnsi="Arial" w:cs="Arial"/>
          <w:bCs/>
        </w:rPr>
        <w:t xml:space="preserve">that </w:t>
      </w:r>
      <w:r w:rsidR="00A411A7">
        <w:rPr>
          <w:rFonts w:ascii="Arial" w:hAnsi="Arial" w:cs="Arial"/>
          <w:bCs/>
        </w:rPr>
        <w:t>impl</w:t>
      </w:r>
      <w:r w:rsidR="00E853F6">
        <w:rPr>
          <w:rFonts w:ascii="Arial" w:hAnsi="Arial" w:cs="Arial"/>
          <w:bCs/>
        </w:rPr>
        <w:t>ies</w:t>
      </w:r>
      <w:r w:rsidR="001B64D2">
        <w:rPr>
          <w:rFonts w:ascii="Arial" w:hAnsi="Arial" w:cs="Arial"/>
          <w:bCs/>
        </w:rPr>
        <w:t xml:space="preserve"> the presence of multivariate </w:t>
      </w:r>
      <w:r w:rsidR="00A85EE4">
        <w:rPr>
          <w:rFonts w:ascii="Arial" w:hAnsi="Arial" w:cs="Arial"/>
          <w:bCs/>
        </w:rPr>
        <w:t>tradeoffs that depend on nutrient identity</w:t>
      </w:r>
      <w:r w:rsidR="0066728C">
        <w:rPr>
          <w:rFonts w:ascii="Arial" w:hAnsi="Arial" w:cs="Arial"/>
          <w:bCs/>
        </w:rPr>
        <w:t xml:space="preserve"> </w:t>
      </w:r>
      <w:r w:rsidR="0066728C">
        <w:rPr>
          <w:rFonts w:ascii="Arial" w:hAnsi="Arial" w:cs="Arial"/>
          <w:bCs/>
        </w:rPr>
        <w:fldChar w:fldCharType="begin" w:fldLock="1"/>
      </w:r>
      <w:r w:rsidR="00C049DA">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diversity","type":"article-journal","volume":"537"},"uris":["http://www.mendeley.com/documents/?uuid=bbcc6eb1-4c94-476c-8792-4a73abd2569e"]}],"mendeley":{"formattedCitation":"(Fay et al. 2015, Harpole et al. 2016)","plainTextFormattedCitation":"(Fay et al. 2015, Harpole et al. 2016)","previouslyFormattedCitation":"(Fay et al. 2015, Harpole et al. 2016)"},"properties":{"noteIndex":0},"schema":"https://github.com/citation-style-language/schema/raw/master/csl-citation.json"}</w:instrText>
      </w:r>
      <w:r w:rsidR="0066728C">
        <w:rPr>
          <w:rFonts w:ascii="Arial" w:hAnsi="Arial" w:cs="Arial"/>
          <w:bCs/>
        </w:rPr>
        <w:fldChar w:fldCharType="separate"/>
      </w:r>
      <w:r w:rsidR="0066728C" w:rsidRPr="0066728C">
        <w:rPr>
          <w:rFonts w:ascii="Arial" w:hAnsi="Arial" w:cs="Arial"/>
          <w:bCs/>
          <w:noProof/>
        </w:rPr>
        <w:t>(Fay et al. 2015, Harpole et al. 2016)</w:t>
      </w:r>
      <w:r w:rsidR="0066728C">
        <w:rPr>
          <w:rFonts w:ascii="Arial" w:hAnsi="Arial" w:cs="Arial"/>
          <w:bCs/>
        </w:rPr>
        <w:fldChar w:fldCharType="end"/>
      </w:r>
      <w:r w:rsidR="00A85EE4">
        <w:rPr>
          <w:rFonts w:ascii="Arial" w:hAnsi="Arial" w:cs="Arial"/>
          <w:bCs/>
        </w:rPr>
        <w:t xml:space="preserve">. </w:t>
      </w:r>
      <w:r w:rsidR="00C5778F">
        <w:rPr>
          <w:rFonts w:ascii="Arial" w:hAnsi="Arial" w:cs="Arial"/>
          <w:bCs/>
        </w:rPr>
        <w:t xml:space="preserve">In this perspective, plant species exhibit </w:t>
      </w:r>
      <w:r w:rsidR="00725AAA">
        <w:rPr>
          <w:rFonts w:ascii="Arial" w:hAnsi="Arial" w:cs="Arial"/>
          <w:bCs/>
        </w:rPr>
        <w:t xml:space="preserve">nutrient-specific niches that impart specialization </w:t>
      </w:r>
      <w:r w:rsidR="002F472D">
        <w:rPr>
          <w:rFonts w:ascii="Arial" w:hAnsi="Arial" w:cs="Arial"/>
          <w:bCs/>
        </w:rPr>
        <w:t xml:space="preserve">on </w:t>
      </w:r>
      <w:r w:rsidR="00795405">
        <w:rPr>
          <w:rFonts w:ascii="Arial" w:hAnsi="Arial" w:cs="Arial"/>
          <w:bCs/>
        </w:rPr>
        <w:t>different belowground</w:t>
      </w:r>
      <w:r w:rsidR="002F472D">
        <w:rPr>
          <w:rFonts w:ascii="Arial" w:hAnsi="Arial" w:cs="Arial"/>
          <w:bCs/>
        </w:rPr>
        <w:t xml:space="preserve"> resources</w:t>
      </w:r>
      <w:r w:rsidR="003A01E0">
        <w:rPr>
          <w:rFonts w:ascii="Arial" w:hAnsi="Arial" w:cs="Arial"/>
          <w:bCs/>
        </w:rPr>
        <w:t xml:space="preserve">. Under these multi-dimensional trade-offs, biodiversity loss is interpreted through a loss of </w:t>
      </w:r>
      <w:r w:rsidR="003A01E0" w:rsidRPr="003A01E0">
        <w:rPr>
          <w:rFonts w:ascii="Arial" w:hAnsi="Arial" w:cs="Arial"/>
          <w:bCs/>
          <w:i/>
          <w:iCs/>
        </w:rPr>
        <w:t>niche dimensionality</w:t>
      </w:r>
      <w:r w:rsidR="00F973D1">
        <w:rPr>
          <w:rFonts w:ascii="Arial" w:hAnsi="Arial" w:cs="Arial"/>
          <w:bCs/>
        </w:rPr>
        <w:t xml:space="preserve">, where </w:t>
      </w:r>
      <w:r w:rsidR="001D376A">
        <w:rPr>
          <w:rFonts w:ascii="Arial" w:hAnsi="Arial" w:cs="Arial"/>
          <w:bCs/>
        </w:rPr>
        <w:t>nutrient addition</w:t>
      </w:r>
      <w:r w:rsidR="00EA25EC">
        <w:rPr>
          <w:rFonts w:ascii="Arial" w:hAnsi="Arial" w:cs="Arial"/>
          <w:bCs/>
        </w:rPr>
        <w:t xml:space="preserve"> removes limitation of that resource, “collapsing” a source of variation on which trade-offs operate</w:t>
      </w:r>
      <w:r w:rsidR="009A1ACE">
        <w:rPr>
          <w:rFonts w:ascii="Arial" w:hAnsi="Arial" w:cs="Arial"/>
          <w:bCs/>
        </w:rPr>
        <w:t xml:space="preserve"> </w:t>
      </w:r>
      <w:r w:rsidR="009A1ACE">
        <w:rPr>
          <w:rFonts w:ascii="Arial" w:hAnsi="Arial" w:cs="Arial"/>
          <w:bCs/>
        </w:rPr>
        <w:fldChar w:fldCharType="begin" w:fldLock="1"/>
      </w:r>
      <w:r w:rsidR="009A1ACE">
        <w:rPr>
          <w:rFonts w:ascii="Arial" w:hAnsi="Arial" w:cs="Arial"/>
          <w:bCs/>
        </w:rPr>
        <w:instrText>ADDIN CSL_CITATION {"citationItems":[{"id":"ITEM-1","itemData":{"DOI":"10.1038/nature05684","ISBN":"0028-0836","ISSN":"0028-0836","PMID":"17384633","abstract":"Intact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-1","issue":"7137","issued":{"date-parts":[["2007"]]},"page":"791-793","title":"Grassland species loss resulting from reduced niche dimension.","type":"article-journal","volume":"446"},"uris":["http://www.mendeley.com/documents/?uuid=90b9a3f6-9e96-4cd1-81f4-5297e3921e1a"]},{"id":"ITEM-2","itemData":{"DOI":"10.1038/nature19324","ISSN":"14764687","abstract":"Niche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9A1ACE">
        <w:rPr>
          <w:rFonts w:ascii="Arial" w:hAnsi="Arial" w:cs="Arial"/>
          <w:bCs/>
        </w:rPr>
        <w:fldChar w:fldCharType="separate"/>
      </w:r>
      <w:r w:rsidR="009A1ACE" w:rsidRPr="009A1ACE">
        <w:rPr>
          <w:rFonts w:ascii="Arial" w:hAnsi="Arial" w:cs="Arial"/>
          <w:bCs/>
          <w:noProof/>
        </w:rPr>
        <w:t>(Harpole and Tilman 2007, Harpole et al. 2016)</w:t>
      </w:r>
      <w:r w:rsidR="009A1ACE">
        <w:rPr>
          <w:rFonts w:ascii="Arial" w:hAnsi="Arial" w:cs="Arial"/>
          <w:bCs/>
        </w:rPr>
        <w:fldChar w:fldCharType="end"/>
      </w:r>
      <w:r w:rsidR="00EA25EC">
        <w:rPr>
          <w:rFonts w:ascii="Arial" w:hAnsi="Arial" w:cs="Arial"/>
          <w:bCs/>
        </w:rPr>
        <w:t>.</w:t>
      </w:r>
    </w:p>
    <w:p w14:paraId="1B3F7499" w14:textId="45827DF3" w:rsidR="00D23E62" w:rsidRDefault="00F24301" w:rsidP="00417EBD">
      <w:pPr>
        <w:rPr>
          <w:rFonts w:ascii="Arial" w:hAnsi="Arial" w:cs="Arial"/>
          <w:bCs/>
        </w:rPr>
      </w:pPr>
      <w:r>
        <w:rPr>
          <w:rFonts w:ascii="Arial" w:hAnsi="Arial" w:cs="Arial"/>
          <w:bCs/>
        </w:rPr>
        <w:t xml:space="preserve">Central to the distinction between these two perspectives </w:t>
      </w:r>
      <w:r w:rsidR="002A3F75">
        <w:rPr>
          <w:rFonts w:ascii="Arial" w:hAnsi="Arial" w:cs="Arial"/>
          <w:bCs/>
        </w:rPr>
        <w:t xml:space="preserve">are </w:t>
      </w:r>
      <w:r w:rsidR="0025067B">
        <w:rPr>
          <w:rFonts w:ascii="Arial" w:hAnsi="Arial" w:cs="Arial"/>
          <w:bCs/>
        </w:rPr>
        <w:t xml:space="preserve">an emphasis on resource supply </w:t>
      </w:r>
      <w:r w:rsidR="00EC71F4">
        <w:rPr>
          <w:rFonts w:ascii="Arial" w:hAnsi="Arial" w:cs="Arial"/>
          <w:bCs/>
        </w:rPr>
        <w:t xml:space="preserve">vs. resource stoichiometry as core determinants of </w:t>
      </w:r>
      <w:r w:rsidR="00F83071">
        <w:rPr>
          <w:rFonts w:ascii="Arial" w:hAnsi="Arial" w:cs="Arial"/>
          <w:bCs/>
        </w:rPr>
        <w:t>species abundance</w:t>
      </w:r>
      <w:r w:rsidR="00A86D2C">
        <w:rPr>
          <w:rFonts w:ascii="Arial" w:hAnsi="Arial" w:cs="Arial"/>
          <w:bCs/>
        </w:rPr>
        <w:t>s</w:t>
      </w:r>
      <w:r w:rsidR="00F83071">
        <w:rPr>
          <w:rFonts w:ascii="Arial" w:hAnsi="Arial" w:cs="Arial"/>
          <w:bCs/>
        </w:rPr>
        <w:t xml:space="preserve"> in plant communities</w:t>
      </w:r>
      <w:r w:rsidR="00C049DA">
        <w:rPr>
          <w:rFonts w:ascii="Arial" w:hAnsi="Arial" w:cs="Arial"/>
          <w:bCs/>
        </w:rPr>
        <w:t xml:space="preserve"> </w:t>
      </w:r>
      <w:r w:rsidR="00C049DA">
        <w:rPr>
          <w:rFonts w:ascii="Arial" w:hAnsi="Arial" w:cs="Arial"/>
          <w:bCs/>
        </w:rPr>
        <w:fldChar w:fldCharType="begin" w:fldLock="1"/>
      </w:r>
      <w:r w:rsidR="006671A6">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C049DA">
        <w:rPr>
          <w:rFonts w:ascii="Arial" w:hAnsi="Arial" w:cs="Arial"/>
          <w:bCs/>
        </w:rPr>
        <w:fldChar w:fldCharType="separate"/>
      </w:r>
      <w:r w:rsidR="003D56EE" w:rsidRPr="003D56EE">
        <w:rPr>
          <w:rFonts w:ascii="Arial" w:hAnsi="Arial" w:cs="Arial"/>
          <w:bCs/>
          <w:noProof/>
        </w:rPr>
        <w:t>(DeMalach and Kadmon 2017, Harpole et al. 2017)</w:t>
      </w:r>
      <w:r w:rsidR="00C049DA">
        <w:rPr>
          <w:rFonts w:ascii="Arial" w:hAnsi="Arial" w:cs="Arial"/>
          <w:bCs/>
        </w:rPr>
        <w:fldChar w:fldCharType="end"/>
      </w:r>
      <w:r w:rsidR="00F83071">
        <w:rPr>
          <w:rFonts w:ascii="Arial" w:hAnsi="Arial" w:cs="Arial"/>
          <w:bCs/>
        </w:rPr>
        <w:t xml:space="preserve">. </w:t>
      </w:r>
      <w:r w:rsidR="00A00E69">
        <w:rPr>
          <w:rFonts w:ascii="Arial" w:hAnsi="Arial" w:cs="Arial"/>
          <w:bCs/>
        </w:rPr>
        <w:t>When communities are subject to enrichment of different belowground resources</w:t>
      </w:r>
      <w:r w:rsidR="002A768D">
        <w:rPr>
          <w:rFonts w:ascii="Arial" w:hAnsi="Arial" w:cs="Arial"/>
          <w:bCs/>
        </w:rPr>
        <w:t xml:space="preserve">, </w:t>
      </w:r>
      <w:r w:rsidR="00851421">
        <w:rPr>
          <w:rFonts w:ascii="Arial" w:hAnsi="Arial" w:cs="Arial"/>
          <w:bCs/>
        </w:rPr>
        <w:t xml:space="preserve">a </w:t>
      </w:r>
      <w:r w:rsidR="00A675BB">
        <w:rPr>
          <w:rFonts w:ascii="Arial" w:hAnsi="Arial" w:cs="Arial"/>
          <w:bCs/>
        </w:rPr>
        <w:t xml:space="preserve">one-dimensional </w:t>
      </w:r>
      <w:r w:rsidR="00851421">
        <w:rPr>
          <w:rFonts w:ascii="Arial" w:hAnsi="Arial" w:cs="Arial"/>
          <w:bCs/>
        </w:rPr>
        <w:t xml:space="preserve">focus on </w:t>
      </w:r>
      <w:r w:rsidR="00160F6F">
        <w:rPr>
          <w:rFonts w:ascii="Arial" w:hAnsi="Arial" w:cs="Arial"/>
          <w:bCs/>
        </w:rPr>
        <w:t>light competition suggests that changes in species abundances will be directionally consistent</w:t>
      </w:r>
      <w:r w:rsidR="00E03A76">
        <w:rPr>
          <w:rFonts w:ascii="Arial" w:hAnsi="Arial" w:cs="Arial"/>
          <w:bCs/>
        </w:rPr>
        <w:t xml:space="preserve">, varying only in magnitude </w:t>
      </w:r>
      <w:r w:rsidR="002212AE">
        <w:rPr>
          <w:rFonts w:ascii="Arial" w:hAnsi="Arial" w:cs="Arial"/>
          <w:bCs/>
        </w:rPr>
        <w:t>based on shifts in total resource supply generated by fertilization</w:t>
      </w:r>
      <w:r w:rsidR="005357C8">
        <w:rPr>
          <w:rFonts w:ascii="Arial" w:hAnsi="Arial" w:cs="Arial"/>
          <w:bCs/>
        </w:rPr>
        <w:t xml:space="preserve">. </w:t>
      </w:r>
      <w:r w:rsidR="002212AE">
        <w:rPr>
          <w:rFonts w:ascii="Arial" w:hAnsi="Arial" w:cs="Arial"/>
          <w:bCs/>
        </w:rPr>
        <w:t xml:space="preserve">In contrast, </w:t>
      </w:r>
      <w:r w:rsidR="00A675BB">
        <w:rPr>
          <w:rFonts w:ascii="Arial" w:hAnsi="Arial" w:cs="Arial"/>
          <w:bCs/>
        </w:rPr>
        <w:t xml:space="preserve">multi-dimensional trade-offs </w:t>
      </w:r>
      <w:r w:rsidR="009437DE">
        <w:rPr>
          <w:rFonts w:ascii="Arial" w:hAnsi="Arial" w:cs="Arial"/>
          <w:bCs/>
        </w:rPr>
        <w:t xml:space="preserve">in belowground resource use imply </w:t>
      </w:r>
      <w:r w:rsidR="00260CBE">
        <w:rPr>
          <w:rFonts w:ascii="Arial" w:hAnsi="Arial" w:cs="Arial"/>
          <w:bCs/>
        </w:rPr>
        <w:t xml:space="preserve">uncorrelated trajectories of </w:t>
      </w:r>
      <w:r w:rsidR="00260CBE">
        <w:rPr>
          <w:rFonts w:ascii="Arial" w:hAnsi="Arial" w:cs="Arial"/>
          <w:bCs/>
        </w:rPr>
        <w:lastRenderedPageBreak/>
        <w:t xml:space="preserve">community change </w:t>
      </w:r>
      <w:r w:rsidR="000A2769">
        <w:rPr>
          <w:rFonts w:ascii="Arial" w:hAnsi="Arial" w:cs="Arial"/>
          <w:bCs/>
        </w:rPr>
        <w:t xml:space="preserve">across different types of </w:t>
      </w:r>
      <w:r w:rsidR="00027F3A">
        <w:rPr>
          <w:rFonts w:ascii="Arial" w:hAnsi="Arial" w:cs="Arial"/>
          <w:bCs/>
        </w:rPr>
        <w:t xml:space="preserve">nutrient </w:t>
      </w:r>
      <w:r w:rsidR="000A2769">
        <w:rPr>
          <w:rFonts w:ascii="Arial" w:hAnsi="Arial" w:cs="Arial"/>
          <w:bCs/>
        </w:rPr>
        <w:t>enrichment</w:t>
      </w:r>
      <w:r w:rsidR="002937A1">
        <w:rPr>
          <w:rFonts w:ascii="Arial" w:hAnsi="Arial" w:cs="Arial"/>
          <w:bCs/>
        </w:rPr>
        <w:t>; s</w:t>
      </w:r>
      <w:r w:rsidR="00EC5354">
        <w:rPr>
          <w:rFonts w:ascii="Arial" w:hAnsi="Arial" w:cs="Arial"/>
          <w:bCs/>
        </w:rPr>
        <w:t xml:space="preserve">hifts in resource stoichiometry </w:t>
      </w:r>
      <w:r w:rsidR="00E2058A">
        <w:rPr>
          <w:rFonts w:ascii="Arial" w:hAnsi="Arial" w:cs="Arial"/>
          <w:bCs/>
        </w:rPr>
        <w:t>act on</w:t>
      </w:r>
      <w:r w:rsidR="002937A1">
        <w:rPr>
          <w:rFonts w:ascii="Arial" w:hAnsi="Arial" w:cs="Arial"/>
          <w:bCs/>
        </w:rPr>
        <w:t xml:space="preserve"> niche differentiation between interacting species</w:t>
      </w:r>
      <w:r w:rsidR="00E2058A">
        <w:rPr>
          <w:rFonts w:ascii="Arial" w:hAnsi="Arial" w:cs="Arial"/>
          <w:bCs/>
        </w:rPr>
        <w:t>,</w:t>
      </w:r>
      <w:r w:rsidR="002937A1">
        <w:rPr>
          <w:rFonts w:ascii="Arial" w:hAnsi="Arial" w:cs="Arial"/>
          <w:bCs/>
        </w:rPr>
        <w:t xml:space="preserve"> </w:t>
      </w:r>
      <w:r w:rsidR="00825FC4">
        <w:rPr>
          <w:rFonts w:ascii="Arial" w:hAnsi="Arial" w:cs="Arial"/>
          <w:bCs/>
        </w:rPr>
        <w:t>that</w:t>
      </w:r>
      <w:r w:rsidR="002937A1">
        <w:rPr>
          <w:rFonts w:ascii="Arial" w:hAnsi="Arial" w:cs="Arial"/>
          <w:bCs/>
        </w:rPr>
        <w:t xml:space="preserve"> vary in </w:t>
      </w:r>
      <w:r w:rsidR="008E143C">
        <w:rPr>
          <w:rFonts w:ascii="Arial" w:hAnsi="Arial" w:cs="Arial"/>
          <w:bCs/>
        </w:rPr>
        <w:t>their ability to utilize specific belowground resources.</w:t>
      </w:r>
    </w:p>
    <w:p w14:paraId="3A6DD405" w14:textId="63A744D5" w:rsidR="00602C91" w:rsidRDefault="0056197F" w:rsidP="00417EBD">
      <w:pPr>
        <w:rPr>
          <w:rFonts w:ascii="Arial" w:hAnsi="Arial" w:cs="Arial"/>
          <w:bCs/>
        </w:rPr>
      </w:pPr>
      <w:r>
        <w:rPr>
          <w:rFonts w:ascii="Arial" w:hAnsi="Arial" w:cs="Arial"/>
          <w:bCs/>
        </w:rPr>
        <w:t>In natural communities</w:t>
      </w:r>
      <w:r w:rsidR="002E1C51">
        <w:rPr>
          <w:rFonts w:ascii="Arial" w:hAnsi="Arial" w:cs="Arial"/>
          <w:bCs/>
        </w:rPr>
        <w:t xml:space="preserve"> subject to enrichment by multiple resources</w:t>
      </w:r>
      <w:r>
        <w:rPr>
          <w:rFonts w:ascii="Arial" w:hAnsi="Arial" w:cs="Arial"/>
          <w:bCs/>
        </w:rPr>
        <w:t xml:space="preserve">, </w:t>
      </w:r>
      <w:r w:rsidR="00C404C2">
        <w:rPr>
          <w:rFonts w:ascii="Arial" w:hAnsi="Arial" w:cs="Arial"/>
          <w:bCs/>
        </w:rPr>
        <w:t xml:space="preserve">trade-offs governed by </w:t>
      </w:r>
      <w:r w:rsidR="0005308C">
        <w:rPr>
          <w:rFonts w:ascii="Arial" w:hAnsi="Arial" w:cs="Arial"/>
          <w:bCs/>
        </w:rPr>
        <w:t xml:space="preserve">investment to belowground vs. aboveground tissues and multi-dimensional tradeoffs for soil resources are likely to operate simultaneously. </w:t>
      </w:r>
      <w:r w:rsidR="00041177">
        <w:rPr>
          <w:rFonts w:ascii="Arial" w:hAnsi="Arial" w:cs="Arial"/>
          <w:bCs/>
        </w:rPr>
        <w:t xml:space="preserve">However, the strength of each mechanism is likely to be constrained by </w:t>
      </w:r>
      <w:r w:rsidR="002E1C51">
        <w:rPr>
          <w:rFonts w:ascii="Arial" w:hAnsi="Arial" w:cs="Arial"/>
          <w:bCs/>
        </w:rPr>
        <w:t xml:space="preserve">plant physiology, environmental characteristics, and </w:t>
      </w:r>
      <w:r w:rsidR="00394EB0">
        <w:rPr>
          <w:rFonts w:ascii="Arial" w:hAnsi="Arial" w:cs="Arial"/>
          <w:bCs/>
        </w:rPr>
        <w:t>community properties of locally interacting species</w:t>
      </w:r>
      <w:r w:rsidR="005E0582">
        <w:rPr>
          <w:rFonts w:ascii="Arial" w:hAnsi="Arial" w:cs="Arial"/>
          <w:bCs/>
        </w:rPr>
        <w:t xml:space="preserve"> </w:t>
      </w:r>
      <w:r w:rsidR="002E3E7B">
        <w:rPr>
          <w:rFonts w:ascii="Arial" w:hAnsi="Arial" w:cs="Arial"/>
          <w:bCs/>
        </w:rPr>
        <w:fldChar w:fldCharType="begin" w:fldLock="1"/>
      </w:r>
      <w:r w:rsidR="00A37DC6">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exclusion?","type":"article-journal","volume":"76"},"uris":["http://www.mendeley.com/documents/?uuid=0df8644e-59c1-43d5-8f49-569f79e9c493"]}],"mendeley":{"formattedCitation":"(Passarge et al. 2006, Hautier et al. 2018)","plainTextFormattedCitation":"(Passarge et al. 2006, Hautier et al. 2018)","previouslyFormattedCitation":"(Passarge et al. 2006, Hautier et al. 2018)"},"properties":{"noteIndex":0},"schema":"https://github.com/citation-style-language/schema/raw/master/csl-citation.json"}</w:instrText>
      </w:r>
      <w:r w:rsidR="002E3E7B">
        <w:rPr>
          <w:rFonts w:ascii="Arial" w:hAnsi="Arial" w:cs="Arial"/>
          <w:bCs/>
        </w:rPr>
        <w:fldChar w:fldCharType="separate"/>
      </w:r>
      <w:r w:rsidR="002E3E7B" w:rsidRPr="002E3E7B">
        <w:rPr>
          <w:rFonts w:ascii="Arial" w:hAnsi="Arial" w:cs="Arial"/>
          <w:bCs/>
          <w:noProof/>
        </w:rPr>
        <w:t>(Passarge et al. 2006, Hautier et al. 2018)</w:t>
      </w:r>
      <w:r w:rsidR="002E3E7B">
        <w:rPr>
          <w:rFonts w:ascii="Arial" w:hAnsi="Arial" w:cs="Arial"/>
          <w:bCs/>
        </w:rPr>
        <w:fldChar w:fldCharType="end"/>
      </w:r>
      <w:r w:rsidR="00394EB0">
        <w:rPr>
          <w:rFonts w:ascii="Arial" w:hAnsi="Arial" w:cs="Arial"/>
          <w:bCs/>
        </w:rPr>
        <w:t>.</w:t>
      </w:r>
    </w:p>
    <w:p w14:paraId="72B0FA87" w14:textId="5ED7BD8B" w:rsidR="00656500" w:rsidRDefault="00612853" w:rsidP="00417EBD">
      <w:pPr>
        <w:rPr>
          <w:rFonts w:ascii="Arial" w:hAnsi="Arial" w:cs="Arial"/>
          <w:bCs/>
        </w:rPr>
      </w:pPr>
      <w:r>
        <w:rPr>
          <w:rFonts w:ascii="Arial" w:hAnsi="Arial" w:cs="Arial"/>
          <w:bCs/>
        </w:rPr>
        <w:t xml:space="preserve">Broadly speaking, </w:t>
      </w:r>
      <w:r w:rsidR="006D55F6">
        <w:rPr>
          <w:rFonts w:ascii="Arial" w:hAnsi="Arial" w:cs="Arial"/>
          <w:bCs/>
        </w:rPr>
        <w:t xml:space="preserve">stoichiometric analyses of plant tissue chemistry </w:t>
      </w:r>
      <w:r w:rsidR="00493680">
        <w:rPr>
          <w:rFonts w:ascii="Arial" w:hAnsi="Arial" w:cs="Arial"/>
          <w:bCs/>
        </w:rPr>
        <w:t xml:space="preserve">suggest that </w:t>
      </w:r>
      <w:r w:rsidR="00BE327D">
        <w:rPr>
          <w:rFonts w:ascii="Arial" w:hAnsi="Arial" w:cs="Arial"/>
          <w:bCs/>
        </w:rPr>
        <w:t xml:space="preserve">demand for belowground resources </w:t>
      </w:r>
      <w:r w:rsidR="00B95E88">
        <w:rPr>
          <w:rFonts w:ascii="Arial" w:hAnsi="Arial" w:cs="Arial"/>
          <w:bCs/>
        </w:rPr>
        <w:t>may scale proportionally with plant growth rate</w:t>
      </w:r>
      <w:r w:rsidR="00E9431D">
        <w:rPr>
          <w:rFonts w:ascii="Arial" w:hAnsi="Arial" w:cs="Arial"/>
          <w:bCs/>
        </w:rPr>
        <w:t xml:space="preserve"> </w:t>
      </w:r>
      <w:r w:rsidR="00E9431D">
        <w:rPr>
          <w:rFonts w:ascii="Arial" w:hAnsi="Arial" w:cs="Arial"/>
          <w:bCs/>
        </w:rPr>
        <w:fldChar w:fldCharType="begin" w:fldLock="1"/>
      </w:r>
      <w:r w:rsidR="00E9431D">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Communities","type":"article-journal","volume":"39"},"uris":["http://www.mendeley.com/documents/?uuid=8f85ca5f-a61b-485d-a6ef-30bbfc2f48ce"]},{"id":"ITEM-2","itemData":{"DOI":"10.1093/treephys/24.4.447","ISSN":"0829318X","abstract":"Theoretical considerations based on nutrition experiments suggest that nutrient ratios of terrestrial plants are similar to the Redfield ratio found in marine phytoplankton. Laboratory experiments have shown that seedlings of many different plant species have similar nutrient concentration ratios when supplied with nutrients at free access. However, at free access, nutrients are likely to be taken up in amounts in excess of a plant's requirements for growth. In further experiments, therefore, the supply rate of each nutrient was reduced so that excessive uptake did not occur. Again, similar nutrient ratios were found among the plant species tested, although the ratios differed from those found in plants given free access to nutrients. Based on the law of the minimum, we suggest that optimum nutrient ratios be defined as the ratios found in plants when all nutrients are limiting growth simultaneously. The literature on nutrient concentrations was surveyed to investigate nutrient ratios in terrestrial ecosystems. Nutrients taken into consideration were nitrogen, phosphorus, potassium, calcium and magnesium. Based on the assumption that nitrogen is either the limiting nutrient or, when not limiting, is taken up only in small excess amounts, we calculated nutrient ratios from published data. The calculated ratios corresponded closely to the ratios determined in laboratory and field experiments.","author":[{"dropping-particle":"","family":"Knecht","given":"Magnus F.","non-dropping-particle":"","parse-names":false,"suffix":""},{"dropping-particle":"","family":"Göransson","given":"Anders","non-dropping-particle":"","parse-names":false,"suffix":""}],"container-title":"Tree Physiology","id":"ITEM-2","issue":"4","issued":{"date-parts":[["2004"]]},"page":"447-460","title":"Terrestrial plants require nutrients in similar proportions","type":"article-journal","volume":"24"},"uris":["http://www.mendeley.com/documents/?uuid=4e3737a8-1739-467d-a5f7-8d44caee2d8f"]}],"mendeley":{"formattedCitation":"(Knecht and Göransson 2004, Ågren 2008)","plainTextFormattedCitation":"(Knecht and Göransson 2004, Ågren 2008)","previouslyFormattedCitation":"(Knecht and Göransson 2004, Ågren 2008)"},"properties":{"noteIndex":0},"schema":"https://github.com/citation-style-language/schema/raw/master/csl-citation.json"}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(Knecht and Göransson 2004, Ågren 2008)</w:t>
      </w:r>
      <w:r w:rsidR="00E9431D">
        <w:rPr>
          <w:rFonts w:ascii="Arial" w:hAnsi="Arial" w:cs="Arial"/>
          <w:bCs/>
        </w:rPr>
        <w:fldChar w:fldCharType="end"/>
      </w:r>
      <w:r w:rsidR="00F73397">
        <w:rPr>
          <w:rFonts w:ascii="Arial" w:hAnsi="Arial" w:cs="Arial"/>
          <w:bCs/>
        </w:rPr>
        <w:t>.</w:t>
      </w:r>
      <w:r w:rsidR="00A31212">
        <w:rPr>
          <w:rFonts w:ascii="Arial" w:hAnsi="Arial" w:cs="Arial"/>
          <w:bCs/>
        </w:rPr>
        <w:t xml:space="preserve"> This evidence supporting a generally one-dimensional niche </w:t>
      </w:r>
      <w:r w:rsidR="00C92C83">
        <w:rPr>
          <w:rFonts w:ascii="Arial" w:hAnsi="Arial" w:cs="Arial"/>
          <w:bCs/>
        </w:rPr>
        <w:t xml:space="preserve">axis </w:t>
      </w:r>
      <w:r w:rsidR="00CC6FC3">
        <w:rPr>
          <w:rFonts w:ascii="Arial" w:hAnsi="Arial" w:cs="Arial"/>
          <w:bCs/>
        </w:rPr>
        <w:t>between</w:t>
      </w:r>
      <w:r w:rsidR="00D63D09">
        <w:rPr>
          <w:rFonts w:ascii="Arial" w:hAnsi="Arial" w:cs="Arial"/>
          <w:bCs/>
        </w:rPr>
        <w:t xml:space="preserve"> </w:t>
      </w:r>
      <w:r w:rsidR="00A31212">
        <w:rPr>
          <w:rFonts w:ascii="Arial" w:hAnsi="Arial" w:cs="Arial"/>
          <w:bCs/>
        </w:rPr>
        <w:t xml:space="preserve">low and high fertility environments is further compounded </w:t>
      </w:r>
      <w:r w:rsidR="009A2BD9">
        <w:rPr>
          <w:rFonts w:ascii="Arial" w:hAnsi="Arial" w:cs="Arial"/>
          <w:bCs/>
        </w:rPr>
        <w:t xml:space="preserve">by </w:t>
      </w:r>
      <w:r w:rsidR="00FC306A">
        <w:rPr>
          <w:rFonts w:ascii="Arial" w:hAnsi="Arial" w:cs="Arial"/>
          <w:bCs/>
        </w:rPr>
        <w:t>physiological constraints</w:t>
      </w:r>
      <w:r w:rsidR="00111A40">
        <w:rPr>
          <w:rFonts w:ascii="Arial" w:hAnsi="Arial" w:cs="Arial"/>
          <w:bCs/>
        </w:rPr>
        <w:t xml:space="preserve"> on root architecture</w:t>
      </w:r>
      <w:r w:rsidR="00E9431D">
        <w:rPr>
          <w:rFonts w:ascii="Arial" w:hAnsi="Arial" w:cs="Arial"/>
          <w:bCs/>
        </w:rPr>
        <w:t xml:space="preserve"> </w:t>
      </w:r>
      <w:r w:rsidR="00E9431D">
        <w:rPr>
          <w:rFonts w:ascii="Arial" w:hAnsi="Arial" w:cs="Arial"/>
          <w:bCs/>
        </w:rPr>
        <w:fldChar w:fldCharType="begin" w:fldLock="1"/>
      </w:r>
      <w:r w:rsidR="0021309B">
        <w:rPr>
          <w:rFonts w:ascii="Arial" w:hAnsi="Arial" w:cs="Arial"/>
          <w:bCs/>
        </w:rPr>
        <w:instrText>ADDIN CSL_CITATION {"citationItems":[{"id":"ITEM-1","itemData":{"DOI":"10.1146/annurev.es.11.110180.001313","ISSN":"0066-4162","abstract":"Crop responses to nutrient stress were compared with the responses of spp. which have evolved under more natural environments often low in mineral nutrients.","author":[{"dropping-particle":"","family":"Chapin","given":"F S","non-dropping-particle":"","parse-names":false,"suffix":""}],"container-title":"Annual Review of Ecology and Systematics","id":"ITEM-1","issue":"1","issued":{"date-parts":[["1980"]]},"page":"233-260","title":"The Mineral Nutrition of Wild Plants","type":"article-journal","volume":"11"},"uris":["http://www.mendeley.com/documents/?uuid=46da05eb-4505-40f3-912e-a6c5ec47ca8d"]}],"mendeley":{"formattedCitation":"(Chapin 1980)","plainTextFormattedCitation":"(Chapin 1980)","previouslyFormattedCitation":"(Chapin 1980)"},"properties":{"noteIndex":0},"schema":"https://github.com/citation-style-language/schema/raw/master/csl-citation.json"}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(Chapin 1980)</w:t>
      </w:r>
      <w:r w:rsidR="00E9431D">
        <w:rPr>
          <w:rFonts w:ascii="Arial" w:hAnsi="Arial" w:cs="Arial"/>
          <w:bCs/>
        </w:rPr>
        <w:fldChar w:fldCharType="end"/>
      </w:r>
      <w:r w:rsidR="00111A40">
        <w:rPr>
          <w:rFonts w:ascii="Arial" w:hAnsi="Arial" w:cs="Arial"/>
          <w:bCs/>
        </w:rPr>
        <w:t xml:space="preserve">. </w:t>
      </w:r>
      <w:r w:rsidR="00651EF1">
        <w:rPr>
          <w:rFonts w:ascii="Arial" w:hAnsi="Arial" w:cs="Arial"/>
          <w:bCs/>
        </w:rPr>
        <w:t>Physiological</w:t>
      </w:r>
      <w:r w:rsidR="00111A40">
        <w:rPr>
          <w:rFonts w:ascii="Arial" w:hAnsi="Arial" w:cs="Arial"/>
          <w:bCs/>
        </w:rPr>
        <w:t xml:space="preserve"> adaptations designed to increase the uptake of one mineral nutrient are likely to operate similarly for others; large, deep root systems composed of fine roots generally exhibit greater absorptive capacity than less expansive one</w:t>
      </w:r>
      <w:r w:rsidR="00651EF1">
        <w:rPr>
          <w:rFonts w:ascii="Arial" w:hAnsi="Arial" w:cs="Arial"/>
          <w:bCs/>
        </w:rPr>
        <w:t>s.</w:t>
      </w:r>
    </w:p>
    <w:p w14:paraId="36E0DB25" w14:textId="086F741E" w:rsidR="00651EF1" w:rsidRDefault="00651EF1" w:rsidP="00417EBD">
      <w:pPr>
        <w:rPr>
          <w:rFonts w:ascii="Arial" w:hAnsi="Arial" w:cs="Arial"/>
          <w:bCs/>
        </w:rPr>
      </w:pPr>
      <w:r>
        <w:rPr>
          <w:rFonts w:ascii="Arial" w:hAnsi="Arial" w:cs="Arial"/>
          <w:bCs/>
        </w:rPr>
        <w:t xml:space="preserve">These broad patterns are subject to further sub-specialization, however. </w:t>
      </w:r>
      <w:r w:rsidR="009F40EF">
        <w:rPr>
          <w:rFonts w:ascii="Arial" w:hAnsi="Arial" w:cs="Arial"/>
          <w:bCs/>
        </w:rPr>
        <w:t xml:space="preserve">Plants are known to exhibit variation in tissue stoichiometry, </w:t>
      </w:r>
      <w:r w:rsidR="007E0363">
        <w:rPr>
          <w:rFonts w:ascii="Arial" w:hAnsi="Arial" w:cs="Arial"/>
          <w:bCs/>
        </w:rPr>
        <w:t xml:space="preserve">resource use </w:t>
      </w:r>
      <w:r w:rsidR="009F40EF">
        <w:rPr>
          <w:rFonts w:ascii="Arial" w:hAnsi="Arial" w:cs="Arial"/>
          <w:bCs/>
        </w:rPr>
        <w:t xml:space="preserve">plasticity, and </w:t>
      </w:r>
      <w:r w:rsidR="006556F7">
        <w:rPr>
          <w:rFonts w:ascii="Arial" w:hAnsi="Arial" w:cs="Arial"/>
          <w:bCs/>
        </w:rPr>
        <w:t xml:space="preserve">present </w:t>
      </w:r>
      <w:r w:rsidR="009F40EF">
        <w:rPr>
          <w:rFonts w:ascii="Arial" w:hAnsi="Arial" w:cs="Arial"/>
          <w:bCs/>
        </w:rPr>
        <w:t xml:space="preserve">adaptations that </w:t>
      </w:r>
      <w:r w:rsidR="00D95E08">
        <w:rPr>
          <w:rFonts w:ascii="Arial" w:hAnsi="Arial" w:cs="Arial"/>
          <w:bCs/>
        </w:rPr>
        <w:t>increase the uptake and use of specific resource types</w:t>
      </w:r>
      <w:r w:rsidR="0021309B">
        <w:rPr>
          <w:rFonts w:ascii="Arial" w:hAnsi="Arial" w:cs="Arial"/>
          <w:bCs/>
        </w:rPr>
        <w:t xml:space="preserve"> </w:t>
      </w:r>
      <w:r w:rsidR="0021309B">
        <w:rPr>
          <w:rFonts w:ascii="Arial" w:hAnsi="Arial" w:cs="Arial"/>
          <w:bCs/>
        </w:rPr>
        <w:fldChar w:fldCharType="begin" w:fldLock="1"/>
      </w:r>
      <w:r w:rsidR="0021309B">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Ågren 2008)","plainTextFormattedCitation":"(Güsewell 2004, Ågren 2008)","previouslyFormattedCitation":"(Güsewell 2004, Ågren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(Güsewell 2004, Ågren 2008)</w:t>
      </w:r>
      <w:r w:rsidR="0021309B">
        <w:rPr>
          <w:rFonts w:ascii="Arial" w:hAnsi="Arial" w:cs="Arial"/>
          <w:bCs/>
        </w:rPr>
        <w:fldChar w:fldCharType="end"/>
      </w:r>
      <w:r w:rsidR="00D95E08">
        <w:rPr>
          <w:rFonts w:ascii="Arial" w:hAnsi="Arial" w:cs="Arial"/>
          <w:bCs/>
        </w:rPr>
        <w:t xml:space="preserve">. </w:t>
      </w:r>
      <w:r w:rsidR="00BD72BD">
        <w:rPr>
          <w:rFonts w:ascii="Arial" w:hAnsi="Arial" w:cs="Arial"/>
          <w:bCs/>
        </w:rPr>
        <w:t xml:space="preserve">Specialized root structures </w:t>
      </w:r>
      <w:r w:rsidR="00FD757D">
        <w:rPr>
          <w:rFonts w:ascii="Arial" w:hAnsi="Arial" w:cs="Arial"/>
          <w:bCs/>
        </w:rPr>
        <w:t xml:space="preserve">may increase rates of phosphorous extraction from recalcitrant soil types, while </w:t>
      </w:r>
      <w:r w:rsidR="004F1167">
        <w:rPr>
          <w:rFonts w:ascii="Arial" w:hAnsi="Arial" w:cs="Arial"/>
          <w:bCs/>
        </w:rPr>
        <w:t xml:space="preserve">in many species, </w:t>
      </w:r>
      <w:r w:rsidR="00FD757D">
        <w:rPr>
          <w:rFonts w:ascii="Arial" w:hAnsi="Arial" w:cs="Arial"/>
          <w:bCs/>
        </w:rPr>
        <w:t>microbial symbionts</w:t>
      </w:r>
      <w:r w:rsidR="00B43DAD">
        <w:rPr>
          <w:rFonts w:ascii="Arial" w:hAnsi="Arial" w:cs="Arial"/>
          <w:bCs/>
        </w:rPr>
        <w:t xml:space="preserve"> are known to reduce plant dependence on available soil nitrogen </w:t>
      </w:r>
      <w:r w:rsidR="004F1167">
        <w:rPr>
          <w:rFonts w:ascii="Arial" w:hAnsi="Arial" w:cs="Arial"/>
          <w:bCs/>
        </w:rPr>
        <w:t>and other micronutrients</w:t>
      </w:r>
      <w:r w:rsidR="0021309B">
        <w:rPr>
          <w:rFonts w:ascii="Arial" w:hAnsi="Arial" w:cs="Arial"/>
          <w:bCs/>
        </w:rPr>
        <w:t xml:space="preserve"> </w:t>
      </w:r>
      <w:r w:rsidR="0021309B">
        <w:rPr>
          <w:rFonts w:ascii="Arial" w:hAnsi="Arial" w:cs="Arial"/>
          <w:bCs/>
        </w:rPr>
        <w:fldChar w:fldCharType="begin" w:fldLock="1"/>
      </w:r>
      <w:r w:rsidR="003D56EE">
        <w:rPr>
          <w:rFonts w:ascii="Arial" w:hAnsi="Arial" w:cs="Arial"/>
          <w:bCs/>
        </w:rPr>
        <w:instrText>ADDIN CSL_CITATION {"citationItems":[{"id":"ITEM-1","itemData":{"DOI":"10.1016/j.tree.2007.10.008","ISSN":"01695347","abstract":"Nitrogen (N) tends to limit plant productivity on young soils; phosphorus (P) becomes increasingly limiting in ancient soils because it gradually disappears through leaching and erosion. Plant traits that are regarded as adaptations to N- and P-limited conditions include mycorrhizas and cluster roots. Mycorrhizas 'scavenge' P from solution or 'mine' insoluble organic N. Cluster roots function in severely P-impoverished landscapes, 'mining' P fixed as insoluble inorganic phosphates. The 'scavenging' and 'mining' strategies of mycorrhizal species without and non-mycorrhizal species with cluster roots, respectively, allow functioning on soils that differ markedly in P availability. Based on recent advances in our understanding of these contrasting strategies of nutrient acquisition, we provide an explanation for the distribution of mycorrhizal species on less P-impoverished soils, and for why, globally, cluster-bearing species dominate on severely P-impoverished, ancient soils, where P sensitivity is relatively common. © 2007 Elsevier Ltd. All rights reserved.","author":[{"dropping-particle":"","family":"Lambers","given":"Hans","non-dropping-particle":"","parse-names":false,"suffix":""},{"dropping-particle":"","family":"Raven","given":"John A.","non-dropping-particle":"","parse-names":false,"suffix":""},{"dropping-particle":"","family":"Shaver","given":"Gaius R.","non-dropping-particle":"","parse-names":false,"suffix":""},{"dropping-particle":"","family":"Smith","given":"Sally E.","non-dropping-particle":"","parse-names":false,"suffix":""}],"container-title":"Trends in Ecology and Evolution","id":"ITEM-1","issue":"2","issued":{"date-parts":[["2008"]]},"page":"95-103","title":"Plant nutrient-acquisition strategies change with soil age","type":"article-journal","volume":"23"},"uris":["http://www.mendeley.com/documents/?uuid=9123ae38-9478-4832-ad6f-5011b17960bc"]},{"id":"ITEM-2","itemData":{"DOI":"10.1073/pnas.0408648102","ISBN":"0027-8424","ISSN":"0027-8424","PMID":"15755810","abstract":"Human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America","id":"ITEM-2","issue":"12","issued":{"date-parts":[["2005"]]},"page":"4387-4392","title":"Functional- and abundance-based mechanisms explain diversity loss due to N fertilization","type":"article-journal","volume":"102"},"uris":["http://www.mendeley.com/documents/?uuid=951350a1-86c0-477d-b942-df7585b98f39"]}],"mendeley":{"formattedCitation":"(Suding et al. 2005, Lambers et al. 2008)","plainTextFormattedCitation":"(Suding et al. 2005, Lambers et al. 2008)","previouslyFormattedCitation":"(Suding et al. 2005, Lambers et al.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(Suding et al. 2005, Lambers et al. 2008)</w:t>
      </w:r>
      <w:r w:rsidR="0021309B">
        <w:rPr>
          <w:rFonts w:ascii="Arial" w:hAnsi="Arial" w:cs="Arial"/>
          <w:bCs/>
        </w:rPr>
        <w:fldChar w:fldCharType="end"/>
      </w:r>
      <w:r w:rsidR="004F1167">
        <w:rPr>
          <w:rFonts w:ascii="Arial" w:hAnsi="Arial" w:cs="Arial"/>
          <w:bCs/>
        </w:rPr>
        <w:t xml:space="preserve">. </w:t>
      </w:r>
    </w:p>
    <w:p w14:paraId="7A73469C" w14:textId="11514DB5" w:rsidR="00C65258" w:rsidRDefault="000D31B5" w:rsidP="00B364F9">
      <w:pPr>
        <w:rPr>
          <w:rFonts w:ascii="Arial" w:hAnsi="Arial" w:cs="Arial"/>
          <w:bCs/>
        </w:rPr>
      </w:pPr>
      <w:r>
        <w:rPr>
          <w:rFonts w:ascii="Arial" w:hAnsi="Arial" w:cs="Arial"/>
          <w:bCs/>
        </w:rPr>
        <w:t xml:space="preserve">In turn, the development of these nutrient-specific tradeoffs will depend other mechanisms of species coexistence in a given context. </w:t>
      </w:r>
      <w:r w:rsidR="00607437">
        <w:rPr>
          <w:rFonts w:ascii="Arial" w:hAnsi="Arial" w:cs="Arial"/>
          <w:bCs/>
        </w:rPr>
        <w:t xml:space="preserve">The availability of different </w:t>
      </w:r>
      <w:r>
        <w:rPr>
          <w:rFonts w:ascii="Arial" w:hAnsi="Arial" w:cs="Arial"/>
          <w:bCs/>
        </w:rPr>
        <w:t>belowground resources present</w:t>
      </w:r>
      <w:r w:rsidR="00607437">
        <w:rPr>
          <w:rFonts w:ascii="Arial" w:hAnsi="Arial" w:cs="Arial"/>
          <w:bCs/>
        </w:rPr>
        <w:t xml:space="preserve">s </w:t>
      </w:r>
      <w:r>
        <w:rPr>
          <w:rFonts w:ascii="Arial" w:hAnsi="Arial" w:cs="Arial"/>
          <w:bCs/>
        </w:rPr>
        <w:t xml:space="preserve">one subset of the total niche space on which species are distributed; coexistence in many environments is also predicated </w:t>
      </w:r>
      <w:r w:rsidR="00607437">
        <w:rPr>
          <w:rFonts w:ascii="Arial" w:hAnsi="Arial" w:cs="Arial"/>
          <w:bCs/>
        </w:rPr>
        <w:t xml:space="preserve">on trade-offs </w:t>
      </w:r>
      <w:r w:rsidR="005906CF">
        <w:rPr>
          <w:rFonts w:ascii="Arial" w:hAnsi="Arial" w:cs="Arial"/>
          <w:bCs/>
        </w:rPr>
        <w:t xml:space="preserve">in water use and storage, herbivore </w:t>
      </w:r>
      <w:r w:rsidR="004217D8">
        <w:rPr>
          <w:rFonts w:ascii="Arial" w:hAnsi="Arial" w:cs="Arial"/>
          <w:bCs/>
        </w:rPr>
        <w:t xml:space="preserve">defense, or </w:t>
      </w:r>
      <w:r w:rsidR="00731617">
        <w:rPr>
          <w:rFonts w:ascii="Arial" w:hAnsi="Arial" w:cs="Arial"/>
          <w:bCs/>
        </w:rPr>
        <w:t xml:space="preserve">tolerance of disturbance. Adaptations that produce niche differentiation on these axes may </w:t>
      </w:r>
      <w:r w:rsidR="00694220">
        <w:rPr>
          <w:rFonts w:ascii="Arial" w:hAnsi="Arial" w:cs="Arial"/>
          <w:bCs/>
        </w:rPr>
        <w:t xml:space="preserve">constrain development of others; </w:t>
      </w:r>
      <w:r w:rsidR="00C4294C">
        <w:rPr>
          <w:rFonts w:ascii="Arial" w:hAnsi="Arial" w:cs="Arial"/>
          <w:bCs/>
        </w:rPr>
        <w:t xml:space="preserve">greater plant investment into root tissues to provide drought tolerance, for example, may necessarily </w:t>
      </w:r>
      <w:r w:rsidR="007F4E3F">
        <w:rPr>
          <w:rFonts w:ascii="Arial" w:hAnsi="Arial" w:cs="Arial"/>
          <w:bCs/>
        </w:rPr>
        <w:t xml:space="preserve">decrease </w:t>
      </w:r>
      <w:r w:rsidR="00510808">
        <w:rPr>
          <w:rFonts w:ascii="Arial" w:hAnsi="Arial" w:cs="Arial"/>
          <w:bCs/>
        </w:rPr>
        <w:t>competitive ability under high resource conditions.</w:t>
      </w:r>
    </w:p>
    <w:p w14:paraId="771ED585" w14:textId="0A2A2ECA" w:rsidR="00B364F9" w:rsidRDefault="00895CBD" w:rsidP="00B364F9">
      <w:pPr>
        <w:rPr>
          <w:rFonts w:ascii="Arial" w:hAnsi="Arial" w:cs="Arial"/>
          <w:bCs/>
        </w:rPr>
      </w:pPr>
      <w:r>
        <w:rPr>
          <w:rFonts w:ascii="Arial" w:hAnsi="Arial" w:cs="Arial"/>
          <w:bCs/>
        </w:rPr>
        <w:t xml:space="preserve">Finally, </w:t>
      </w:r>
      <w:r w:rsidR="007D10E8">
        <w:rPr>
          <w:rFonts w:ascii="Arial" w:hAnsi="Arial" w:cs="Arial"/>
          <w:bCs/>
        </w:rPr>
        <w:t xml:space="preserve">resource competition theory </w:t>
      </w:r>
      <w:r w:rsidR="002708BE">
        <w:rPr>
          <w:rFonts w:ascii="Arial" w:hAnsi="Arial" w:cs="Arial"/>
          <w:bCs/>
        </w:rPr>
        <w:t xml:space="preserve">emphasizes that </w:t>
      </w:r>
      <w:r w:rsidR="00100A81">
        <w:rPr>
          <w:rFonts w:ascii="Arial" w:hAnsi="Arial" w:cs="Arial"/>
          <w:bCs/>
        </w:rPr>
        <w:t xml:space="preserve">successful species </w:t>
      </w:r>
      <w:r w:rsidR="00A67CD4">
        <w:rPr>
          <w:rFonts w:ascii="Arial" w:hAnsi="Arial" w:cs="Arial"/>
          <w:bCs/>
        </w:rPr>
        <w:t>can</w:t>
      </w:r>
      <w:r w:rsidR="00100A81">
        <w:rPr>
          <w:rFonts w:ascii="Arial" w:hAnsi="Arial" w:cs="Arial"/>
          <w:bCs/>
        </w:rPr>
        <w:t xml:space="preserve"> reduce </w:t>
      </w:r>
      <w:r w:rsidR="00A67CD4">
        <w:rPr>
          <w:rFonts w:ascii="Arial" w:hAnsi="Arial" w:cs="Arial"/>
          <w:bCs/>
        </w:rPr>
        <w:t xml:space="preserve">resources to lower </w:t>
      </w:r>
      <w:r w:rsidR="00972796">
        <w:rPr>
          <w:rFonts w:ascii="Arial" w:hAnsi="Arial" w:cs="Arial"/>
          <w:bCs/>
        </w:rPr>
        <w:t xml:space="preserve">concentrations </w:t>
      </w:r>
      <w:r w:rsidR="00100A81">
        <w:rPr>
          <w:rFonts w:ascii="Arial" w:hAnsi="Arial" w:cs="Arial"/>
          <w:bCs/>
        </w:rPr>
        <w:t xml:space="preserve">than their </w:t>
      </w:r>
      <w:r w:rsidR="003B5F58">
        <w:rPr>
          <w:rFonts w:ascii="Arial" w:hAnsi="Arial" w:cs="Arial"/>
          <w:bCs/>
        </w:rPr>
        <w:t xml:space="preserve">competitors – as such, variation in trajectories of community change following </w:t>
      </w:r>
      <w:r w:rsidR="00B542E8">
        <w:rPr>
          <w:rFonts w:ascii="Arial" w:hAnsi="Arial" w:cs="Arial"/>
          <w:bCs/>
        </w:rPr>
        <w:t xml:space="preserve">multiple </w:t>
      </w:r>
      <w:r w:rsidR="003B5F58">
        <w:rPr>
          <w:rFonts w:ascii="Arial" w:hAnsi="Arial" w:cs="Arial"/>
          <w:bCs/>
        </w:rPr>
        <w:t xml:space="preserve">resource enrichment will depend on </w:t>
      </w:r>
      <w:r w:rsidR="00A67CD4">
        <w:rPr>
          <w:rFonts w:ascii="Arial" w:hAnsi="Arial" w:cs="Arial"/>
          <w:bCs/>
        </w:rPr>
        <w:t xml:space="preserve">characteristics of interacting species </w:t>
      </w:r>
      <w:r w:rsidR="003B5F58">
        <w:rPr>
          <w:rFonts w:ascii="Arial" w:hAnsi="Arial" w:cs="Arial"/>
          <w:bCs/>
        </w:rPr>
        <w:t xml:space="preserve">prior to </w:t>
      </w:r>
      <w:r w:rsidR="00D95146">
        <w:rPr>
          <w:rFonts w:ascii="Arial" w:hAnsi="Arial" w:cs="Arial"/>
          <w:bCs/>
        </w:rPr>
        <w:t xml:space="preserve">fertilization. Greater taxonomic or functional diversity, for example, may be correlated with greater </w:t>
      </w:r>
      <w:r w:rsidR="00082EEB">
        <w:rPr>
          <w:rFonts w:ascii="Arial" w:hAnsi="Arial" w:cs="Arial"/>
          <w:bCs/>
        </w:rPr>
        <w:t xml:space="preserve">niche differentiation across belowground resources, leading </w:t>
      </w:r>
      <w:r w:rsidR="00B95216">
        <w:rPr>
          <w:rFonts w:ascii="Arial" w:hAnsi="Arial" w:cs="Arial"/>
          <w:bCs/>
        </w:rPr>
        <w:t>to effects that differ</w:t>
      </w:r>
      <w:r w:rsidR="00F436F2">
        <w:rPr>
          <w:rFonts w:ascii="Arial" w:hAnsi="Arial" w:cs="Arial"/>
          <w:bCs/>
        </w:rPr>
        <w:t xml:space="preserve"> in direction</w:t>
      </w:r>
      <w:r w:rsidR="00B95216">
        <w:rPr>
          <w:rFonts w:ascii="Arial" w:hAnsi="Arial" w:cs="Arial"/>
          <w:bCs/>
        </w:rPr>
        <w:t xml:space="preserve">. </w:t>
      </w:r>
    </w:p>
    <w:p w14:paraId="6D206B16" w14:textId="20C34E1B" w:rsidR="002F0044" w:rsidRDefault="002F216E" w:rsidP="002F0044">
      <w:pPr>
        <w:rPr>
          <w:rFonts w:ascii="Arial" w:hAnsi="Arial" w:cs="Arial"/>
          <w:bCs/>
        </w:rPr>
      </w:pPr>
      <w:r>
        <w:rPr>
          <w:rFonts w:ascii="Arial" w:hAnsi="Arial" w:cs="Arial"/>
          <w:bCs/>
        </w:rPr>
        <w:t xml:space="preserve">To understand the importance of belowground resource supply and stoichiometry </w:t>
      </w:r>
      <w:r w:rsidR="000472B9">
        <w:rPr>
          <w:rFonts w:ascii="Arial" w:hAnsi="Arial" w:cs="Arial"/>
          <w:bCs/>
        </w:rPr>
        <w:t>to plant coexistence, we use data from the Nutrient Network</w:t>
      </w:r>
      <w:r w:rsidR="002E6DB1">
        <w:rPr>
          <w:rFonts w:ascii="Arial" w:hAnsi="Arial" w:cs="Arial"/>
          <w:bCs/>
        </w:rPr>
        <w:t xml:space="preserve">, a </w:t>
      </w:r>
      <w:r w:rsidR="000472B9">
        <w:rPr>
          <w:rFonts w:ascii="Arial" w:hAnsi="Arial" w:cs="Arial"/>
          <w:bCs/>
        </w:rPr>
        <w:t xml:space="preserve">globally distributed experiment </w:t>
      </w:r>
      <w:r w:rsidR="006F607C">
        <w:rPr>
          <w:rFonts w:ascii="Arial" w:hAnsi="Arial" w:cs="Arial"/>
          <w:bCs/>
        </w:rPr>
        <w:t xml:space="preserve">manipulating the available of individual soil resources. </w:t>
      </w:r>
      <w:r w:rsidR="002F0044">
        <w:rPr>
          <w:rFonts w:ascii="Arial" w:hAnsi="Arial" w:cs="Arial"/>
          <w:bCs/>
        </w:rPr>
        <w:t xml:space="preserve">Rather than comparing </w:t>
      </w:r>
      <w:r w:rsidR="009A77FA">
        <w:rPr>
          <w:rFonts w:ascii="Arial" w:hAnsi="Arial" w:cs="Arial"/>
          <w:bCs/>
        </w:rPr>
        <w:t xml:space="preserve">the relative fit of models assuming </w:t>
      </w:r>
      <w:r w:rsidR="00A926C6">
        <w:rPr>
          <w:rFonts w:ascii="Arial" w:hAnsi="Arial" w:cs="Arial"/>
          <w:bCs/>
        </w:rPr>
        <w:t xml:space="preserve">one-dimensional or multi-dimensional trade-offs in belowground resource acquisition, we synthesize these perspectives </w:t>
      </w:r>
      <w:r w:rsidR="004A5B3D">
        <w:rPr>
          <w:rFonts w:ascii="Arial" w:hAnsi="Arial" w:cs="Arial"/>
          <w:bCs/>
        </w:rPr>
        <w:t xml:space="preserve">to capture how these </w:t>
      </w:r>
      <w:r w:rsidR="00796922">
        <w:rPr>
          <w:rFonts w:ascii="Arial" w:hAnsi="Arial" w:cs="Arial"/>
          <w:bCs/>
        </w:rPr>
        <w:t>mechanisms</w:t>
      </w:r>
      <w:r w:rsidR="004A5B3D">
        <w:rPr>
          <w:rFonts w:ascii="Arial" w:hAnsi="Arial" w:cs="Arial"/>
          <w:bCs/>
        </w:rPr>
        <w:t xml:space="preserve"> interact </w:t>
      </w:r>
      <w:r w:rsidR="004B44E0">
        <w:rPr>
          <w:rFonts w:ascii="Arial" w:hAnsi="Arial" w:cs="Arial"/>
          <w:bCs/>
        </w:rPr>
        <w:t>to control community composition.</w:t>
      </w:r>
      <w:r w:rsidR="00E37A35">
        <w:rPr>
          <w:rFonts w:ascii="Arial" w:hAnsi="Arial" w:cs="Arial"/>
          <w:bCs/>
        </w:rPr>
        <w:t xml:space="preserve"> </w:t>
      </w:r>
    </w:p>
    <w:p w14:paraId="6E0F15A2" w14:textId="099CA28E" w:rsidR="00056516" w:rsidRDefault="00FD11AD" w:rsidP="00B364F9">
      <w:pPr>
        <w:rPr>
          <w:rFonts w:ascii="Arial" w:hAnsi="Arial" w:cs="Arial"/>
          <w:bCs/>
        </w:rPr>
      </w:pPr>
      <w:r>
        <w:rPr>
          <w:rFonts w:ascii="Arial" w:hAnsi="Arial" w:cs="Arial"/>
          <w:bCs/>
        </w:rPr>
        <w:t xml:space="preserve">To capture variation in community </w:t>
      </w:r>
      <w:r w:rsidR="00720AA0">
        <w:rPr>
          <w:rFonts w:ascii="Arial" w:hAnsi="Arial" w:cs="Arial"/>
          <w:bCs/>
        </w:rPr>
        <w:t xml:space="preserve">change following </w:t>
      </w:r>
      <w:r>
        <w:rPr>
          <w:rFonts w:ascii="Arial" w:hAnsi="Arial" w:cs="Arial"/>
          <w:bCs/>
        </w:rPr>
        <w:t xml:space="preserve">fertilization of different belowground resources, we constructed a null model based on a “neutral” assumption </w:t>
      </w:r>
      <w:r w:rsidR="006671A6">
        <w:rPr>
          <w:rFonts w:ascii="Arial" w:hAnsi="Arial" w:cs="Arial"/>
          <w:bCs/>
        </w:rPr>
        <w:t>(</w:t>
      </w:r>
      <w:r w:rsidR="006671A6" w:rsidRPr="00813753">
        <w:rPr>
          <w:rFonts w:ascii="Arial" w:hAnsi="Arial" w:cs="Arial"/>
          <w:bCs/>
          <w:i/>
          <w:iCs/>
        </w:rPr>
        <w:t>sensu</w:t>
      </w:r>
      <w:r w:rsidR="006671A6">
        <w:rPr>
          <w:rFonts w:ascii="Arial" w:hAnsi="Arial" w:cs="Arial"/>
          <w:bCs/>
        </w:rPr>
        <w:t xml:space="preserve"> </w:t>
      </w:r>
      <w:r w:rsidR="00A436CC">
        <w:rPr>
          <w:rFonts w:ascii="Arial" w:hAnsi="Arial" w:cs="Arial"/>
          <w:bCs/>
        </w:rPr>
        <w:t>Hubbell 2001)</w:t>
      </w:r>
      <w:r w:rsidR="00ED490E">
        <w:rPr>
          <w:rFonts w:ascii="Arial" w:hAnsi="Arial" w:cs="Arial"/>
          <w:bCs/>
        </w:rPr>
        <w:t xml:space="preserve"> </w:t>
      </w:r>
      <w:r>
        <w:rPr>
          <w:rFonts w:ascii="Arial" w:hAnsi="Arial" w:cs="Arial"/>
          <w:bCs/>
        </w:rPr>
        <w:lastRenderedPageBreak/>
        <w:t xml:space="preserve">that species </w:t>
      </w:r>
      <w:r w:rsidR="00ED490E">
        <w:rPr>
          <w:rFonts w:ascii="Arial" w:hAnsi="Arial" w:cs="Arial"/>
          <w:bCs/>
        </w:rPr>
        <w:t>respond only to changes in nutrient supply, rather than stoichiometry</w:t>
      </w:r>
      <w:r w:rsidR="00640702">
        <w:rPr>
          <w:rFonts w:ascii="Arial" w:hAnsi="Arial" w:cs="Arial"/>
          <w:bCs/>
        </w:rPr>
        <w:t xml:space="preserve">. Under </w:t>
      </w:r>
      <w:r w:rsidR="00861A04">
        <w:rPr>
          <w:rFonts w:ascii="Arial" w:hAnsi="Arial" w:cs="Arial"/>
          <w:bCs/>
        </w:rPr>
        <w:t xml:space="preserve">a </w:t>
      </w:r>
      <w:r w:rsidR="00640702">
        <w:rPr>
          <w:rFonts w:ascii="Arial" w:hAnsi="Arial" w:cs="Arial"/>
          <w:bCs/>
        </w:rPr>
        <w:t xml:space="preserve">neutral expectation, </w:t>
      </w:r>
      <w:r w:rsidR="00BA36CE">
        <w:rPr>
          <w:rFonts w:ascii="Arial" w:hAnsi="Arial" w:cs="Arial"/>
          <w:bCs/>
        </w:rPr>
        <w:t>communities will exhibit consistent trajectories across treatments</w:t>
      </w:r>
      <w:r w:rsidR="00E37A35">
        <w:rPr>
          <w:rFonts w:ascii="Arial" w:hAnsi="Arial" w:cs="Arial"/>
          <w:bCs/>
        </w:rPr>
        <w:t>, forming a one-dimensional axis of change</w:t>
      </w:r>
      <w:r w:rsidR="00BA36CE">
        <w:rPr>
          <w:rFonts w:ascii="Arial" w:hAnsi="Arial" w:cs="Arial"/>
          <w:bCs/>
        </w:rPr>
        <w:t xml:space="preserve">. </w:t>
      </w:r>
      <w:r w:rsidR="00861A04">
        <w:rPr>
          <w:rFonts w:ascii="Arial" w:hAnsi="Arial" w:cs="Arial"/>
          <w:bCs/>
        </w:rPr>
        <w:t>The degree of deviation from this null</w:t>
      </w:r>
      <w:r w:rsidR="00D21A0E">
        <w:rPr>
          <w:rFonts w:ascii="Arial" w:hAnsi="Arial" w:cs="Arial"/>
          <w:bCs/>
        </w:rPr>
        <w:t xml:space="preserve"> model thus forms a measure of </w:t>
      </w:r>
      <w:r w:rsidR="00D21A0E" w:rsidRPr="00D21A0E">
        <w:rPr>
          <w:rFonts w:ascii="Arial" w:hAnsi="Arial" w:cs="Arial"/>
          <w:bCs/>
          <w:i/>
          <w:iCs/>
        </w:rPr>
        <w:t>response dimensionality</w:t>
      </w:r>
      <w:r w:rsidR="00D21A0E">
        <w:rPr>
          <w:rFonts w:ascii="Arial" w:hAnsi="Arial" w:cs="Arial"/>
          <w:bCs/>
        </w:rPr>
        <w:t xml:space="preserve"> – variation among trajectories of change following different treatments – that </w:t>
      </w:r>
      <w:r w:rsidR="00216002">
        <w:rPr>
          <w:rFonts w:ascii="Arial" w:hAnsi="Arial" w:cs="Arial"/>
          <w:bCs/>
        </w:rPr>
        <w:t>may be used to infer</w:t>
      </w:r>
      <w:r w:rsidR="00D55E54">
        <w:rPr>
          <w:rFonts w:ascii="Arial" w:hAnsi="Arial" w:cs="Arial"/>
          <w:bCs/>
        </w:rPr>
        <w:t xml:space="preserve"> </w:t>
      </w:r>
      <w:r w:rsidR="007B6F79">
        <w:rPr>
          <w:rFonts w:ascii="Arial" w:hAnsi="Arial" w:cs="Arial"/>
          <w:bCs/>
        </w:rPr>
        <w:t>the trade-offs governing species coexistence.</w:t>
      </w:r>
    </w:p>
    <w:p w14:paraId="78875FBC" w14:textId="7795A822" w:rsidR="00E63ABE" w:rsidRDefault="00A95548">
      <w:pPr>
        <w:rPr>
          <w:rFonts w:ascii="Arial" w:hAnsi="Arial" w:cs="Arial"/>
          <w:bCs/>
        </w:rPr>
      </w:pPr>
      <w:r>
        <w:rPr>
          <w:rFonts w:ascii="Arial" w:hAnsi="Arial" w:cs="Arial"/>
          <w:bCs/>
        </w:rPr>
        <w:t>A</w:t>
      </w:r>
      <w:r w:rsidR="008E767D">
        <w:rPr>
          <w:rFonts w:ascii="Arial" w:hAnsi="Arial" w:cs="Arial"/>
          <w:bCs/>
        </w:rPr>
        <w:t xml:space="preserve">cross sites, </w:t>
      </w:r>
      <w:r>
        <w:rPr>
          <w:rFonts w:ascii="Arial" w:hAnsi="Arial" w:cs="Arial"/>
          <w:bCs/>
        </w:rPr>
        <w:t>a one-dimensional trade-off governed by light competition will act as a strong determinant of species responses</w:t>
      </w:r>
      <w:r w:rsidR="007D000A">
        <w:rPr>
          <w:rFonts w:ascii="Arial" w:hAnsi="Arial" w:cs="Arial"/>
          <w:bCs/>
        </w:rPr>
        <w:t xml:space="preserve"> to nutrient enrichment, </w:t>
      </w:r>
      <w:r w:rsidR="00EB7EF6">
        <w:rPr>
          <w:rFonts w:ascii="Arial" w:hAnsi="Arial" w:cs="Arial"/>
          <w:bCs/>
        </w:rPr>
        <w:t xml:space="preserve">yielding a high relative fit of our null model. </w:t>
      </w:r>
      <w:r w:rsidR="003F22B7">
        <w:rPr>
          <w:rFonts w:ascii="Arial" w:hAnsi="Arial" w:cs="Arial"/>
          <w:bCs/>
        </w:rPr>
        <w:t xml:space="preserve">However, we </w:t>
      </w:r>
      <w:r w:rsidR="00814FA0">
        <w:rPr>
          <w:rFonts w:ascii="Arial" w:hAnsi="Arial" w:cs="Arial"/>
          <w:bCs/>
        </w:rPr>
        <w:t xml:space="preserve">hypothesize that this null model will better capture community responses </w:t>
      </w:r>
      <w:r w:rsidR="005231C5">
        <w:rPr>
          <w:rFonts w:ascii="Arial" w:hAnsi="Arial" w:cs="Arial"/>
          <w:bCs/>
        </w:rPr>
        <w:t xml:space="preserve">under in spatially or temporally heterogeneous systems, and those of lower productivity, where specialization on individual resource types is unlikely to form an important axis of niche differentiation. In contrast, we expect multi-dimensional tradeoffs in belowground resource use to be more </w:t>
      </w:r>
      <w:r w:rsidR="00C2161E">
        <w:rPr>
          <w:rFonts w:ascii="Arial" w:hAnsi="Arial" w:cs="Arial"/>
          <w:bCs/>
        </w:rPr>
        <w:t xml:space="preserve">important in systems </w:t>
      </w:r>
      <w:r w:rsidR="003701E2">
        <w:rPr>
          <w:rFonts w:ascii="Arial" w:hAnsi="Arial" w:cs="Arial"/>
          <w:bCs/>
        </w:rPr>
        <w:t xml:space="preserve">where diversity is maintained by local coexistence mechanisms in </w:t>
      </w:r>
      <w:r w:rsidR="00D14EF8">
        <w:rPr>
          <w:rFonts w:ascii="Arial" w:hAnsi="Arial" w:cs="Arial"/>
          <w:bCs/>
        </w:rPr>
        <w:t xml:space="preserve">taxonomically </w:t>
      </w:r>
      <w:r w:rsidR="006D3A8A">
        <w:rPr>
          <w:rFonts w:ascii="Arial" w:hAnsi="Arial" w:cs="Arial"/>
          <w:bCs/>
        </w:rPr>
        <w:t xml:space="preserve">diverse, resource-rich </w:t>
      </w:r>
      <w:r w:rsidR="003701E2">
        <w:rPr>
          <w:rFonts w:ascii="Arial" w:hAnsi="Arial" w:cs="Arial"/>
          <w:bCs/>
        </w:rPr>
        <w:t>environments</w:t>
      </w:r>
      <w:r w:rsidR="006D3A8A">
        <w:rPr>
          <w:rFonts w:ascii="Arial" w:hAnsi="Arial" w:cs="Arial"/>
          <w:bCs/>
        </w:rPr>
        <w:t>.</w:t>
      </w:r>
      <w:r w:rsidR="003701E2">
        <w:rPr>
          <w:rFonts w:ascii="Arial" w:hAnsi="Arial" w:cs="Arial"/>
          <w:bCs/>
        </w:rPr>
        <w:t xml:space="preserve"> </w:t>
      </w:r>
    </w:p>
    <w:p w14:paraId="4F76B6A7" w14:textId="77777777" w:rsidR="003F22B7" w:rsidRPr="00955D5C" w:rsidRDefault="003F22B7">
      <w:pPr>
        <w:rPr>
          <w:rFonts w:ascii="Arial" w:hAnsi="Arial" w:cs="Arial"/>
          <w:bCs/>
        </w:rPr>
      </w:pPr>
    </w:p>
    <w:p w14:paraId="4A0A0434" w14:textId="1A8DE565"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3A2726A1" w:rsidR="00ED3A53" w:rsidRPr="005E35A5" w:rsidRDefault="00337F21" w:rsidP="00337F21">
      <w:pPr>
        <w:rPr>
          <w:rFonts w:ascii="Arial" w:hAnsi="Arial" w:cs="Arial"/>
          <w:bCs/>
        </w:rPr>
      </w:pPr>
      <w:r w:rsidRPr="000D1D59">
        <w:rPr>
          <w:rFonts w:ascii="Arial" w:hAnsi="Arial" w:cs="Arial"/>
          <w:bCs/>
        </w:rPr>
        <w:t>The 50 study sites are part of the Nutrient Network, a cooperative, distributed experiment</w:t>
      </w:r>
      <w:r w:rsidR="008D0A1F">
        <w:rPr>
          <w:rFonts w:ascii="Arial" w:hAnsi="Arial" w:cs="Arial"/>
          <w:bCs/>
        </w:rPr>
        <w:t xml:space="preserve"> in global grasslands</w:t>
      </w:r>
      <w:r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potassium </w:t>
      </w:r>
      <w:r w:rsidR="00A24ADC">
        <w:rPr>
          <w:rFonts w:ascii="Arial" w:hAnsi="Arial" w:cs="Arial"/>
          <w:bCs/>
        </w:rPr>
        <w:t xml:space="preserve">with </w:t>
      </w:r>
      <w:r w:rsidR="0072569F" w:rsidRPr="000D1D59">
        <w:rPr>
          <w:rFonts w:ascii="Arial" w:hAnsi="Arial" w:cs="Arial"/>
          <w:bCs/>
        </w:rPr>
        <w:t>other micronutrient</w:t>
      </w:r>
      <w:r w:rsidR="0019467D">
        <w:rPr>
          <w:rFonts w:ascii="Arial" w:hAnsi="Arial" w:cs="Arial"/>
          <w:bCs/>
        </w:rPr>
        <w:t>s</w:t>
      </w:r>
      <w:r w:rsidR="0072569F" w:rsidRPr="000D1D59">
        <w:rPr>
          <w:rFonts w:ascii="Arial" w:hAnsi="Arial" w:cs="Arial"/>
          <w:bCs/>
        </w:rPr>
        <w:t xml:space="preserve"> </w:t>
      </w:r>
      <w:r w:rsidR="00A24ADC">
        <w:rPr>
          <w:rFonts w:ascii="Arial" w:hAnsi="Arial" w:cs="Arial"/>
          <w:bCs/>
        </w:rPr>
        <w:t>(</w:t>
      </w:r>
      <w:r w:rsidR="0072569F" w:rsidRPr="000D1D59">
        <w:rPr>
          <w:rFonts w:ascii="Arial" w:hAnsi="Arial" w:cs="Arial"/>
          <w:bCs/>
        </w:rPr>
        <w:t>K</w:t>
      </w:r>
      <w:r w:rsidR="001B582A" w:rsidRPr="000D1D59">
        <w:rPr>
          <w:rFonts w:ascii="Arial" w:hAnsi="Arial" w:cs="Arial"/>
          <w:bCs/>
          <w:vertAlign w:val="subscript"/>
        </w:rPr>
        <w:t>µ</w:t>
      </w:r>
      <w:r w:rsidR="0072569F" w:rsidRPr="000D1D59">
        <w:rPr>
          <w:rFonts w:ascii="Arial" w:hAnsi="Arial" w:cs="Arial"/>
          <w:bCs/>
        </w:rPr>
        <w:t>) fertilization treatments, in addition to fencing treatments crossed with +NPK</w:t>
      </w:r>
      <w:r w:rsidR="001B582A" w:rsidRPr="000D1D59">
        <w:rPr>
          <w:rFonts w:ascii="Arial" w:hAnsi="Arial" w:cs="Arial"/>
          <w:bCs/>
          <w:vertAlign w:val="subscript"/>
        </w:rPr>
        <w:t>µ</w:t>
      </w:r>
      <w:r w:rsidR="0072569F" w:rsidRPr="000D1D59">
        <w:rPr>
          <w:rFonts w:ascii="Arial" w:hAnsi="Arial" w:cs="Arial"/>
          <w:bCs/>
        </w:rPr>
        <w:t xml:space="preserve"> enrichment.</w:t>
      </w:r>
      <w:r w:rsidR="00ED3A53">
        <w:rPr>
          <w:rFonts w:ascii="Arial" w:hAnsi="Arial" w:cs="Arial"/>
          <w:bCs/>
        </w:rPr>
        <w:t xml:space="preserve"> All nutrient enrichment treatments </w:t>
      </w:r>
      <w:r w:rsidR="005E35A5">
        <w:rPr>
          <w:rFonts w:ascii="Arial" w:hAnsi="Arial" w:cs="Arial"/>
          <w:bCs/>
        </w:rPr>
        <w:t>were applied at a rate of 10 g N/P/K m</w:t>
      </w:r>
      <w:r w:rsidR="005E35A5">
        <w:rPr>
          <w:rFonts w:ascii="Arial" w:hAnsi="Arial" w:cs="Arial"/>
          <w:bCs/>
          <w:vertAlign w:val="superscript"/>
        </w:rPr>
        <w:t>-2</w:t>
      </w:r>
      <w:r w:rsidR="005E35A5">
        <w:rPr>
          <w:rFonts w:ascii="Arial" w:hAnsi="Arial" w:cs="Arial"/>
          <w:bCs/>
        </w:rPr>
        <w:t xml:space="preserve"> year</w:t>
      </w:r>
      <w:r w:rsidR="005E35A5">
        <w:rPr>
          <w:rFonts w:ascii="Arial" w:hAnsi="Arial" w:cs="Arial"/>
          <w:bCs/>
          <w:vertAlign w:val="superscript"/>
        </w:rPr>
        <w:t>-1</w:t>
      </w:r>
      <w:r w:rsidR="005E35A5">
        <w:rPr>
          <w:rFonts w:ascii="Arial" w:hAnsi="Arial" w:cs="Arial"/>
          <w:bCs/>
        </w:rPr>
        <w:t>, with micronutrients supplied during the first treatment year.</w:t>
      </w:r>
    </w:p>
    <w:p w14:paraId="7E7C25E7" w14:textId="3553CECE" w:rsidR="00813753" w:rsidRPr="000D1D59" w:rsidRDefault="0072569F" w:rsidP="00337F21">
      <w:pPr>
        <w:rPr>
          <w:rFonts w:ascii="Arial" w:hAnsi="Arial" w:cs="Arial"/>
          <w:bCs/>
        </w:rPr>
      </w:pPr>
      <w:r w:rsidRPr="000D1D59">
        <w:rPr>
          <w:rFonts w:ascii="Arial" w:hAnsi="Arial" w:cs="Arial"/>
          <w:bCs/>
        </w:rPr>
        <w:t xml:space="preserve"> For our analysis, experimental results were filtered to control plots and those receiving single nutrient addition treatments (+N, +P, or +K</w:t>
      </w:r>
      <w:r w:rsidR="001B582A" w:rsidRPr="000D1D59">
        <w:rPr>
          <w:rFonts w:ascii="Arial" w:hAnsi="Arial" w:cs="Arial"/>
          <w:bCs/>
          <w:vertAlign w:val="subscript"/>
        </w:rPr>
        <w:t>µ</w:t>
      </w:r>
      <w:r w:rsidRPr="000D1D59">
        <w:rPr>
          <w:rFonts w:ascii="Arial" w:hAnsi="Arial" w:cs="Arial"/>
          <w:bCs/>
        </w:rPr>
        <w:t xml:space="preserve">) without fencing, </w:t>
      </w:r>
      <w:r w:rsidR="008C5E3F" w:rsidRPr="000D1D59">
        <w:rPr>
          <w:rFonts w:ascii="Arial" w:hAnsi="Arial" w:cs="Arial"/>
          <w:bCs/>
        </w:rPr>
        <w:t xml:space="preserve">resulting in </w:t>
      </w:r>
      <w:r w:rsidRPr="000D1D59">
        <w:rPr>
          <w:rFonts w:ascii="Arial" w:hAnsi="Arial" w:cs="Arial"/>
          <w:bCs/>
        </w:rPr>
        <w:t>12</w:t>
      </w:r>
      <w:r w:rsidR="005B17D7" w:rsidRPr="000D1D59">
        <w:rPr>
          <w:rFonts w:ascii="Arial" w:hAnsi="Arial" w:cs="Arial"/>
          <w:bCs/>
        </w:rPr>
        <w:t xml:space="preserve"> – </w:t>
      </w:r>
      <w:r w:rsidR="00691900" w:rsidRPr="000D1D59">
        <w:rPr>
          <w:rFonts w:ascii="Arial" w:hAnsi="Arial" w:cs="Arial"/>
          <w:bCs/>
        </w:rPr>
        <w:t xml:space="preserve">20 </w:t>
      </w:r>
      <w:r w:rsidRPr="000D1D59">
        <w:rPr>
          <w:rFonts w:ascii="Arial" w:hAnsi="Arial" w:cs="Arial"/>
          <w:bCs/>
        </w:rPr>
        <w:t>plots per site.</w:t>
      </w:r>
      <w:r w:rsidR="008C5E3F" w:rsidRPr="000D1D59">
        <w:rPr>
          <w:rFonts w:ascii="Arial" w:hAnsi="Arial" w:cs="Arial"/>
          <w:bCs/>
        </w:rPr>
        <w:t xml:space="preserve"> Treatment plots each received 10g / m</w:t>
      </w:r>
      <w:r w:rsidR="008C5E3F" w:rsidRPr="000D1D59">
        <w:rPr>
          <w:rFonts w:ascii="Arial" w:hAnsi="Arial" w:cs="Arial"/>
          <w:bCs/>
          <w:vertAlign w:val="superscript"/>
        </w:rPr>
        <w:t>2</w:t>
      </w:r>
      <w:r w:rsidR="008C5E3F" w:rsidRPr="000D1D59">
        <w:rPr>
          <w:rFonts w:ascii="Arial" w:hAnsi="Arial" w:cs="Arial"/>
          <w:bCs/>
        </w:rPr>
        <w:t xml:space="preserve"> </w:t>
      </w:r>
      <w:r w:rsidR="00D13A7C" w:rsidRPr="000D1D59">
        <w:rPr>
          <w:rFonts w:ascii="Arial" w:hAnsi="Arial" w:cs="Arial"/>
          <w:bCs/>
        </w:rPr>
        <w:t>yr</w:t>
      </w:r>
      <w:r w:rsidR="00D13A7C" w:rsidRPr="000D1D59">
        <w:rPr>
          <w:rFonts w:ascii="Arial" w:hAnsi="Arial" w:cs="Arial"/>
          <w:bCs/>
          <w:vertAlign w:val="superscript"/>
        </w:rPr>
        <w:t>-1</w:t>
      </w:r>
      <w:r w:rsidR="00D13A7C" w:rsidRPr="000D1D59">
        <w:rPr>
          <w:rFonts w:ascii="Arial" w:hAnsi="Arial" w:cs="Arial"/>
          <w:bCs/>
        </w:rPr>
        <w:t xml:space="preserve"> of</w:t>
      </w:r>
      <w:r w:rsidR="000A00A2" w:rsidRPr="000D1D59">
        <w:rPr>
          <w:rFonts w:ascii="Arial" w:hAnsi="Arial" w:cs="Arial"/>
          <w:bCs/>
        </w:rPr>
        <w:t xml:space="preserve"> broadcast</w:t>
      </w:r>
      <w:r w:rsidR="00D13A7C" w:rsidRPr="000D1D59">
        <w:rPr>
          <w:rFonts w:ascii="Arial" w:hAnsi="Arial" w:cs="Arial"/>
          <w:bCs/>
        </w:rPr>
        <w:t xml:space="preserve"> fertil</w:t>
      </w:r>
      <w:r w:rsidR="000A00A2" w:rsidRPr="000D1D59">
        <w:rPr>
          <w:rFonts w:ascii="Arial" w:hAnsi="Arial" w:cs="Arial"/>
          <w:bCs/>
        </w:rPr>
        <w:t>i</w:t>
      </w:r>
      <w:r w:rsidR="00D13A7C" w:rsidRPr="000D1D59">
        <w:rPr>
          <w:rFonts w:ascii="Arial" w:hAnsi="Arial" w:cs="Arial"/>
          <w:bCs/>
        </w:rPr>
        <w:t>zer</w:t>
      </w:r>
      <w:r w:rsidR="008C5E3F" w:rsidRPr="000D1D59">
        <w:rPr>
          <w:rFonts w:ascii="Arial" w:hAnsi="Arial" w:cs="Arial"/>
          <w:bCs/>
        </w:rPr>
        <w:t xml:space="preserve">. </w:t>
      </w:r>
      <w:r w:rsidR="00A139B3" w:rsidRPr="000D1D59">
        <w:rPr>
          <w:rFonts w:ascii="Arial" w:hAnsi="Arial" w:cs="Arial"/>
          <w:bCs/>
        </w:rPr>
        <w:t xml:space="preserve">All sites used in this analysis were observed for at least 5 years, including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486A0B2" w14:textId="77777777" w:rsidR="002261C2"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w:t>
      </w:r>
      <w:commentRangeStart w:id="0"/>
      <w:r w:rsidR="00A139B3" w:rsidRPr="000D1D59">
        <w:rPr>
          <w:rFonts w:ascii="Arial" w:hAnsi="Arial" w:cs="Arial"/>
          <w:bCs/>
        </w:rPr>
        <w:t>percent</w:t>
      </w:r>
      <w:commentRangeEnd w:id="0"/>
      <w:r w:rsidR="00B35751">
        <w:rPr>
          <w:rStyle w:val="CommentReference"/>
        </w:rPr>
        <w:commentReference w:id="0"/>
      </w:r>
      <w:r w:rsidR="00A139B3" w:rsidRPr="000D1D59">
        <w:rPr>
          <w:rFonts w:ascii="Arial" w:hAnsi="Arial" w:cs="Arial"/>
          <w:bCs/>
        </w:rPr>
        <w:t xml:space="preserve">.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ceptometer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3D03C250" w:rsidR="00E5571C" w:rsidRPr="000D1D59"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massed.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 xml:space="preserve">Assessment of elemental soil phosphorous, potassium, soil pH, and soil </w:t>
      </w:r>
      <w:r w:rsidR="002D3D21">
        <w:rPr>
          <w:rFonts w:ascii="Arial" w:hAnsi="Arial" w:cs="Arial"/>
          <w:bCs/>
        </w:rPr>
        <w:lastRenderedPageBreak/>
        <w:t>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BCF21F7"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for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r w:rsidR="00EF6427" w:rsidRPr="000D1D59">
        <w:rPr>
          <w:rFonts w:ascii="Arial" w:hAnsi="Arial" w:cs="Arial"/>
          <w:i/>
          <w:iCs/>
        </w:rPr>
        <w:t xml:space="preserve">i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499531C4" w14:textId="01AFFD7C" w:rsidR="00A6061D" w:rsidRDefault="0032386F" w:rsidP="00307621">
      <w:pPr>
        <w:rPr>
          <w:rFonts w:ascii="Arial" w:hAnsi="Arial" w:cs="Arial"/>
          <w:bCs/>
        </w:rPr>
      </w:pPr>
      <w:r w:rsidRPr="000D1D59">
        <w:rPr>
          <w:rFonts w:ascii="Arial" w:hAnsi="Arial" w:cs="Arial"/>
          <w:bCs/>
        </w:rPr>
        <w:t>Significance of model terms were evaluated using residual permutation procedures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 All model fitting conducted using</w:t>
      </w:r>
      <w:r w:rsidRPr="000D1D59">
        <w:rPr>
          <w:rFonts w:ascii="Arial" w:hAnsi="Arial" w:cs="Arial"/>
          <w:bCs/>
        </w:rPr>
        <w:t xml:space="preserve"> RRPP (Collyer and Adams 2018).</w:t>
      </w:r>
    </w:p>
    <w:p w14:paraId="579C3DCF" w14:textId="77777777" w:rsidR="00B35751" w:rsidRPr="00B35751" w:rsidRDefault="00B35751" w:rsidP="00307621">
      <w:pPr>
        <w:rPr>
          <w:rFonts w:ascii="Arial" w:hAnsi="Arial" w:cs="Arial"/>
          <w:bCs/>
        </w:rPr>
      </w:pPr>
    </w:p>
    <w:p w14:paraId="2603C4FB" w14:textId="10B7A8CC" w:rsidR="00307621" w:rsidRDefault="00556B1D" w:rsidP="00337F21">
      <w:pPr>
        <w:rPr>
          <w:rFonts w:ascii="Arial" w:hAnsi="Arial" w:cs="Arial"/>
          <w:bCs/>
          <w:i/>
          <w:iCs/>
        </w:rPr>
      </w:pPr>
      <w:r w:rsidRPr="000D1D59">
        <w:rPr>
          <w:rFonts w:ascii="Arial" w:hAnsi="Arial" w:cs="Arial"/>
          <w:bCs/>
          <w:i/>
          <w:iCs/>
        </w:rPr>
        <w:t>Response Dimensionality</w:t>
      </w:r>
    </w:p>
    <w:p w14:paraId="492E1106" w14:textId="4ACA7002" w:rsidR="00A414DE" w:rsidRDefault="00F8115E" w:rsidP="00A414DE">
      <w:pPr>
        <w:rPr>
          <w:rFonts w:ascii="Arial" w:hAnsi="Arial" w:cs="Arial"/>
          <w:bCs/>
        </w:rPr>
      </w:pPr>
      <w:r>
        <w:rPr>
          <w:rFonts w:ascii="Arial" w:hAnsi="Arial" w:cs="Arial"/>
          <w:bCs/>
        </w:rPr>
        <w:t xml:space="preserve">To evaluate </w:t>
      </w:r>
      <w:r w:rsidR="000E0FCC">
        <w:rPr>
          <w:rFonts w:ascii="Arial" w:hAnsi="Arial" w:cs="Arial"/>
          <w:bCs/>
        </w:rPr>
        <w:t xml:space="preserve">the similarities between multiple trajectories of community change, we derive a geometric approach based on work of Cardinale et al. (2018). </w:t>
      </w:r>
      <w:r w:rsidR="006A58F9">
        <w:rPr>
          <w:rFonts w:ascii="Arial" w:hAnsi="Arial" w:cs="Arial"/>
          <w:bCs/>
        </w:rPr>
        <w:t xml:space="preserve">Under a “neutral” expectation where the effects of nutrient </w:t>
      </w:r>
      <w:r w:rsidR="00C25169">
        <w:rPr>
          <w:rFonts w:ascii="Arial" w:hAnsi="Arial" w:cs="Arial"/>
          <w:bCs/>
        </w:rPr>
        <w:t xml:space="preserve">enrichment depend solely on changes in total resource supply, rather than stoichiometric ratios, trajectories of community change will be directionally consistent – species exhibit proportionally equal responses to multiple nutrient enrichment treatments, once accounting for </w:t>
      </w:r>
      <w:r w:rsidR="009F4F0B">
        <w:rPr>
          <w:rFonts w:ascii="Arial" w:hAnsi="Arial" w:cs="Arial"/>
          <w:bCs/>
        </w:rPr>
        <w:t>the overall magnitude of community response.</w:t>
      </w:r>
    </w:p>
    <w:p w14:paraId="571F76CD" w14:textId="7C89B2B4" w:rsidR="00D654E8" w:rsidRPr="000D1D59" w:rsidRDefault="00732799" w:rsidP="00732799">
      <w:pPr>
        <w:rPr>
          <w:rFonts w:ascii="Arial" w:hAnsi="Arial" w:cs="Arial"/>
          <w:bCs/>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as a vector</w:t>
      </w:r>
      <w:r w:rsidR="00D253DD" w:rsidRPr="000D1D59">
        <w:rPr>
          <w:rFonts w:ascii="Arial" w:hAnsi="Arial" w:cs="Arial"/>
          <w:bCs/>
        </w:rPr>
        <w:t xml:space="preserve"> describing </w:t>
      </w:r>
      <w:r w:rsidR="006D1630" w:rsidRPr="000D1D59">
        <w:rPr>
          <w:rFonts w:ascii="Arial" w:hAnsi="Arial" w:cs="Arial"/>
          <w:bCs/>
        </w:rPr>
        <w:t xml:space="preserve">a </w:t>
      </w:r>
      <w:r w:rsidR="00D253DD" w:rsidRPr="000D1D59">
        <w:rPr>
          <w:rFonts w:ascii="Arial" w:hAnsi="Arial" w:cs="Arial"/>
          <w:bCs/>
        </w:rPr>
        <w:t xml:space="preserve">species response to three distinct treatments, recorded for all </w:t>
      </w:r>
      <w:r w:rsidR="00D253DD" w:rsidRPr="000D1D59">
        <w:rPr>
          <w:rFonts w:ascii="Arial" w:hAnsi="Arial" w:cs="Arial"/>
          <w:bCs/>
          <w:i/>
          <w:iCs/>
        </w:rPr>
        <w:t>S</w:t>
      </w:r>
      <w:r w:rsidR="00D253DD" w:rsidRPr="000D1D59">
        <w:rPr>
          <w:rFonts w:ascii="Arial" w:hAnsi="Arial" w:cs="Arial"/>
          <w:bCs/>
        </w:rPr>
        <w:t xml:space="preserve"> species</w:t>
      </w:r>
      <w:r w:rsidR="00D654E8" w:rsidRPr="000D1D59">
        <w:rPr>
          <w:rFonts w:ascii="Arial" w:hAnsi="Arial" w:cs="Arial"/>
          <w:bCs/>
        </w:rPr>
        <w:t>:</w:t>
      </w:r>
    </w:p>
    <w:p w14:paraId="20CBB7CF" w14:textId="74368965" w:rsidR="00D654E8" w:rsidRPr="000D1D59" w:rsidRDefault="002F4677" w:rsidP="002F4677">
      <w:pPr>
        <w:jc w:val="center"/>
        <w:rPr>
          <w:rFonts w:ascii="Arial" w:hAnsi="Arial" w:cs="Arial"/>
          <w:bCs/>
        </w:rPr>
      </w:pPr>
      <w:r w:rsidRPr="000D1D59">
        <w:rPr>
          <w:rFonts w:ascii="Arial" w:hAnsi="Arial" w:cs="Arial"/>
          <w:noProof/>
        </w:rPr>
        <w:lastRenderedPageBreak/>
        <w:drawing>
          <wp:inline distT="0" distB="0" distL="0" distR="0" wp14:anchorId="6B41D190" wp14:editId="026FB404">
            <wp:extent cx="3185113" cy="1298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821" cy="1320928"/>
                    </a:xfrm>
                    <a:prstGeom prst="rect">
                      <a:avLst/>
                    </a:prstGeom>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605D6D46" w:rsidR="00D253DD" w:rsidRPr="000D1D59" w:rsidRDefault="002F4677" w:rsidP="002F4677">
      <w:pPr>
        <w:jc w:val="center"/>
        <w:rPr>
          <w:rFonts w:ascii="Arial" w:hAnsi="Arial" w:cs="Arial"/>
          <w:bCs/>
        </w:rPr>
      </w:pPr>
      <w:r w:rsidRPr="000D1D59">
        <w:rPr>
          <w:rFonts w:ascii="Arial" w:hAnsi="Arial" w:cs="Arial"/>
          <w:noProof/>
        </w:rPr>
        <w:drawing>
          <wp:inline distT="0" distB="0" distL="0" distR="0" wp14:anchorId="7B35FB6E" wp14:editId="404521AB">
            <wp:extent cx="1603022" cy="80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26" r="3299" b="16241"/>
                    <a:stretch/>
                  </pic:blipFill>
                  <pic:spPr bwMode="auto">
                    <a:xfrm>
                      <a:off x="0" y="0"/>
                      <a:ext cx="1636358" cy="817387"/>
                    </a:xfrm>
                    <a:prstGeom prst="rect">
                      <a:avLst/>
                    </a:prstGeom>
                    <a:ln>
                      <a:noFill/>
                    </a:ln>
                    <a:extLst>
                      <a:ext uri="{53640926-AAD7-44D8-BBD7-CCE9431645EC}">
                        <a14:shadowObscured xmlns:a14="http://schemas.microsoft.com/office/drawing/2010/main"/>
                      </a:ext>
                    </a:extLst>
                  </pic:spPr>
                </pic:pic>
              </a:graphicData>
            </a:graphic>
          </wp:inline>
        </w:drawing>
      </w:r>
    </w:p>
    <w:p w14:paraId="01B6F6D9" w14:textId="0BA785DD" w:rsidR="00D253DD" w:rsidRPr="000D1D59" w:rsidRDefault="00D253DD" w:rsidP="00D253DD">
      <w:pPr>
        <w:rPr>
          <w:rFonts w:ascii="Arial" w:hAnsi="Arial" w:cs="Arial"/>
          <w:bCs/>
        </w:rPr>
      </w:pPr>
      <w:r w:rsidRPr="000D1D59">
        <w:rPr>
          <w:rFonts w:ascii="Arial" w:hAnsi="Arial" w:cs="Arial"/>
          <w:bCs/>
        </w:rPr>
        <w:t xml:space="preserve">Where </w:t>
      </w:r>
      <w:r w:rsidRPr="000D1D59">
        <w:rPr>
          <w:rFonts w:ascii="Arial" w:hAnsi="Arial" w:cs="Arial"/>
          <w:bCs/>
          <w:i/>
          <w:iCs/>
        </w:rPr>
        <w:t>S</w:t>
      </w:r>
      <w:r w:rsidRPr="000D1D59">
        <w:rPr>
          <w:rFonts w:ascii="Arial" w:hAnsi="Arial" w:cs="Arial"/>
          <w:bCs/>
        </w:rPr>
        <w:t xml:space="preserve"> is the number of observed species within a site. </w:t>
      </w:r>
    </w:p>
    <w:p w14:paraId="4CD54324" w14:textId="1AA00894" w:rsidR="00370117" w:rsidRDefault="00D253DD" w:rsidP="00A6061D">
      <w:pPr>
        <w:rPr>
          <w:rFonts w:ascii="Arial" w:hAnsi="Arial" w:cs="Arial"/>
          <w:noProof/>
        </w:rPr>
      </w:pPr>
      <w:r w:rsidRPr="000D1D59">
        <w:rPr>
          <w:rFonts w:ascii="Arial" w:hAnsi="Arial" w:cs="Arial"/>
          <w:bCs/>
        </w:rPr>
        <w:t>To standardize 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A6061D" w:rsidRPr="000D1D59">
        <w:rPr>
          <w:rFonts w:ascii="Arial" w:hAnsi="Arial" w:cs="Arial"/>
          <w:noProof/>
          <w:sz w:val="16"/>
          <w:szCs w:val="16"/>
        </w:rPr>
        <w:drawing>
          <wp:inline distT="0" distB="0" distL="0" distR="0" wp14:anchorId="281B74C3" wp14:editId="5E876FB2">
            <wp:extent cx="748226" cy="2593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2330"/>
                    <a:stretch/>
                  </pic:blipFill>
                  <pic:spPr bwMode="auto">
                    <a:xfrm>
                      <a:off x="0" y="0"/>
                      <a:ext cx="834364" cy="289167"/>
                    </a:xfrm>
                    <a:prstGeom prst="rect">
                      <a:avLst/>
                    </a:prstGeom>
                    <a:ln>
                      <a:noFill/>
                    </a:ln>
                    <a:extLst>
                      <a:ext uri="{53640926-AAD7-44D8-BBD7-CCE9431645EC}">
                        <a14:shadowObscured xmlns:a14="http://schemas.microsoft.com/office/drawing/2010/main"/>
                      </a:ext>
                    </a:extLst>
                  </pic:spPr>
                </pic:pic>
              </a:graphicData>
            </a:graphic>
          </wp:inline>
        </w:drawing>
      </w:r>
    </w:p>
    <w:p w14:paraId="221F2A81" w14:textId="1677CD04" w:rsidR="00370117" w:rsidRDefault="00370117" w:rsidP="00A6061D">
      <w:pPr>
        <w:rPr>
          <w:rFonts w:ascii="Arial" w:hAnsi="Arial" w:cs="Arial"/>
          <w:noProof/>
        </w:rPr>
      </w:pPr>
      <w:r>
        <w:rPr>
          <w:rFonts w:ascii="Arial" w:hAnsi="Arial" w:cs="Arial"/>
          <w:noProof/>
        </w:rPr>
        <w:t xml:space="preserve">For each possible pair of treatments, </w:t>
      </w:r>
      <w:r w:rsidR="00B37ED4">
        <w:rPr>
          <w:rFonts w:ascii="Arial" w:hAnsi="Arial" w:cs="Arial"/>
          <w:noProof/>
        </w:rPr>
        <w:t xml:space="preserve">bivariate </w:t>
      </w:r>
      <w:r w:rsidR="00307586">
        <w:rPr>
          <w:rFonts w:ascii="Arial" w:hAnsi="Arial" w:cs="Arial"/>
          <w:noProof/>
        </w:rPr>
        <w:t xml:space="preserve">relationships between </w:t>
      </w:r>
      <w:r w:rsidR="00FC7015">
        <w:rPr>
          <w:rFonts w:ascii="Arial" w:hAnsi="Arial" w:cs="Arial"/>
          <w:noProof/>
        </w:rPr>
        <w:t>sets of treatment responses</w:t>
      </w:r>
      <w:r w:rsidR="00B3435B">
        <w:rPr>
          <w:rFonts w:ascii="Arial" w:hAnsi="Arial" w:cs="Arial"/>
          <w:noProof/>
        </w:rPr>
        <w:t xml:space="preserve"> may be used to illustrate </w:t>
      </w:r>
      <w:r w:rsidR="00D00F8F">
        <w:rPr>
          <w:rFonts w:ascii="Arial" w:hAnsi="Arial" w:cs="Arial"/>
          <w:noProof/>
        </w:rPr>
        <w:t xml:space="preserve">correlations </w:t>
      </w:r>
      <w:r w:rsidR="005A10CE">
        <w:rPr>
          <w:rFonts w:ascii="Arial" w:hAnsi="Arial" w:cs="Arial"/>
          <w:noProof/>
        </w:rPr>
        <w:t>among trajectories of change (Figure 1a).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1389D67" w14:textId="75BA04CB" w:rsidR="00B339E6" w:rsidRPr="000D1D59" w:rsidRDefault="00F14FF9" w:rsidP="00337F21">
      <w:pPr>
        <w:rPr>
          <w:rFonts w:ascii="Arial" w:hAnsi="Arial" w:cs="Arial"/>
          <w:bCs/>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To assess the </w:t>
      </w:r>
      <w:r w:rsidR="00AF5415" w:rsidRPr="00AF5415">
        <w:rPr>
          <w:rFonts w:ascii="Arial" w:hAnsi="Arial" w:cs="Arial"/>
          <w:i/>
          <w:iCs/>
          <w:noProof/>
        </w:rPr>
        <w:t>dimensionality</w:t>
      </w:r>
      <w:r w:rsidR="00AF5415">
        <w:rPr>
          <w:rFonts w:ascii="Arial" w:hAnsi="Arial" w:cs="Arial"/>
          <w:noProof/>
        </w:rPr>
        <w:t xml:space="preserve"> of community response, </w:t>
      </w:r>
      <w:r w:rsidR="007E209F">
        <w:rPr>
          <w:rFonts w:ascii="Arial" w:hAnsi="Arial" w:cs="Arial"/>
          <w:noProof/>
        </w:rPr>
        <w:t xml:space="preserve">we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a test of 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790B6933"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species responses, we defined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666D0000" w:rsidR="00B75201" w:rsidRPr="000D1D59" w:rsidRDefault="002F4677" w:rsidP="002F4677">
      <w:pPr>
        <w:jc w:val="center"/>
        <w:rPr>
          <w:rFonts w:ascii="Arial" w:hAnsi="Arial" w:cs="Arial"/>
          <w:bCs/>
        </w:rPr>
      </w:pPr>
      <w:r w:rsidRPr="000D1D59">
        <w:rPr>
          <w:rFonts w:ascii="Arial" w:hAnsi="Arial" w:cs="Arial"/>
          <w:noProof/>
        </w:rPr>
        <w:drawing>
          <wp:inline distT="0" distB="0" distL="0" distR="0" wp14:anchorId="22E70250" wp14:editId="47EB2FCD">
            <wp:extent cx="1416909" cy="825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3970" cy="830087"/>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09A489B1" w:rsidR="0090549C" w:rsidRPr="000D1D59" w:rsidRDefault="002F4677" w:rsidP="002F4677">
      <w:pPr>
        <w:jc w:val="center"/>
        <w:rPr>
          <w:rFonts w:ascii="Arial" w:hAnsi="Arial" w:cs="Arial"/>
          <w:bCs/>
        </w:rPr>
      </w:pPr>
      <w:r w:rsidRPr="000D1D59">
        <w:rPr>
          <w:rFonts w:ascii="Arial" w:hAnsi="Arial" w:cs="Arial"/>
          <w:noProof/>
        </w:rPr>
        <w:drawing>
          <wp:inline distT="0" distB="0" distL="0" distR="0" wp14:anchorId="591CC193" wp14:editId="77F57B55">
            <wp:extent cx="1145060" cy="349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3075" cy="364550"/>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lastRenderedPageBreak/>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23F06D3D" w:rsidR="00B75201" w:rsidRPr="000D1D59" w:rsidRDefault="004E3380" w:rsidP="002F4677">
      <w:pPr>
        <w:jc w:val="center"/>
        <w:rPr>
          <w:rFonts w:ascii="Arial" w:hAnsi="Arial" w:cs="Arial"/>
          <w:bCs/>
        </w:rPr>
      </w:pPr>
      <w:r>
        <w:rPr>
          <w:noProof/>
        </w:rPr>
        <w:drawing>
          <wp:inline distT="0" distB="0" distL="0" distR="0" wp14:anchorId="3A7E51D1" wp14:editId="69395ADD">
            <wp:extent cx="936977" cy="54558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0496" cy="565099"/>
                    </a:xfrm>
                    <a:prstGeom prst="rect">
                      <a:avLst/>
                    </a:prstGeom>
                  </pic:spPr>
                </pic:pic>
              </a:graphicData>
            </a:graphic>
          </wp:inline>
        </w:drawing>
      </w:r>
    </w:p>
    <w:p w14:paraId="285383F1" w14:textId="7122B0CF" w:rsidR="00377595" w:rsidRPr="00A60401" w:rsidRDefault="00377595" w:rsidP="00377595">
      <w:pPr>
        <w:rPr>
          <w:rFonts w:ascii="Arial" w:hAnsi="Arial" w:cs="Arial"/>
          <w:bCs/>
        </w:rPr>
      </w:pPr>
      <w:r>
        <w:rPr>
          <w:rFonts w:ascii="Arial" w:hAnsi="Arial" w:cs="Arial"/>
          <w:bCs/>
        </w:rPr>
        <w:t>Under our null hypothesis, the</w:t>
      </w:r>
      <w:r w:rsidR="00971175">
        <w:rPr>
          <w:rFonts w:ascii="Arial" w:hAnsi="Arial" w:cs="Arial"/>
          <w:bCs/>
        </w:rPr>
        <w:t xml:space="preserve"> set of responses observed for species </w:t>
      </w:r>
      <w:r w:rsidR="00971175">
        <w:rPr>
          <w:rFonts w:ascii="Arial" w:hAnsi="Arial" w:cs="Arial"/>
          <w:bCs/>
          <w:i/>
          <w:iCs/>
        </w:rPr>
        <w:t xml:space="preserve">i, </w:t>
      </w:r>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p>
    <w:p w14:paraId="0E1CE753" w14:textId="26F97345" w:rsidR="00216FA1" w:rsidRPr="000D1D59" w:rsidRDefault="00B75201" w:rsidP="00337F21">
      <w:pPr>
        <w:rPr>
          <w:rFonts w:ascii="Arial" w:hAnsi="Arial" w:cs="Arial"/>
          <w:bCs/>
        </w:rPr>
      </w:pPr>
      <w:r w:rsidRPr="000D1D59">
        <w:rPr>
          <w:rFonts w:ascii="Arial" w:hAnsi="Arial" w:cs="Arial"/>
          <w:bCs/>
        </w:rPr>
        <w:t xml:space="preserve">Extending this method to all observed species </w:t>
      </w:r>
      <w:r w:rsidR="00216FA1" w:rsidRPr="000D1D59">
        <w:rPr>
          <w:rFonts w:ascii="Arial" w:hAnsi="Arial" w:cs="Arial"/>
          <w:bCs/>
        </w:rPr>
        <w:t>gives an aggregate measure of community dimensionality, bounded between 0 and 1:</w:t>
      </w:r>
    </w:p>
    <w:p w14:paraId="22378DC6" w14:textId="77777777" w:rsidR="00373FB8" w:rsidRDefault="00925250" w:rsidP="00373FB8">
      <w:pPr>
        <w:jc w:val="center"/>
        <w:rPr>
          <w:rFonts w:ascii="Arial" w:hAnsi="Arial" w:cs="Arial"/>
          <w:bCs/>
        </w:rPr>
      </w:pPr>
      <w:r w:rsidRPr="00925250">
        <w:rPr>
          <w:noProof/>
        </w:rPr>
        <w:t xml:space="preserve"> </w:t>
      </w:r>
      <w:r>
        <w:rPr>
          <w:noProof/>
        </w:rPr>
        <w:drawing>
          <wp:inline distT="0" distB="0" distL="0" distR="0" wp14:anchorId="4A161F26" wp14:editId="6FC5890A">
            <wp:extent cx="2220595" cy="79670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868"/>
                    <a:stretch/>
                  </pic:blipFill>
                  <pic:spPr bwMode="auto">
                    <a:xfrm>
                      <a:off x="0" y="0"/>
                      <a:ext cx="2258709" cy="810380"/>
                    </a:xfrm>
                    <a:prstGeom prst="rect">
                      <a:avLst/>
                    </a:prstGeom>
                    <a:ln>
                      <a:noFill/>
                    </a:ln>
                    <a:extLst>
                      <a:ext uri="{53640926-AAD7-44D8-BBD7-CCE9431645EC}">
                        <a14:shadowObscured xmlns:a14="http://schemas.microsoft.com/office/drawing/2010/main"/>
                      </a:ext>
                    </a:extLst>
                  </pic:spPr>
                </pic:pic>
              </a:graphicData>
            </a:graphic>
          </wp:inline>
        </w:drawing>
      </w:r>
    </w:p>
    <w:p w14:paraId="42768D40" w14:textId="36BD9630"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Orthogonal responses (high dimensional), where 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6F6FBE43">
            <wp:extent cx="2243866" cy="79083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6823" cy="820070"/>
                    </a:xfrm>
                    <a:prstGeom prst="rect">
                      <a:avLst/>
                    </a:prstGeom>
                  </pic:spPr>
                </pic:pic>
              </a:graphicData>
            </a:graphic>
          </wp:inline>
        </w:drawing>
      </w:r>
    </w:p>
    <w:p w14:paraId="4A493011" w14:textId="79AD0A32" w:rsidR="002B066D" w:rsidRPr="000D1D59" w:rsidRDefault="002B066D" w:rsidP="002B066D">
      <w:pPr>
        <w:rPr>
          <w:rFonts w:ascii="Arial" w:hAnsi="Arial" w:cs="Arial"/>
          <w:bCs/>
        </w:rPr>
      </w:pPr>
      <w:r w:rsidRPr="000D1D59">
        <w:rPr>
          <w:rFonts w:ascii="Arial" w:hAnsi="Arial" w:cs="Arial"/>
          <w:bCs/>
        </w:rPr>
        <w:t>Where vectors are standardized to unit length.</w:t>
      </w:r>
    </w:p>
    <w:p w14:paraId="7E6D1E6A" w14:textId="57D52446" w:rsidR="00731482" w:rsidRDefault="00731482" w:rsidP="002B066D">
      <w:pPr>
        <w:rPr>
          <w:rFonts w:ascii="Arial" w:hAnsi="Arial" w:cs="Arial"/>
          <w:bCs/>
        </w:rPr>
      </w:pPr>
      <w:r w:rsidRPr="000D1D59">
        <w:rPr>
          <w:rFonts w:ascii="Arial" w:hAnsi="Arial" w:cs="Arial"/>
          <w:bCs/>
        </w:rPr>
        <w:t xml:space="preserve">Conceptually, this geometric approach is similar to dimensionality reduction through principal components analysis (PCA). </w:t>
      </w:r>
      <w:r w:rsidR="007835D1">
        <w:rPr>
          <w:rFonts w:ascii="Arial" w:hAnsi="Arial" w:cs="Arial"/>
          <w:bCs/>
        </w:rPr>
        <w:t>R</w:t>
      </w:r>
      <w:r w:rsidRPr="000D1D59">
        <w:rPr>
          <w:rFonts w:ascii="Arial" w:hAnsi="Arial" w:cs="Arial"/>
          <w:bCs/>
        </w:rPr>
        <w:t xml:space="preserve">ather than defining the first </w:t>
      </w:r>
      <w:r w:rsidR="00CB5B80" w:rsidRPr="000D1D59">
        <w:rPr>
          <w:rFonts w:ascii="Arial" w:hAnsi="Arial" w:cs="Arial"/>
          <w:bCs/>
        </w:rPr>
        <w:t xml:space="preserve">principle component through eigenvalue decomposition, </w:t>
      </w:r>
      <w:r w:rsidR="009C1B2F">
        <w:rPr>
          <w:rFonts w:ascii="Arial" w:hAnsi="Arial" w:cs="Arial"/>
          <w:bCs/>
        </w:rPr>
        <w:t>axes are</w:t>
      </w:r>
      <w:r w:rsidR="00CB5B80" w:rsidRPr="000D1D59">
        <w:rPr>
          <w:rFonts w:ascii="Arial" w:hAnsi="Arial" w:cs="Arial"/>
          <w:bCs/>
        </w:rPr>
        <w:t xml:space="preserve"> pre-specified under a null hypothesis.</w:t>
      </w: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characteristics were obtained from each site using BioClim,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lastRenderedPageBreak/>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7777777"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 xml:space="preserve">e used structural equation modeling (SEM) to evaluate hypothesizes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describing soil and climatic conditions were also combined in pathways with </w:t>
      </w:r>
      <w:r w:rsidR="0050512D">
        <w:rPr>
          <w:rFonts w:ascii="Arial" w:eastAsiaTheme="minorEastAsia" w:hAnsi="Arial" w:cs="Arial"/>
          <w:bCs/>
        </w:rPr>
        <w:t xml:space="preserve">estimates to the site species pool 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11FB72DB" w:rsidR="0029643C" w:rsidRDefault="0059081E" w:rsidP="002B066D">
      <w:pPr>
        <w:rPr>
          <w:rFonts w:ascii="Arial" w:eastAsiaTheme="minorEastAsia" w:hAnsi="Arial" w:cs="Arial"/>
          <w:bCs/>
        </w:rPr>
      </w:pPr>
      <w:r>
        <w:rPr>
          <w:rFonts w:ascii="Arial" w:eastAsiaTheme="minorEastAsia" w:hAnsi="Arial" w:cs="Arial"/>
          <w:bCs/>
        </w:rPr>
        <w:t>All statistical analyses were performed in R version 4.0.2.</w:t>
      </w:r>
      <w:r w:rsidR="00FB1827">
        <w:rPr>
          <w:rFonts w:ascii="Arial" w:eastAsiaTheme="minorEastAsia" w:hAnsi="Arial" w:cs="Arial"/>
          <w:bCs/>
        </w:rPr>
        <w:t xml:space="preserve"> Semi-Major Axis (SMA) regression was performed using “smatr”. Linear mixed effects modeling was conducted using “lme4” and “lmerTest” packages. </w:t>
      </w:r>
      <w:r w:rsidR="005B41FA">
        <w:rPr>
          <w:rFonts w:ascii="Arial" w:eastAsiaTheme="minorEastAsia" w:hAnsi="Arial" w:cs="Arial"/>
          <w:bCs/>
        </w:rPr>
        <w:t xml:space="preserve">SEM analyses were conducted using “lavaan”. </w:t>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5B0D06BE" w:rsidR="00723637" w:rsidRDefault="00723637" w:rsidP="00337F21">
      <w:pPr>
        <w:rPr>
          <w:rFonts w:ascii="Arial" w:hAnsi="Arial" w:cs="Arial"/>
          <w:bCs/>
        </w:rPr>
      </w:pPr>
      <w:r>
        <w:rPr>
          <w:rFonts w:ascii="Arial" w:hAnsi="Arial" w:cs="Arial"/>
          <w:bCs/>
          <w:i/>
          <w:iCs/>
        </w:rPr>
        <w:t>Community Responses to Nutrient Enrichment</w:t>
      </w:r>
    </w:p>
    <w:p w14:paraId="71B93A1C" w14:textId="3D844864"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exhibited significant effects of N enrichment, </w:t>
      </w:r>
      <w:r w:rsidR="001816B3">
        <w:rPr>
          <w:rFonts w:ascii="Arial" w:hAnsi="Arial" w:cs="Arial"/>
          <w:bCs/>
        </w:rPr>
        <w:t xml:space="preserve">many sites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137CA" w:rsidRPr="004137CA">
        <w:rPr>
          <w:rFonts w:ascii="Arial" w:hAnsi="Arial" w:cs="Arial"/>
          <w:bCs/>
          <w:i/>
          <w:iCs/>
        </w:rPr>
        <w:t>T</w:t>
      </w:r>
      <w:r w:rsidR="004137CA">
        <w:rPr>
          <w:rFonts w:ascii="Arial" w:hAnsi="Arial" w:cs="Arial"/>
          <w:bCs/>
          <w:vertAlign w:val="subscript"/>
        </w:rPr>
        <w:t>96</w:t>
      </w:r>
      <w:r w:rsidR="004137CA">
        <w:rPr>
          <w:rFonts w:ascii="Arial" w:hAnsi="Arial" w:cs="Arial"/>
          <w:bCs/>
        </w:rPr>
        <w:t xml:space="preserve"> = 3.1</w:t>
      </w:r>
      <w:r w:rsidR="00531E4A">
        <w:rPr>
          <w:rFonts w:ascii="Arial" w:hAnsi="Arial" w:cs="Arial"/>
          <w:bCs/>
        </w:rPr>
        <w:t>0</w:t>
      </w:r>
      <w:r w:rsidR="00EA1865">
        <w:rPr>
          <w:rFonts w:ascii="Arial" w:hAnsi="Arial" w:cs="Arial"/>
          <w:bCs/>
        </w:rPr>
        <w:t>, P &lt; 0.0</w:t>
      </w:r>
      <w:r w:rsidR="001361E1">
        <w:rPr>
          <w:rFonts w:ascii="Arial" w:hAnsi="Arial" w:cs="Arial"/>
          <w:bCs/>
        </w:rPr>
        <w:t>1</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53B17937" w:rsidR="003F21C3" w:rsidRP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31B54129"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equal to one 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75D823A6" w:rsidR="00DC6D2D" w:rsidRDefault="00DC6D2D" w:rsidP="00337F21">
      <w:pPr>
        <w:rPr>
          <w:rFonts w:ascii="Arial" w:hAnsi="Arial" w:cs="Arial"/>
          <w:bCs/>
        </w:rPr>
      </w:pPr>
      <w:r>
        <w:rPr>
          <w:rFonts w:ascii="Arial" w:hAnsi="Arial" w:cs="Arial"/>
          <w:bCs/>
        </w:rPr>
        <w:lastRenderedPageBreak/>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F030CF" w:rsidRPr="00F030CF">
        <w:rPr>
          <w:rFonts w:ascii="Arial" w:hAnsi="Arial" w:cs="Arial"/>
          <w:bCs/>
          <w:highlight w:val="yellow"/>
        </w:rPr>
        <w:t>Appendix X</w:t>
      </w:r>
      <w:r w:rsidR="00416384">
        <w:rPr>
          <w:rFonts w:ascii="Arial" w:hAnsi="Arial" w:cs="Arial"/>
          <w:bCs/>
        </w:rPr>
        <w:t>).</w:t>
      </w:r>
    </w:p>
    <w:p w14:paraId="736FE256" w14:textId="09DBC220" w:rsidR="00EC2FD8" w:rsidRDefault="00EC2FD8" w:rsidP="00337F21">
      <w:pPr>
        <w:rPr>
          <w:rFonts w:ascii="Arial" w:hAnsi="Arial" w:cs="Arial"/>
          <w:b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7880886D" w:rsidR="00CD76BD" w:rsidRDefault="00CB0B56" w:rsidP="000B0469">
      <w:pPr>
        <w:rPr>
          <w:rFonts w:ascii="Arial" w:hAnsi="Arial" w:cs="Arial"/>
          <w:b/>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5EA583DD"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0EC0902D" w14:textId="0C67CE7D" w:rsidR="00E0424E" w:rsidRDefault="00E0424E" w:rsidP="00337F21">
      <w:pPr>
        <w:rPr>
          <w:rFonts w:ascii="Arial" w:hAnsi="Arial" w:cs="Arial"/>
          <w:bCs/>
        </w:rPr>
      </w:pPr>
    </w:p>
    <w:p w14:paraId="05695779" w14:textId="7144010B" w:rsidR="00E0424E" w:rsidRDefault="00E0424E">
      <w:pPr>
        <w:rPr>
          <w:rFonts w:ascii="Arial" w:hAnsi="Arial" w:cs="Arial"/>
          <w:bCs/>
        </w:rPr>
      </w:pPr>
      <w:r>
        <w:rPr>
          <w:rFonts w:ascii="Arial" w:hAnsi="Arial" w:cs="Arial"/>
          <w:bCs/>
        </w:rPr>
        <w:br w:type="page"/>
      </w:r>
    </w:p>
    <w:p w14:paraId="58E8FA35" w14:textId="0034018C" w:rsidR="00E0424E" w:rsidRDefault="00E0424E" w:rsidP="00337F21">
      <w:pPr>
        <w:rPr>
          <w:rFonts w:ascii="Arial" w:hAnsi="Arial" w:cs="Arial"/>
          <w:b/>
        </w:rPr>
      </w:pPr>
      <w:r>
        <w:rPr>
          <w:rFonts w:ascii="Arial" w:hAnsi="Arial" w:cs="Arial"/>
          <w:b/>
        </w:rPr>
        <w:lastRenderedPageBreak/>
        <w:t>Discussion</w:t>
      </w:r>
    </w:p>
    <w:p w14:paraId="58CE603D" w14:textId="77777777" w:rsidR="004F5196" w:rsidRDefault="004F5196" w:rsidP="004F5196">
      <w:pPr>
        <w:rPr>
          <w:rFonts w:ascii="Arial" w:hAnsi="Arial" w:cs="Arial"/>
          <w:bCs/>
        </w:rPr>
      </w:pPr>
      <w:r>
        <w:rPr>
          <w:rFonts w:ascii="Arial" w:hAnsi="Arial" w:cs="Arial"/>
          <w:bCs/>
        </w:rPr>
        <w:t>An increasing body of evidence indicates that the productivity, diversity, and composition of plant communities is controlled by the abundance of multiple limiting factors, including water, light, and soil nutrients. While multiple niche dimensions may give rise to multi-dimensional trade-offs in these systems, the realized trade-offs will depend on how strongly these limiting resources structure communities in each system. In the context of nutrient enrichment, the importance of a one-dimensional tradeoff in light competition vs. multi-dimensional tradeoffs for belowground nutrients will depend on whether species are better differentiated by their ability to compete for light or specialize on certain resource types, respectively.</w:t>
      </w:r>
    </w:p>
    <w:p w14:paraId="219A9E2A" w14:textId="34C24C68" w:rsidR="004927B1" w:rsidRDefault="004F5196" w:rsidP="004F5196">
      <w:pPr>
        <w:rPr>
          <w:rFonts w:ascii="Arial" w:hAnsi="Arial" w:cs="Arial"/>
          <w:bCs/>
        </w:rPr>
      </w:pPr>
      <w:r>
        <w:rPr>
          <w:rFonts w:ascii="Arial" w:hAnsi="Arial" w:cs="Arial"/>
          <w:bCs/>
        </w:rPr>
        <w:t>In this study, we provide a global synthesis of these two perspectives. Rather than identify which mechanism better predicts community change, we characterize sites across a continuum of response. Echoing previous studies of experimental nutrient manipulations in grasslands, we emphasize that these mechanisms (and others)</w:t>
      </w:r>
      <w:r w:rsidR="008A19BB">
        <w:rPr>
          <w:rFonts w:ascii="Arial" w:hAnsi="Arial" w:cs="Arial"/>
          <w:bCs/>
        </w:rPr>
        <w:t xml:space="preserve"> are expected to</w:t>
      </w:r>
      <w:r>
        <w:rPr>
          <w:rFonts w:ascii="Arial" w:hAnsi="Arial" w:cs="Arial"/>
          <w:bCs/>
        </w:rPr>
        <w:t xml:space="preserve"> act simultaneously </w:t>
      </w:r>
      <w:r w:rsidR="008A19BB">
        <w:rPr>
          <w:rFonts w:ascii="Arial" w:hAnsi="Arial" w:cs="Arial"/>
          <w:bCs/>
        </w:rPr>
        <w:t xml:space="preserve">in many systems. </w:t>
      </w:r>
    </w:p>
    <w:p w14:paraId="1CFA0721" w14:textId="2728E9A8" w:rsidR="004927B1" w:rsidRDefault="00AE7B3D" w:rsidP="004F5196">
      <w:pPr>
        <w:rPr>
          <w:rFonts w:ascii="Arial" w:hAnsi="Arial" w:cs="Arial"/>
          <w:bCs/>
        </w:rPr>
      </w:pPr>
      <w:r>
        <w:rPr>
          <w:rFonts w:ascii="Arial" w:hAnsi="Arial" w:cs="Arial"/>
          <w:bCs/>
        </w:rPr>
        <w:t>Across sites, we found that fertilization treatments differed in their average effect on community composition</w:t>
      </w:r>
      <w:r w:rsidR="002B7DA2">
        <w:rPr>
          <w:rFonts w:ascii="Arial" w:hAnsi="Arial" w:cs="Arial"/>
          <w:bCs/>
        </w:rPr>
        <w:t xml:space="preserve"> (Figure 1). Consistent with studies of nutrient limitation in terrestrial plant </w:t>
      </w:r>
      <w:r w:rsidR="00636210">
        <w:rPr>
          <w:rFonts w:ascii="Arial" w:hAnsi="Arial" w:cs="Arial"/>
          <w:bCs/>
        </w:rPr>
        <w:t>communities</w:t>
      </w:r>
      <w:r w:rsidR="00D5019B">
        <w:rPr>
          <w:rFonts w:ascii="Arial" w:hAnsi="Arial" w:cs="Arial"/>
          <w:bCs/>
        </w:rPr>
        <w:t xml:space="preserve"> and Nutrient Network data, sites exhibited more sensitivity to </w:t>
      </w:r>
      <w:r w:rsidR="000B7484">
        <w:rPr>
          <w:rFonts w:ascii="Arial" w:hAnsi="Arial" w:cs="Arial"/>
          <w:bCs/>
        </w:rPr>
        <w:t>N enrichment</w:t>
      </w:r>
      <w:r w:rsidR="00B03974">
        <w:rPr>
          <w:rFonts w:ascii="Arial" w:hAnsi="Arial" w:cs="Arial"/>
          <w:bCs/>
        </w:rPr>
        <w:t xml:space="preserve"> than either P or K treatments. </w:t>
      </w:r>
      <w:r w:rsidR="002277B5">
        <w:rPr>
          <w:rFonts w:ascii="Arial" w:hAnsi="Arial" w:cs="Arial"/>
          <w:bCs/>
        </w:rPr>
        <w:t xml:space="preserve">While this </w:t>
      </w:r>
      <w:r w:rsidR="00161567">
        <w:rPr>
          <w:rFonts w:ascii="Arial" w:hAnsi="Arial" w:cs="Arial"/>
          <w:bCs/>
        </w:rPr>
        <w:t xml:space="preserve">finding suggests that variation in N availability acts as more important niche dimension, this may also be a function of our dataset; </w:t>
      </w:r>
      <w:r w:rsidR="00964D5F">
        <w:rPr>
          <w:rFonts w:ascii="Arial" w:hAnsi="Arial" w:cs="Arial"/>
          <w:bCs/>
        </w:rPr>
        <w:t xml:space="preserve">the Nutrient Network’s focus on grassland ecosystems with disproportionate representation in temperate North America and Europe may skew these results. </w:t>
      </w:r>
      <w:r w:rsidR="00E871DC">
        <w:rPr>
          <w:rFonts w:ascii="Arial" w:hAnsi="Arial" w:cs="Arial"/>
          <w:bCs/>
        </w:rPr>
        <w:t xml:space="preserve">Nutrient demands are known to vary as a function of dominant ecotype, climatic characteristics, and </w:t>
      </w:r>
      <w:r w:rsidR="00461829">
        <w:rPr>
          <w:rFonts w:ascii="Arial" w:hAnsi="Arial" w:cs="Arial"/>
          <w:bCs/>
        </w:rPr>
        <w:t xml:space="preserve">edaphic properties. </w:t>
      </w:r>
      <w:r w:rsidR="004B7564">
        <w:rPr>
          <w:rFonts w:ascii="Arial" w:hAnsi="Arial" w:cs="Arial"/>
          <w:bCs/>
        </w:rPr>
        <w:t>SOME NOTES HERE ABOUT TREES/SHRUBS AND AUSTRALIA</w:t>
      </w:r>
    </w:p>
    <w:p w14:paraId="6798947E" w14:textId="013DBF33" w:rsidR="004B7564" w:rsidRDefault="004B7564" w:rsidP="004F5196">
      <w:pPr>
        <w:rPr>
          <w:rFonts w:ascii="Arial" w:hAnsi="Arial" w:cs="Arial"/>
          <w:bCs/>
        </w:rPr>
      </w:pPr>
      <w:r>
        <w:rPr>
          <w:rFonts w:ascii="Arial" w:hAnsi="Arial" w:cs="Arial"/>
          <w:bCs/>
        </w:rPr>
        <w:t xml:space="preserve">After controlling for these </w:t>
      </w:r>
      <w:r w:rsidR="00944B96">
        <w:rPr>
          <w:rFonts w:ascii="Arial" w:hAnsi="Arial" w:cs="Arial"/>
          <w:bCs/>
        </w:rPr>
        <w:t>differences in magnitude of effect, we found strong evidence for largely one-dimensional patterns of community change across N, P, and K_mu treatments (Figure 2).</w:t>
      </w:r>
      <w:r w:rsidR="00785505">
        <w:rPr>
          <w:rFonts w:ascii="Arial" w:hAnsi="Arial" w:cs="Arial"/>
          <w:bCs/>
        </w:rPr>
        <w:t xml:space="preserve"> </w:t>
      </w:r>
      <w:r w:rsidR="00010A5E">
        <w:rPr>
          <w:rFonts w:ascii="Arial" w:hAnsi="Arial" w:cs="Arial"/>
          <w:bCs/>
        </w:rPr>
        <w:t xml:space="preserve">The dominance of a single axis is consistent with our “neutral” </w:t>
      </w:r>
      <w:r w:rsidR="00BD12C5">
        <w:rPr>
          <w:rFonts w:ascii="Arial" w:hAnsi="Arial" w:cs="Arial"/>
          <w:bCs/>
        </w:rPr>
        <w:t>model</w:t>
      </w:r>
      <w:r w:rsidR="00010A5E">
        <w:rPr>
          <w:rFonts w:ascii="Arial" w:hAnsi="Arial" w:cs="Arial"/>
          <w:bCs/>
        </w:rPr>
        <w:t xml:space="preserve"> </w:t>
      </w:r>
      <w:r w:rsidR="00D12BD0">
        <w:rPr>
          <w:rFonts w:ascii="Arial" w:hAnsi="Arial" w:cs="Arial"/>
          <w:bCs/>
        </w:rPr>
        <w:t xml:space="preserve">assuming </w:t>
      </w:r>
      <w:r w:rsidR="008567A2">
        <w:rPr>
          <w:rFonts w:ascii="Arial" w:hAnsi="Arial" w:cs="Arial"/>
          <w:bCs/>
        </w:rPr>
        <w:t xml:space="preserve">proportionally equal responses </w:t>
      </w:r>
      <w:r w:rsidR="002208C5">
        <w:rPr>
          <w:rFonts w:ascii="Arial" w:hAnsi="Arial" w:cs="Arial"/>
          <w:bCs/>
        </w:rPr>
        <w:t>to different treatments</w:t>
      </w:r>
      <w:r w:rsidR="00EB442C">
        <w:rPr>
          <w:rFonts w:ascii="Arial" w:hAnsi="Arial" w:cs="Arial"/>
          <w:bCs/>
        </w:rPr>
        <w:t xml:space="preserve"> –</w:t>
      </w:r>
      <w:r w:rsidR="008B05F9">
        <w:rPr>
          <w:rFonts w:ascii="Arial" w:hAnsi="Arial" w:cs="Arial"/>
          <w:bCs/>
        </w:rPr>
        <w:t xml:space="preserve"> </w:t>
      </w:r>
      <w:r w:rsidR="007D6770">
        <w:rPr>
          <w:rFonts w:ascii="Arial" w:hAnsi="Arial" w:cs="Arial"/>
          <w:bCs/>
        </w:rPr>
        <w:t xml:space="preserve">expected </w:t>
      </w:r>
      <w:r w:rsidR="00CA4B43">
        <w:rPr>
          <w:rFonts w:ascii="Arial" w:hAnsi="Arial" w:cs="Arial"/>
          <w:bCs/>
        </w:rPr>
        <w:t xml:space="preserve">when nutrient enrichment </w:t>
      </w:r>
      <w:r w:rsidR="00B91CEE">
        <w:rPr>
          <w:rFonts w:ascii="Arial" w:hAnsi="Arial" w:cs="Arial"/>
          <w:bCs/>
        </w:rPr>
        <w:t xml:space="preserve">generates a shift in resource limitation from belowground resource to light, </w:t>
      </w:r>
      <w:r w:rsidR="00370DBD">
        <w:rPr>
          <w:rFonts w:ascii="Arial" w:hAnsi="Arial" w:cs="Arial"/>
          <w:bCs/>
        </w:rPr>
        <w:t xml:space="preserve">independent </w:t>
      </w:r>
      <w:r w:rsidR="00CF0B13">
        <w:rPr>
          <w:rFonts w:ascii="Arial" w:hAnsi="Arial" w:cs="Arial"/>
          <w:bCs/>
        </w:rPr>
        <w:t xml:space="preserve">of </w:t>
      </w:r>
      <w:r w:rsidR="00320265">
        <w:rPr>
          <w:rFonts w:ascii="Arial" w:hAnsi="Arial" w:cs="Arial"/>
          <w:bCs/>
        </w:rPr>
        <w:t xml:space="preserve">the </w:t>
      </w:r>
      <w:r w:rsidR="00CF0B13">
        <w:rPr>
          <w:rFonts w:ascii="Arial" w:hAnsi="Arial" w:cs="Arial"/>
          <w:bCs/>
        </w:rPr>
        <w:t xml:space="preserve">resource added. </w:t>
      </w:r>
      <w:r w:rsidR="00EB442C">
        <w:rPr>
          <w:rFonts w:ascii="Arial" w:hAnsi="Arial" w:cs="Arial"/>
          <w:bCs/>
        </w:rPr>
        <w:t xml:space="preserve">This </w:t>
      </w:r>
      <w:r w:rsidR="00E0295E">
        <w:rPr>
          <w:rFonts w:ascii="Arial" w:hAnsi="Arial" w:cs="Arial"/>
          <w:bCs/>
        </w:rPr>
        <w:t xml:space="preserve">perspective, focused on total belowground resource availability, rather than stoichiometry, follows a vast body </w:t>
      </w:r>
      <w:r w:rsidR="0021600C">
        <w:rPr>
          <w:rFonts w:ascii="Arial" w:hAnsi="Arial" w:cs="Arial"/>
          <w:bCs/>
        </w:rPr>
        <w:t xml:space="preserve">of </w:t>
      </w:r>
      <w:r w:rsidR="00E86CAE">
        <w:rPr>
          <w:rFonts w:ascii="Arial" w:hAnsi="Arial" w:cs="Arial"/>
          <w:bCs/>
        </w:rPr>
        <w:t xml:space="preserve">work on the role of </w:t>
      </w:r>
      <w:r w:rsidR="00EC19E8">
        <w:rPr>
          <w:rFonts w:ascii="Arial" w:hAnsi="Arial" w:cs="Arial"/>
          <w:bCs/>
        </w:rPr>
        <w:t>competition for available light in high resource environments.</w:t>
      </w:r>
      <w:r w:rsidR="00664F2F">
        <w:rPr>
          <w:rFonts w:ascii="Arial" w:hAnsi="Arial" w:cs="Arial"/>
          <w:bCs/>
        </w:rPr>
        <w:t xml:space="preserve"> MORE CITATIONS HERE</w:t>
      </w:r>
    </w:p>
    <w:p w14:paraId="4DD27491" w14:textId="190FB744" w:rsidR="00664F2F" w:rsidRDefault="004556B1" w:rsidP="004F5196">
      <w:pPr>
        <w:rPr>
          <w:rFonts w:ascii="Arial" w:hAnsi="Arial" w:cs="Arial"/>
          <w:bCs/>
        </w:rPr>
      </w:pPr>
      <w:r>
        <w:rPr>
          <w:rFonts w:ascii="Arial" w:hAnsi="Arial" w:cs="Arial"/>
          <w:bCs/>
        </w:rPr>
        <w:t>However</w:t>
      </w:r>
      <w:r w:rsidR="00BE1376">
        <w:rPr>
          <w:rFonts w:ascii="Arial" w:hAnsi="Arial" w:cs="Arial"/>
          <w:bCs/>
        </w:rPr>
        <w:t xml:space="preserve">, consistent deviations from this relationship as a function of </w:t>
      </w:r>
      <w:r w:rsidR="00541C7C">
        <w:rPr>
          <w:rFonts w:ascii="Arial" w:hAnsi="Arial" w:cs="Arial"/>
          <w:bCs/>
        </w:rPr>
        <w:t xml:space="preserve">plant </w:t>
      </w:r>
      <w:r w:rsidR="008C65AE">
        <w:rPr>
          <w:rFonts w:ascii="Arial" w:hAnsi="Arial" w:cs="Arial"/>
          <w:bCs/>
        </w:rPr>
        <w:t xml:space="preserve">functional strategy </w:t>
      </w:r>
      <w:r w:rsidR="00D00F9C">
        <w:rPr>
          <w:rFonts w:ascii="Arial" w:hAnsi="Arial" w:cs="Arial"/>
          <w:bCs/>
        </w:rPr>
        <w:t xml:space="preserve">suggest that </w:t>
      </w:r>
      <w:r w:rsidR="00600AF4">
        <w:rPr>
          <w:rFonts w:ascii="Arial" w:hAnsi="Arial" w:cs="Arial"/>
          <w:bCs/>
        </w:rPr>
        <w:t xml:space="preserve">species may specialize in </w:t>
      </w:r>
      <w:r w:rsidR="00344590">
        <w:rPr>
          <w:rFonts w:ascii="Arial" w:hAnsi="Arial" w:cs="Arial"/>
          <w:bCs/>
        </w:rPr>
        <w:t>the use of particular resources. Disproportionately positive responses of legumes to both Phosphorous and K_mu enrichment</w:t>
      </w:r>
      <w:r w:rsidR="00501EC3">
        <w:rPr>
          <w:rFonts w:ascii="Arial" w:hAnsi="Arial" w:cs="Arial"/>
          <w:bCs/>
        </w:rPr>
        <w:t xml:space="preserve"> are likely a function of </w:t>
      </w:r>
      <w:r w:rsidR="00BE7528">
        <w:rPr>
          <w:rFonts w:ascii="Arial" w:hAnsi="Arial" w:cs="Arial"/>
          <w:bCs/>
        </w:rPr>
        <w:t>their unique strategy</w:t>
      </w:r>
      <w:r w:rsidR="00BB4753">
        <w:rPr>
          <w:rFonts w:ascii="Arial" w:hAnsi="Arial" w:cs="Arial"/>
          <w:bCs/>
        </w:rPr>
        <w:t>. MORE CITATIONS HERE</w:t>
      </w:r>
      <w:r w:rsidR="007E0BA5">
        <w:rPr>
          <w:rFonts w:ascii="Arial" w:hAnsi="Arial" w:cs="Arial"/>
          <w:bCs/>
        </w:rPr>
        <w:t>.</w:t>
      </w:r>
    </w:p>
    <w:p w14:paraId="17935AD2" w14:textId="64C91FCA" w:rsidR="0075394C" w:rsidRDefault="00207B4A" w:rsidP="004F5196">
      <w:pPr>
        <w:rPr>
          <w:rFonts w:ascii="Arial" w:hAnsi="Arial" w:cs="Arial"/>
          <w:bCs/>
        </w:rPr>
      </w:pPr>
      <w:r>
        <w:rPr>
          <w:rFonts w:ascii="Arial" w:hAnsi="Arial" w:cs="Arial"/>
          <w:bCs/>
        </w:rPr>
        <w:t xml:space="preserve">Moreover, </w:t>
      </w:r>
      <w:r w:rsidR="00DC50E6">
        <w:rPr>
          <w:rFonts w:ascii="Arial" w:hAnsi="Arial" w:cs="Arial"/>
          <w:bCs/>
        </w:rPr>
        <w:t xml:space="preserve">variation </w:t>
      </w:r>
      <w:r w:rsidR="00571015">
        <w:rPr>
          <w:rFonts w:ascii="Arial" w:hAnsi="Arial" w:cs="Arial"/>
          <w:bCs/>
        </w:rPr>
        <w:t xml:space="preserve">in site responses </w:t>
      </w:r>
      <w:r w:rsidR="00A90C42">
        <w:rPr>
          <w:rFonts w:ascii="Arial" w:hAnsi="Arial" w:cs="Arial"/>
          <w:bCs/>
        </w:rPr>
        <w:t xml:space="preserve">suggests that the development of </w:t>
      </w:r>
      <w:r w:rsidR="00B628DF">
        <w:rPr>
          <w:rFonts w:ascii="Arial" w:hAnsi="Arial" w:cs="Arial"/>
          <w:bCs/>
        </w:rPr>
        <w:t xml:space="preserve">multi-dimensional tradeoffs </w:t>
      </w:r>
      <w:r w:rsidR="00110EF7">
        <w:rPr>
          <w:rFonts w:ascii="Arial" w:hAnsi="Arial" w:cs="Arial"/>
          <w:bCs/>
        </w:rPr>
        <w:t xml:space="preserve">is constrained </w:t>
      </w:r>
      <w:r w:rsidR="003704BB">
        <w:rPr>
          <w:rFonts w:ascii="Arial" w:hAnsi="Arial" w:cs="Arial"/>
          <w:bCs/>
        </w:rPr>
        <w:t xml:space="preserve">by </w:t>
      </w:r>
      <w:r w:rsidR="00D0588C">
        <w:rPr>
          <w:rFonts w:ascii="Arial" w:hAnsi="Arial" w:cs="Arial"/>
          <w:bCs/>
        </w:rPr>
        <w:t>systems</w:t>
      </w:r>
      <w:r w:rsidR="005A1F45">
        <w:rPr>
          <w:rFonts w:ascii="Arial" w:hAnsi="Arial" w:cs="Arial"/>
          <w:bCs/>
        </w:rPr>
        <w:t>-specific</w:t>
      </w:r>
      <w:r w:rsidR="003704BB">
        <w:rPr>
          <w:rFonts w:ascii="Arial" w:hAnsi="Arial" w:cs="Arial"/>
          <w:bCs/>
        </w:rPr>
        <w:t xml:space="preserve"> characteris</w:t>
      </w:r>
      <w:r w:rsidR="008263D6">
        <w:rPr>
          <w:rFonts w:ascii="Arial" w:hAnsi="Arial" w:cs="Arial"/>
          <w:bCs/>
        </w:rPr>
        <w:t>tics</w:t>
      </w:r>
      <w:r w:rsidR="00264848">
        <w:rPr>
          <w:rFonts w:ascii="Arial" w:hAnsi="Arial" w:cs="Arial"/>
          <w:bCs/>
        </w:rPr>
        <w:t>.</w:t>
      </w:r>
      <w:r w:rsidR="00B628DF">
        <w:rPr>
          <w:rFonts w:ascii="Arial" w:hAnsi="Arial" w:cs="Arial"/>
          <w:bCs/>
        </w:rPr>
        <w:t xml:space="preserve"> By </w:t>
      </w:r>
      <w:r w:rsidR="0037159C">
        <w:rPr>
          <w:rFonts w:ascii="Arial" w:hAnsi="Arial" w:cs="Arial"/>
          <w:bCs/>
        </w:rPr>
        <w:t>manipulating the availability of belowground resources, f</w:t>
      </w:r>
      <w:r w:rsidR="00A41F68">
        <w:rPr>
          <w:rFonts w:ascii="Arial" w:hAnsi="Arial" w:cs="Arial"/>
          <w:bCs/>
        </w:rPr>
        <w:t xml:space="preserve">ertilization affects only a subset of </w:t>
      </w:r>
      <w:r w:rsidR="005A1F45">
        <w:rPr>
          <w:rFonts w:ascii="Arial" w:hAnsi="Arial" w:cs="Arial"/>
          <w:bCs/>
        </w:rPr>
        <w:t>the total limiting factors present within a system.</w:t>
      </w:r>
      <w:r w:rsidR="00D8255A">
        <w:rPr>
          <w:rFonts w:ascii="Arial" w:hAnsi="Arial" w:cs="Arial"/>
          <w:bCs/>
        </w:rPr>
        <w:t xml:space="preserve"> </w:t>
      </w:r>
      <w:r w:rsidR="00680713">
        <w:rPr>
          <w:rFonts w:ascii="Arial" w:hAnsi="Arial" w:cs="Arial"/>
          <w:bCs/>
        </w:rPr>
        <w:t xml:space="preserve">While water availability, community composition, </w:t>
      </w:r>
      <w:r w:rsidR="00587212">
        <w:rPr>
          <w:rFonts w:ascii="Arial" w:hAnsi="Arial" w:cs="Arial"/>
          <w:bCs/>
        </w:rPr>
        <w:t xml:space="preserve">and </w:t>
      </w:r>
      <w:r w:rsidR="00CE066B">
        <w:rPr>
          <w:rFonts w:ascii="Arial" w:hAnsi="Arial" w:cs="Arial"/>
          <w:bCs/>
        </w:rPr>
        <w:t xml:space="preserve">temperature are known to control </w:t>
      </w:r>
      <w:r w:rsidR="003D2398">
        <w:rPr>
          <w:rFonts w:ascii="Arial" w:hAnsi="Arial" w:cs="Arial"/>
          <w:bCs/>
        </w:rPr>
        <w:t xml:space="preserve">susceptibility to nutrient enrichment, these same characteristics are also likely to constrain how trade-offs develop within a system. </w:t>
      </w:r>
      <w:r w:rsidR="00CB108F">
        <w:rPr>
          <w:rFonts w:ascii="Arial" w:hAnsi="Arial" w:cs="Arial"/>
          <w:bCs/>
        </w:rPr>
        <w:t xml:space="preserve">In many grassland environments, for example, </w:t>
      </w:r>
      <w:r w:rsidR="00CF44F3">
        <w:rPr>
          <w:rFonts w:ascii="Arial" w:hAnsi="Arial" w:cs="Arial"/>
          <w:bCs/>
        </w:rPr>
        <w:t xml:space="preserve">community diversity is maintained through </w:t>
      </w:r>
      <w:r w:rsidR="0092111C">
        <w:rPr>
          <w:rFonts w:ascii="Arial" w:hAnsi="Arial" w:cs="Arial"/>
          <w:bCs/>
        </w:rPr>
        <w:t xml:space="preserve">storage effects that </w:t>
      </w:r>
      <w:r w:rsidR="008C3F95">
        <w:rPr>
          <w:rFonts w:ascii="Arial" w:hAnsi="Arial" w:cs="Arial"/>
          <w:bCs/>
        </w:rPr>
        <w:t>depend on spatial and temporal variation</w:t>
      </w:r>
      <w:r w:rsidR="005F6EAD">
        <w:rPr>
          <w:rFonts w:ascii="Arial" w:hAnsi="Arial" w:cs="Arial"/>
          <w:bCs/>
        </w:rPr>
        <w:t xml:space="preserve"> </w:t>
      </w:r>
      <w:r w:rsidR="005C3990">
        <w:rPr>
          <w:rFonts w:ascii="Arial" w:hAnsi="Arial" w:cs="Arial"/>
          <w:bCs/>
        </w:rPr>
        <w:t xml:space="preserve">in the environment. </w:t>
      </w:r>
    </w:p>
    <w:p w14:paraId="3C02F334" w14:textId="77777777" w:rsidR="0075394C" w:rsidRPr="00344590" w:rsidRDefault="0075394C" w:rsidP="004F5196">
      <w:pPr>
        <w:rPr>
          <w:rFonts w:ascii="Arial" w:hAnsi="Arial" w:cs="Arial"/>
          <w:bCs/>
        </w:rPr>
      </w:pPr>
    </w:p>
    <w:p w14:paraId="75679744" w14:textId="222308D6" w:rsidR="001167AB" w:rsidRDefault="001167AB" w:rsidP="004F5196">
      <w:pPr>
        <w:rPr>
          <w:rFonts w:ascii="Arial" w:hAnsi="Arial" w:cs="Arial"/>
          <w:bCs/>
        </w:rPr>
      </w:pPr>
    </w:p>
    <w:p w14:paraId="3516BA68" w14:textId="4A7595A0" w:rsidR="001167AB" w:rsidRDefault="001167AB" w:rsidP="004F5196">
      <w:pPr>
        <w:rPr>
          <w:rFonts w:ascii="Arial" w:hAnsi="Arial" w:cs="Arial"/>
          <w:bCs/>
        </w:rPr>
      </w:pPr>
      <w:r>
        <w:rPr>
          <w:rFonts w:ascii="Arial" w:hAnsi="Arial" w:cs="Arial"/>
          <w:bCs/>
        </w:rPr>
        <w:t xml:space="preserve">Limitations – </w:t>
      </w:r>
    </w:p>
    <w:p w14:paraId="569FBCFF" w14:textId="5D278C08" w:rsidR="001167AB" w:rsidRDefault="001167AB" w:rsidP="004F5196">
      <w:pPr>
        <w:rPr>
          <w:rFonts w:ascii="Arial" w:hAnsi="Arial" w:cs="Arial"/>
          <w:bCs/>
        </w:rPr>
      </w:pPr>
      <w:r>
        <w:rPr>
          <w:rFonts w:ascii="Arial" w:hAnsi="Arial" w:cs="Arial"/>
          <w:bCs/>
        </w:rPr>
        <w:t>Not mechanistic</w:t>
      </w:r>
    </w:p>
    <w:p w14:paraId="5133EB84" w14:textId="2FB70A3B" w:rsidR="002D5D5C" w:rsidRDefault="002D5D5C" w:rsidP="004F5196">
      <w:pPr>
        <w:rPr>
          <w:rFonts w:ascii="Arial" w:hAnsi="Arial" w:cs="Arial"/>
          <w:bCs/>
        </w:rPr>
      </w:pPr>
      <w:r>
        <w:rPr>
          <w:rFonts w:ascii="Arial" w:hAnsi="Arial" w:cs="Arial"/>
          <w:bCs/>
        </w:rPr>
        <w:t>Harder to tell if each resource is truly “limiting”</w:t>
      </w:r>
    </w:p>
    <w:p w14:paraId="63A841CB" w14:textId="77777777" w:rsidR="008A19BB" w:rsidRDefault="008A19BB" w:rsidP="00B7687C">
      <w:pPr>
        <w:widowControl w:val="0"/>
        <w:autoSpaceDE w:val="0"/>
        <w:autoSpaceDN w:val="0"/>
        <w:adjustRightInd w:val="0"/>
        <w:spacing w:line="240" w:lineRule="auto"/>
        <w:ind w:left="480" w:hanging="480"/>
        <w:rPr>
          <w:rFonts w:ascii="Arial" w:hAnsi="Arial" w:cs="Arial"/>
          <w:bCs/>
        </w:rPr>
      </w:pPr>
    </w:p>
    <w:p w14:paraId="7CDE0F69" w14:textId="32E9CC5C" w:rsidR="00B7687C" w:rsidRPr="00B7687C" w:rsidRDefault="00702222" w:rsidP="00B67192">
      <w:pPr>
        <w:rPr>
          <w:rFonts w:ascii="Arial" w:hAnsi="Arial" w:cs="Arial"/>
          <w:b/>
        </w:rPr>
      </w:pPr>
      <w:r>
        <w:rPr>
          <w:rFonts w:ascii="Arial" w:hAnsi="Arial" w:cs="Arial"/>
          <w:b/>
        </w:rPr>
        <w:br w:type="page"/>
      </w:r>
      <w:r w:rsidR="00B7687C" w:rsidRPr="00B7687C">
        <w:rPr>
          <w:rFonts w:ascii="Arial" w:hAnsi="Arial" w:cs="Arial"/>
          <w:b/>
        </w:rPr>
        <w:lastRenderedPageBreak/>
        <w:t>References</w:t>
      </w:r>
    </w:p>
    <w:p w14:paraId="5976510F" w14:textId="1C81CE6F" w:rsidR="00A1182F" w:rsidRPr="00A1182F" w:rsidRDefault="00B7687C" w:rsidP="00A1182F">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A1182F" w:rsidRPr="00A1182F">
        <w:rPr>
          <w:rFonts w:ascii="Arial" w:hAnsi="Arial" w:cs="Arial"/>
          <w:noProof/>
          <w:szCs w:val="24"/>
        </w:rPr>
        <w:t>Ågren, G. I. 2008. Stoichiometry and Nutrition of Plant Growth in Natural Communities. Annual Review of Ecology, Evolution, and Systematics 39:153–170.</w:t>
      </w:r>
    </w:p>
    <w:p w14:paraId="2B10A10A"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Chapin, F. S. 1980. The Mineral Nutrition of Wild Plants. Annual Review of Ecology and Systematics 11:233–260.</w:t>
      </w:r>
    </w:p>
    <w:p w14:paraId="37FEC8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DeMalach, N., and R. Kadmon. 2017. Light competition explains diversity decline better than niche dimensionality. Functional Ecology 31:1834–1838.</w:t>
      </w:r>
    </w:p>
    <w:p w14:paraId="445A49F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Dybzinski, R., and D. Tilman. 2007. Resource use patterns predict long-term outcomes of plant competition for nutrients and light. American Naturalist 170:305–318.</w:t>
      </w:r>
    </w:p>
    <w:p w14:paraId="56D3836F"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Ladwig, Q. Li, R. L. McCulley, B. A. Melbourne, C. E. Mitchell, J. L. Moore, J. W. Morgan, A. C. Risch, M. Schütz, C. J. Stevens, D. A. Wedin, and L. H. Yang. 2015. Grassland productivity limited by multiple nutrients. Nature Plants 1:1–5.</w:t>
      </w:r>
    </w:p>
    <w:p w14:paraId="0B660DD9"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652DED1C"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Güsewell, S. 2004. N:P ratios in terrestrial plants: Variation and functional significance. New Phytologist 164:243–266.</w:t>
      </w:r>
    </w:p>
    <w:p w14:paraId="2DEE3C9D"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27982D0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14041ECB"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and D. Tilman. 2007. Grassland species loss resulting from reduced niche dimension. Nature 446:791–793.</w:t>
      </w:r>
    </w:p>
    <w:p w14:paraId="7D1DFC8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P. a Niklaus, and A. Hector. 2009. Competition for light causes plant biodiversity loss after eutrophication. Science (New York, N.Y.) 324:636–638.</w:t>
      </w:r>
    </w:p>
    <w:p w14:paraId="026DBC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E. Vojtech, and A. Hector. 2018. The importance of competition for light depends on productivity and disturbance. Ecology and Evolution 8:10655–10661.</w:t>
      </w:r>
    </w:p>
    <w:p w14:paraId="46E0C07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lastRenderedPageBreak/>
        <w:t>Hutchinson, G. 1957. Concluding remarks. Cold Spring Harbor Symposia on ….</w:t>
      </w:r>
    </w:p>
    <w:p w14:paraId="374445F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Knecht, M. F., and A. Göransson. 2004. Terrestrial plants require nutrients in similar proportions. Tree Physiology 24:447–460.</w:t>
      </w:r>
    </w:p>
    <w:p w14:paraId="513BD5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Lambers, H., J. A. Raven, G. R. Shaver, and S. E. Smith. 2008. Plant nutrient-acquisition strategies change with soil age. Trends in Ecology and Evolution 23:95–103.</w:t>
      </w:r>
    </w:p>
    <w:p w14:paraId="7F6F6E5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Mattson, D. A., and W. J. Herms. 1992. The Dilemma of Plants: To Grow or Defend. The Quarterly Review of Biology 67:283–335.</w:t>
      </w:r>
    </w:p>
    <w:p w14:paraId="70E8741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Pacala, S. W., and M. Rees. 1998. Models suggesting field experiments to test two hypotheses explaining successional diversity. The American naturalist 152:729–737.</w:t>
      </w:r>
    </w:p>
    <w:p w14:paraId="20B98B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Passarge, J., S. Hol, M. Escher, and J. Huisman. 2006. Competition for nutrients and light: Stable coexistence, alternative stable states, or competitive exclusion? Ecological Monographs 76:57–72.</w:t>
      </w:r>
    </w:p>
    <w:p w14:paraId="091E8B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73CC5C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1994. Competition and Biodiversity in Spatially Structured Habitats. Ecology 75:2–16.</w:t>
      </w:r>
    </w:p>
    <w:p w14:paraId="01F77AD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2004. Niche tradeoffs, neutrality, and community structure: a stochastic theory of resource competition, invasion, and community assembly. Proceedings of the National Academy of Sciences of the United States of America 101:10854–61.</w:t>
      </w:r>
    </w:p>
    <w:p w14:paraId="0E2F5E2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G. D. 1984. Plant Dominance Along an Experimental Nutrient Gradient. Ecology 65:1445–1453.</w:t>
      </w:r>
    </w:p>
    <w:p w14:paraId="4A3B9074"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rPr>
      </w:pPr>
      <w:r w:rsidRPr="00A1182F">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0070F2A3" w14:textId="416DCD3B" w:rsidR="00E37A35" w:rsidRPr="00B7687C" w:rsidRDefault="00B7687C" w:rsidP="00B7687C">
      <w:pPr>
        <w:rPr>
          <w:rFonts w:ascii="Arial" w:hAnsi="Arial" w:cs="Arial"/>
          <w:bCs/>
        </w:rPr>
      </w:pPr>
      <w:r>
        <w:rPr>
          <w:rFonts w:ascii="Arial" w:hAnsi="Arial" w:cs="Arial"/>
          <w:bCs/>
        </w:rPr>
        <w:fldChar w:fldCharType="end"/>
      </w:r>
    </w:p>
    <w:sectPr w:rsidR="00E37A35" w:rsidRPr="00B76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15T16:01:00Z" w:initials="eb">
    <w:p w14:paraId="261D4A29" w14:textId="229EDC16" w:rsidR="00B35751" w:rsidRDefault="00B35751">
      <w:pPr>
        <w:pStyle w:val="CommentText"/>
      </w:pPr>
      <w:r>
        <w:rPr>
          <w:rStyle w:val="CommentReference"/>
        </w:rPr>
        <w:annotationRef/>
      </w:r>
      <w:r>
        <w:t xml:space="preserve">Add note about how </w:t>
      </w:r>
      <w:r w:rsidR="00F46F2F">
        <w:t>to filter based on abundance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1D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A6C4" w16cex:dateUtc="2020-07-15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1D4A29" w16cid:durableId="22B9A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E9384" w14:textId="77777777" w:rsidR="00312771" w:rsidRDefault="00312771" w:rsidP="00D253DD">
      <w:pPr>
        <w:spacing w:after="0" w:line="240" w:lineRule="auto"/>
      </w:pPr>
      <w:r>
        <w:separator/>
      </w:r>
    </w:p>
  </w:endnote>
  <w:endnote w:type="continuationSeparator" w:id="0">
    <w:p w14:paraId="1C3CC949" w14:textId="77777777" w:rsidR="00312771" w:rsidRDefault="00312771"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E05E5" w14:textId="77777777" w:rsidR="00312771" w:rsidRDefault="00312771" w:rsidP="00D253DD">
      <w:pPr>
        <w:spacing w:after="0" w:line="240" w:lineRule="auto"/>
      </w:pPr>
      <w:r>
        <w:separator/>
      </w:r>
    </w:p>
  </w:footnote>
  <w:footnote w:type="continuationSeparator" w:id="0">
    <w:p w14:paraId="020C4915" w14:textId="77777777" w:rsidR="00312771" w:rsidRDefault="00312771"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47D9"/>
    <w:rsid w:val="00010A5E"/>
    <w:rsid w:val="0001114E"/>
    <w:rsid w:val="00014588"/>
    <w:rsid w:val="00014F1D"/>
    <w:rsid w:val="000202B3"/>
    <w:rsid w:val="00022761"/>
    <w:rsid w:val="00022890"/>
    <w:rsid w:val="00024987"/>
    <w:rsid w:val="00027F3A"/>
    <w:rsid w:val="00033C88"/>
    <w:rsid w:val="00033D5C"/>
    <w:rsid w:val="00036BAD"/>
    <w:rsid w:val="00041177"/>
    <w:rsid w:val="0004497D"/>
    <w:rsid w:val="000472B9"/>
    <w:rsid w:val="00051869"/>
    <w:rsid w:val="0005308C"/>
    <w:rsid w:val="00056516"/>
    <w:rsid w:val="00063FD5"/>
    <w:rsid w:val="00074B53"/>
    <w:rsid w:val="000773F8"/>
    <w:rsid w:val="000778D8"/>
    <w:rsid w:val="00082EEB"/>
    <w:rsid w:val="00084C54"/>
    <w:rsid w:val="00085AD1"/>
    <w:rsid w:val="00087492"/>
    <w:rsid w:val="00093E8E"/>
    <w:rsid w:val="000943D7"/>
    <w:rsid w:val="000A00A2"/>
    <w:rsid w:val="000A094D"/>
    <w:rsid w:val="000A2653"/>
    <w:rsid w:val="000A2769"/>
    <w:rsid w:val="000A338A"/>
    <w:rsid w:val="000A3976"/>
    <w:rsid w:val="000A48B6"/>
    <w:rsid w:val="000B0469"/>
    <w:rsid w:val="000B656A"/>
    <w:rsid w:val="000B6936"/>
    <w:rsid w:val="000B7484"/>
    <w:rsid w:val="000C1A95"/>
    <w:rsid w:val="000C367D"/>
    <w:rsid w:val="000C463D"/>
    <w:rsid w:val="000C75AC"/>
    <w:rsid w:val="000D0932"/>
    <w:rsid w:val="000D1D59"/>
    <w:rsid w:val="000D31B5"/>
    <w:rsid w:val="000D4396"/>
    <w:rsid w:val="000E0FCC"/>
    <w:rsid w:val="000F04B7"/>
    <w:rsid w:val="000F0630"/>
    <w:rsid w:val="000F4B98"/>
    <w:rsid w:val="000F6B7E"/>
    <w:rsid w:val="00100A81"/>
    <w:rsid w:val="00101432"/>
    <w:rsid w:val="00102BB1"/>
    <w:rsid w:val="00105150"/>
    <w:rsid w:val="001103A2"/>
    <w:rsid w:val="00110EF7"/>
    <w:rsid w:val="001110A3"/>
    <w:rsid w:val="00111A40"/>
    <w:rsid w:val="001167AB"/>
    <w:rsid w:val="00117E5E"/>
    <w:rsid w:val="00120CA8"/>
    <w:rsid w:val="00121B35"/>
    <w:rsid w:val="001227C5"/>
    <w:rsid w:val="00130588"/>
    <w:rsid w:val="00133CCE"/>
    <w:rsid w:val="001361E1"/>
    <w:rsid w:val="00141EA9"/>
    <w:rsid w:val="001476F3"/>
    <w:rsid w:val="00151718"/>
    <w:rsid w:val="00152B6D"/>
    <w:rsid w:val="00153AC2"/>
    <w:rsid w:val="00160F6F"/>
    <w:rsid w:val="00161567"/>
    <w:rsid w:val="0016419F"/>
    <w:rsid w:val="00177B10"/>
    <w:rsid w:val="00180676"/>
    <w:rsid w:val="001811E4"/>
    <w:rsid w:val="001816B3"/>
    <w:rsid w:val="00183192"/>
    <w:rsid w:val="001853DA"/>
    <w:rsid w:val="00190CCF"/>
    <w:rsid w:val="00192170"/>
    <w:rsid w:val="00193437"/>
    <w:rsid w:val="0019467D"/>
    <w:rsid w:val="00196537"/>
    <w:rsid w:val="001A0100"/>
    <w:rsid w:val="001A0448"/>
    <w:rsid w:val="001A12D1"/>
    <w:rsid w:val="001B0D07"/>
    <w:rsid w:val="001B27B0"/>
    <w:rsid w:val="001B45BE"/>
    <w:rsid w:val="001B582A"/>
    <w:rsid w:val="001B64D2"/>
    <w:rsid w:val="001B69B5"/>
    <w:rsid w:val="001C5F68"/>
    <w:rsid w:val="001C62B6"/>
    <w:rsid w:val="001D376A"/>
    <w:rsid w:val="001D414C"/>
    <w:rsid w:val="001D61A0"/>
    <w:rsid w:val="001E0B91"/>
    <w:rsid w:val="001E190D"/>
    <w:rsid w:val="001F4702"/>
    <w:rsid w:val="001F5C10"/>
    <w:rsid w:val="001F72E1"/>
    <w:rsid w:val="00201D49"/>
    <w:rsid w:val="00207162"/>
    <w:rsid w:val="00207B4A"/>
    <w:rsid w:val="0021309B"/>
    <w:rsid w:val="0021574F"/>
    <w:rsid w:val="00216002"/>
    <w:rsid w:val="0021600C"/>
    <w:rsid w:val="00216F13"/>
    <w:rsid w:val="00216FA1"/>
    <w:rsid w:val="002200A4"/>
    <w:rsid w:val="002208C5"/>
    <w:rsid w:val="002212AE"/>
    <w:rsid w:val="002261C2"/>
    <w:rsid w:val="00226D34"/>
    <w:rsid w:val="00226DDB"/>
    <w:rsid w:val="002277B5"/>
    <w:rsid w:val="00232EED"/>
    <w:rsid w:val="002360D5"/>
    <w:rsid w:val="002368B4"/>
    <w:rsid w:val="0023694C"/>
    <w:rsid w:val="00241FBC"/>
    <w:rsid w:val="00247520"/>
    <w:rsid w:val="0025067B"/>
    <w:rsid w:val="00250A04"/>
    <w:rsid w:val="002548AC"/>
    <w:rsid w:val="00254B9A"/>
    <w:rsid w:val="00254C06"/>
    <w:rsid w:val="002559EA"/>
    <w:rsid w:val="00257821"/>
    <w:rsid w:val="00260CBE"/>
    <w:rsid w:val="00264848"/>
    <w:rsid w:val="002648A7"/>
    <w:rsid w:val="002708BE"/>
    <w:rsid w:val="002744D0"/>
    <w:rsid w:val="002747E4"/>
    <w:rsid w:val="0027748D"/>
    <w:rsid w:val="00285DAA"/>
    <w:rsid w:val="002937A1"/>
    <w:rsid w:val="0029643C"/>
    <w:rsid w:val="0029669C"/>
    <w:rsid w:val="00296F86"/>
    <w:rsid w:val="002A011F"/>
    <w:rsid w:val="002A10C5"/>
    <w:rsid w:val="002A3F75"/>
    <w:rsid w:val="002A768D"/>
    <w:rsid w:val="002B066D"/>
    <w:rsid w:val="002B176B"/>
    <w:rsid w:val="002B409E"/>
    <w:rsid w:val="002B7871"/>
    <w:rsid w:val="002B7DA2"/>
    <w:rsid w:val="002C7699"/>
    <w:rsid w:val="002D0D4F"/>
    <w:rsid w:val="002D10C1"/>
    <w:rsid w:val="002D3D21"/>
    <w:rsid w:val="002D403D"/>
    <w:rsid w:val="002D53FC"/>
    <w:rsid w:val="002D5D5C"/>
    <w:rsid w:val="002D786A"/>
    <w:rsid w:val="002E14AC"/>
    <w:rsid w:val="002E1C51"/>
    <w:rsid w:val="002E2614"/>
    <w:rsid w:val="002E31C6"/>
    <w:rsid w:val="002E3E7B"/>
    <w:rsid w:val="002E6DB1"/>
    <w:rsid w:val="002F0044"/>
    <w:rsid w:val="002F216E"/>
    <w:rsid w:val="002F449C"/>
    <w:rsid w:val="002F4677"/>
    <w:rsid w:val="002F4689"/>
    <w:rsid w:val="002F472D"/>
    <w:rsid w:val="002F4ADF"/>
    <w:rsid w:val="002F62EB"/>
    <w:rsid w:val="00303E7D"/>
    <w:rsid w:val="003045F4"/>
    <w:rsid w:val="00307586"/>
    <w:rsid w:val="00307621"/>
    <w:rsid w:val="00312771"/>
    <w:rsid w:val="00313AFE"/>
    <w:rsid w:val="00320265"/>
    <w:rsid w:val="00321871"/>
    <w:rsid w:val="0032386F"/>
    <w:rsid w:val="00324E82"/>
    <w:rsid w:val="003258C2"/>
    <w:rsid w:val="003368A9"/>
    <w:rsid w:val="00336974"/>
    <w:rsid w:val="00337F21"/>
    <w:rsid w:val="00340589"/>
    <w:rsid w:val="00340BD9"/>
    <w:rsid w:val="00344590"/>
    <w:rsid w:val="00347932"/>
    <w:rsid w:val="00351E73"/>
    <w:rsid w:val="00354D6A"/>
    <w:rsid w:val="00355EBB"/>
    <w:rsid w:val="00356F57"/>
    <w:rsid w:val="003616DD"/>
    <w:rsid w:val="00362E72"/>
    <w:rsid w:val="003630FA"/>
    <w:rsid w:val="0036321B"/>
    <w:rsid w:val="0036597A"/>
    <w:rsid w:val="00370117"/>
    <w:rsid w:val="003701E2"/>
    <w:rsid w:val="0037021B"/>
    <w:rsid w:val="003704BB"/>
    <w:rsid w:val="00370DBD"/>
    <w:rsid w:val="0037159C"/>
    <w:rsid w:val="00373FB8"/>
    <w:rsid w:val="00376310"/>
    <w:rsid w:val="00377595"/>
    <w:rsid w:val="003775BD"/>
    <w:rsid w:val="00384296"/>
    <w:rsid w:val="0038775E"/>
    <w:rsid w:val="003879EF"/>
    <w:rsid w:val="003934BE"/>
    <w:rsid w:val="00394EB0"/>
    <w:rsid w:val="00396A24"/>
    <w:rsid w:val="003A01E0"/>
    <w:rsid w:val="003A174E"/>
    <w:rsid w:val="003A22A5"/>
    <w:rsid w:val="003A4463"/>
    <w:rsid w:val="003A5788"/>
    <w:rsid w:val="003B013C"/>
    <w:rsid w:val="003B22B2"/>
    <w:rsid w:val="003B2CD7"/>
    <w:rsid w:val="003B5F58"/>
    <w:rsid w:val="003B7E58"/>
    <w:rsid w:val="003C1674"/>
    <w:rsid w:val="003C4F0B"/>
    <w:rsid w:val="003C718B"/>
    <w:rsid w:val="003D2398"/>
    <w:rsid w:val="003D28AD"/>
    <w:rsid w:val="003D29CE"/>
    <w:rsid w:val="003D3739"/>
    <w:rsid w:val="003D5184"/>
    <w:rsid w:val="003D56EE"/>
    <w:rsid w:val="003D6478"/>
    <w:rsid w:val="003E002D"/>
    <w:rsid w:val="003F21C3"/>
    <w:rsid w:val="003F22B7"/>
    <w:rsid w:val="003F3272"/>
    <w:rsid w:val="003F6F1A"/>
    <w:rsid w:val="00400D94"/>
    <w:rsid w:val="00401455"/>
    <w:rsid w:val="004029C4"/>
    <w:rsid w:val="00410E07"/>
    <w:rsid w:val="004127E9"/>
    <w:rsid w:val="004137CA"/>
    <w:rsid w:val="00416384"/>
    <w:rsid w:val="00417EBD"/>
    <w:rsid w:val="0042082A"/>
    <w:rsid w:val="004217D8"/>
    <w:rsid w:val="00423913"/>
    <w:rsid w:val="004259AA"/>
    <w:rsid w:val="004271E9"/>
    <w:rsid w:val="00427EAE"/>
    <w:rsid w:val="00435ECD"/>
    <w:rsid w:val="00441350"/>
    <w:rsid w:val="0044588F"/>
    <w:rsid w:val="0045093E"/>
    <w:rsid w:val="00451943"/>
    <w:rsid w:val="00451B1D"/>
    <w:rsid w:val="00452F72"/>
    <w:rsid w:val="004556B1"/>
    <w:rsid w:val="00460616"/>
    <w:rsid w:val="00461829"/>
    <w:rsid w:val="0046187B"/>
    <w:rsid w:val="00463DFE"/>
    <w:rsid w:val="00466760"/>
    <w:rsid w:val="00472D99"/>
    <w:rsid w:val="00486921"/>
    <w:rsid w:val="0048706F"/>
    <w:rsid w:val="00487487"/>
    <w:rsid w:val="00491160"/>
    <w:rsid w:val="0049192B"/>
    <w:rsid w:val="00491E89"/>
    <w:rsid w:val="004927B1"/>
    <w:rsid w:val="00493680"/>
    <w:rsid w:val="004965E8"/>
    <w:rsid w:val="004A11E0"/>
    <w:rsid w:val="004A48EC"/>
    <w:rsid w:val="004A5532"/>
    <w:rsid w:val="004A5B3D"/>
    <w:rsid w:val="004A7148"/>
    <w:rsid w:val="004A78D6"/>
    <w:rsid w:val="004B043C"/>
    <w:rsid w:val="004B44E0"/>
    <w:rsid w:val="004B6B5B"/>
    <w:rsid w:val="004B7564"/>
    <w:rsid w:val="004B7934"/>
    <w:rsid w:val="004C47A3"/>
    <w:rsid w:val="004D49D7"/>
    <w:rsid w:val="004E3380"/>
    <w:rsid w:val="004F1167"/>
    <w:rsid w:val="004F2018"/>
    <w:rsid w:val="004F5196"/>
    <w:rsid w:val="004F5216"/>
    <w:rsid w:val="004F7DB3"/>
    <w:rsid w:val="00500004"/>
    <w:rsid w:val="00500611"/>
    <w:rsid w:val="00501EC3"/>
    <w:rsid w:val="00502835"/>
    <w:rsid w:val="00503275"/>
    <w:rsid w:val="0050512D"/>
    <w:rsid w:val="005059BA"/>
    <w:rsid w:val="00510808"/>
    <w:rsid w:val="00512D75"/>
    <w:rsid w:val="005134FA"/>
    <w:rsid w:val="00520108"/>
    <w:rsid w:val="00522057"/>
    <w:rsid w:val="00522F21"/>
    <w:rsid w:val="005231C5"/>
    <w:rsid w:val="00527DA6"/>
    <w:rsid w:val="00531E4A"/>
    <w:rsid w:val="005357C8"/>
    <w:rsid w:val="005359D3"/>
    <w:rsid w:val="00536BD2"/>
    <w:rsid w:val="00541C7C"/>
    <w:rsid w:val="00546CA2"/>
    <w:rsid w:val="0055069A"/>
    <w:rsid w:val="00552EE1"/>
    <w:rsid w:val="0055376C"/>
    <w:rsid w:val="00554D0A"/>
    <w:rsid w:val="005568B4"/>
    <w:rsid w:val="00556B1D"/>
    <w:rsid w:val="00556DFB"/>
    <w:rsid w:val="00561012"/>
    <w:rsid w:val="0056197F"/>
    <w:rsid w:val="00571015"/>
    <w:rsid w:val="00574CB9"/>
    <w:rsid w:val="00575228"/>
    <w:rsid w:val="00575858"/>
    <w:rsid w:val="00576E84"/>
    <w:rsid w:val="0058457B"/>
    <w:rsid w:val="00585864"/>
    <w:rsid w:val="00585E30"/>
    <w:rsid w:val="00587212"/>
    <w:rsid w:val="005876CC"/>
    <w:rsid w:val="00587E49"/>
    <w:rsid w:val="005905E5"/>
    <w:rsid w:val="005906CF"/>
    <w:rsid w:val="0059081E"/>
    <w:rsid w:val="00591EC5"/>
    <w:rsid w:val="00593DC9"/>
    <w:rsid w:val="005941AE"/>
    <w:rsid w:val="00594F24"/>
    <w:rsid w:val="005A045B"/>
    <w:rsid w:val="005A10CE"/>
    <w:rsid w:val="005A1F45"/>
    <w:rsid w:val="005A493E"/>
    <w:rsid w:val="005A4CF3"/>
    <w:rsid w:val="005B1480"/>
    <w:rsid w:val="005B17D7"/>
    <w:rsid w:val="005B41FA"/>
    <w:rsid w:val="005C15EB"/>
    <w:rsid w:val="005C1FF9"/>
    <w:rsid w:val="005C29D2"/>
    <w:rsid w:val="005C3990"/>
    <w:rsid w:val="005D032E"/>
    <w:rsid w:val="005D1827"/>
    <w:rsid w:val="005D1EC0"/>
    <w:rsid w:val="005D2058"/>
    <w:rsid w:val="005D233D"/>
    <w:rsid w:val="005D6743"/>
    <w:rsid w:val="005D7D0A"/>
    <w:rsid w:val="005E0582"/>
    <w:rsid w:val="005E1086"/>
    <w:rsid w:val="005E35A5"/>
    <w:rsid w:val="005E5412"/>
    <w:rsid w:val="005E65A5"/>
    <w:rsid w:val="005E7372"/>
    <w:rsid w:val="005F3FB6"/>
    <w:rsid w:val="005F5948"/>
    <w:rsid w:val="005F66E7"/>
    <w:rsid w:val="005F6EAD"/>
    <w:rsid w:val="005F7B09"/>
    <w:rsid w:val="00600AF4"/>
    <w:rsid w:val="00601532"/>
    <w:rsid w:val="00602114"/>
    <w:rsid w:val="00602C91"/>
    <w:rsid w:val="00606D73"/>
    <w:rsid w:val="00607437"/>
    <w:rsid w:val="00607D38"/>
    <w:rsid w:val="006110F9"/>
    <w:rsid w:val="00612853"/>
    <w:rsid w:val="006129A3"/>
    <w:rsid w:val="006163E7"/>
    <w:rsid w:val="0061644B"/>
    <w:rsid w:val="006214EE"/>
    <w:rsid w:val="00625A0C"/>
    <w:rsid w:val="006347B4"/>
    <w:rsid w:val="00636210"/>
    <w:rsid w:val="00640319"/>
    <w:rsid w:val="00640702"/>
    <w:rsid w:val="00643D83"/>
    <w:rsid w:val="00645956"/>
    <w:rsid w:val="00645F4D"/>
    <w:rsid w:val="00646824"/>
    <w:rsid w:val="00646A52"/>
    <w:rsid w:val="00647ABB"/>
    <w:rsid w:val="00650F11"/>
    <w:rsid w:val="00651EF1"/>
    <w:rsid w:val="00653A14"/>
    <w:rsid w:val="00654230"/>
    <w:rsid w:val="006549AE"/>
    <w:rsid w:val="006556F7"/>
    <w:rsid w:val="00656500"/>
    <w:rsid w:val="006575DB"/>
    <w:rsid w:val="00664F2F"/>
    <w:rsid w:val="006671A6"/>
    <w:rsid w:val="0066728C"/>
    <w:rsid w:val="0067106A"/>
    <w:rsid w:val="00671457"/>
    <w:rsid w:val="00673DD3"/>
    <w:rsid w:val="00680713"/>
    <w:rsid w:val="00685FAF"/>
    <w:rsid w:val="00690E36"/>
    <w:rsid w:val="00691900"/>
    <w:rsid w:val="00694220"/>
    <w:rsid w:val="006A0038"/>
    <w:rsid w:val="006A37BB"/>
    <w:rsid w:val="006A3DD0"/>
    <w:rsid w:val="006A58F9"/>
    <w:rsid w:val="006B02F9"/>
    <w:rsid w:val="006B7EE7"/>
    <w:rsid w:val="006C4C7D"/>
    <w:rsid w:val="006C651F"/>
    <w:rsid w:val="006C6D50"/>
    <w:rsid w:val="006D1630"/>
    <w:rsid w:val="006D3A8A"/>
    <w:rsid w:val="006D4E4F"/>
    <w:rsid w:val="006D55F6"/>
    <w:rsid w:val="006D623F"/>
    <w:rsid w:val="006D683D"/>
    <w:rsid w:val="006D722E"/>
    <w:rsid w:val="006E0557"/>
    <w:rsid w:val="006E3D6C"/>
    <w:rsid w:val="006E55D8"/>
    <w:rsid w:val="006F02AB"/>
    <w:rsid w:val="006F0B58"/>
    <w:rsid w:val="006F607C"/>
    <w:rsid w:val="00702222"/>
    <w:rsid w:val="00703826"/>
    <w:rsid w:val="00705017"/>
    <w:rsid w:val="007065DB"/>
    <w:rsid w:val="00706939"/>
    <w:rsid w:val="00712928"/>
    <w:rsid w:val="00713FE8"/>
    <w:rsid w:val="0071548A"/>
    <w:rsid w:val="00716D46"/>
    <w:rsid w:val="007202C6"/>
    <w:rsid w:val="00720AA0"/>
    <w:rsid w:val="00723637"/>
    <w:rsid w:val="00723EFF"/>
    <w:rsid w:val="0072569F"/>
    <w:rsid w:val="00725AAA"/>
    <w:rsid w:val="00726BF5"/>
    <w:rsid w:val="00731482"/>
    <w:rsid w:val="00731617"/>
    <w:rsid w:val="00732799"/>
    <w:rsid w:val="00735F0B"/>
    <w:rsid w:val="007364F6"/>
    <w:rsid w:val="00742182"/>
    <w:rsid w:val="00743477"/>
    <w:rsid w:val="00743E7F"/>
    <w:rsid w:val="00745979"/>
    <w:rsid w:val="0075394C"/>
    <w:rsid w:val="00754F85"/>
    <w:rsid w:val="0076069F"/>
    <w:rsid w:val="007616AE"/>
    <w:rsid w:val="00762874"/>
    <w:rsid w:val="00762DB9"/>
    <w:rsid w:val="00762DE7"/>
    <w:rsid w:val="00763402"/>
    <w:rsid w:val="00763604"/>
    <w:rsid w:val="007648EF"/>
    <w:rsid w:val="007708B6"/>
    <w:rsid w:val="00771916"/>
    <w:rsid w:val="00772487"/>
    <w:rsid w:val="007740A0"/>
    <w:rsid w:val="00774FFB"/>
    <w:rsid w:val="007776A7"/>
    <w:rsid w:val="00782C1C"/>
    <w:rsid w:val="00782C2C"/>
    <w:rsid w:val="007835D1"/>
    <w:rsid w:val="00785505"/>
    <w:rsid w:val="00787436"/>
    <w:rsid w:val="00787748"/>
    <w:rsid w:val="007912FB"/>
    <w:rsid w:val="00795405"/>
    <w:rsid w:val="00795EA2"/>
    <w:rsid w:val="00796922"/>
    <w:rsid w:val="007971FD"/>
    <w:rsid w:val="007A06C6"/>
    <w:rsid w:val="007A1E0A"/>
    <w:rsid w:val="007A2E03"/>
    <w:rsid w:val="007A324B"/>
    <w:rsid w:val="007B1FED"/>
    <w:rsid w:val="007B36D5"/>
    <w:rsid w:val="007B3F55"/>
    <w:rsid w:val="007B513E"/>
    <w:rsid w:val="007B56D6"/>
    <w:rsid w:val="007B6F79"/>
    <w:rsid w:val="007B7292"/>
    <w:rsid w:val="007C0B33"/>
    <w:rsid w:val="007C30A9"/>
    <w:rsid w:val="007C4B4F"/>
    <w:rsid w:val="007C72CA"/>
    <w:rsid w:val="007D000A"/>
    <w:rsid w:val="007D10E8"/>
    <w:rsid w:val="007D1A60"/>
    <w:rsid w:val="007D4AD5"/>
    <w:rsid w:val="007D6770"/>
    <w:rsid w:val="007E0363"/>
    <w:rsid w:val="007E055E"/>
    <w:rsid w:val="007E0BA5"/>
    <w:rsid w:val="007E0D97"/>
    <w:rsid w:val="007E209F"/>
    <w:rsid w:val="007E2D21"/>
    <w:rsid w:val="007E578F"/>
    <w:rsid w:val="007E72EB"/>
    <w:rsid w:val="007F0529"/>
    <w:rsid w:val="007F2B3F"/>
    <w:rsid w:val="007F378B"/>
    <w:rsid w:val="007F385E"/>
    <w:rsid w:val="007F479C"/>
    <w:rsid w:val="007F4E3F"/>
    <w:rsid w:val="007F511D"/>
    <w:rsid w:val="007F6283"/>
    <w:rsid w:val="00805C45"/>
    <w:rsid w:val="00806992"/>
    <w:rsid w:val="008100C1"/>
    <w:rsid w:val="00813753"/>
    <w:rsid w:val="00813F5B"/>
    <w:rsid w:val="0081497A"/>
    <w:rsid w:val="00814FA0"/>
    <w:rsid w:val="00816ED4"/>
    <w:rsid w:val="00825646"/>
    <w:rsid w:val="008259B9"/>
    <w:rsid w:val="00825FC4"/>
    <w:rsid w:val="008263D6"/>
    <w:rsid w:val="00830CBA"/>
    <w:rsid w:val="00837F9D"/>
    <w:rsid w:val="00845777"/>
    <w:rsid w:val="00851421"/>
    <w:rsid w:val="00853C9F"/>
    <w:rsid w:val="00854079"/>
    <w:rsid w:val="008541EE"/>
    <w:rsid w:val="008567A2"/>
    <w:rsid w:val="00856CA0"/>
    <w:rsid w:val="00861A04"/>
    <w:rsid w:val="008665FC"/>
    <w:rsid w:val="00867F50"/>
    <w:rsid w:val="008734FE"/>
    <w:rsid w:val="00874D00"/>
    <w:rsid w:val="00876057"/>
    <w:rsid w:val="00877298"/>
    <w:rsid w:val="00881B80"/>
    <w:rsid w:val="00882921"/>
    <w:rsid w:val="00884233"/>
    <w:rsid w:val="008858EA"/>
    <w:rsid w:val="00891A53"/>
    <w:rsid w:val="00893BC5"/>
    <w:rsid w:val="00894EED"/>
    <w:rsid w:val="0089537C"/>
    <w:rsid w:val="00895673"/>
    <w:rsid w:val="00895CBD"/>
    <w:rsid w:val="0089793B"/>
    <w:rsid w:val="008A0BAB"/>
    <w:rsid w:val="008A19BB"/>
    <w:rsid w:val="008A2082"/>
    <w:rsid w:val="008A54C8"/>
    <w:rsid w:val="008A73A0"/>
    <w:rsid w:val="008A74C3"/>
    <w:rsid w:val="008A7F33"/>
    <w:rsid w:val="008B05F9"/>
    <w:rsid w:val="008B1432"/>
    <w:rsid w:val="008B3E9D"/>
    <w:rsid w:val="008B4C50"/>
    <w:rsid w:val="008C0103"/>
    <w:rsid w:val="008C2CAD"/>
    <w:rsid w:val="008C3256"/>
    <w:rsid w:val="008C3F95"/>
    <w:rsid w:val="008C4C3C"/>
    <w:rsid w:val="008C5077"/>
    <w:rsid w:val="008C5E3F"/>
    <w:rsid w:val="008C65AE"/>
    <w:rsid w:val="008C7F43"/>
    <w:rsid w:val="008D0A1F"/>
    <w:rsid w:val="008D0A89"/>
    <w:rsid w:val="008D6C56"/>
    <w:rsid w:val="008E143C"/>
    <w:rsid w:val="008E1497"/>
    <w:rsid w:val="008E37A5"/>
    <w:rsid w:val="008E517C"/>
    <w:rsid w:val="008E60DD"/>
    <w:rsid w:val="008E61DE"/>
    <w:rsid w:val="008E767D"/>
    <w:rsid w:val="008F1E65"/>
    <w:rsid w:val="008F5AF4"/>
    <w:rsid w:val="0090549C"/>
    <w:rsid w:val="0091035E"/>
    <w:rsid w:val="009106E5"/>
    <w:rsid w:val="00912529"/>
    <w:rsid w:val="00914BCA"/>
    <w:rsid w:val="00915A74"/>
    <w:rsid w:val="00920A7D"/>
    <w:rsid w:val="0092111C"/>
    <w:rsid w:val="00921D5E"/>
    <w:rsid w:val="00924736"/>
    <w:rsid w:val="00925250"/>
    <w:rsid w:val="00926E88"/>
    <w:rsid w:val="009322B7"/>
    <w:rsid w:val="00934D82"/>
    <w:rsid w:val="00936A5F"/>
    <w:rsid w:val="00936DA1"/>
    <w:rsid w:val="009437DE"/>
    <w:rsid w:val="00944B96"/>
    <w:rsid w:val="00945227"/>
    <w:rsid w:val="00954863"/>
    <w:rsid w:val="00955D5C"/>
    <w:rsid w:val="009649A9"/>
    <w:rsid w:val="00964D5F"/>
    <w:rsid w:val="00971175"/>
    <w:rsid w:val="00971855"/>
    <w:rsid w:val="00972796"/>
    <w:rsid w:val="009728D9"/>
    <w:rsid w:val="00980144"/>
    <w:rsid w:val="00992287"/>
    <w:rsid w:val="009930A3"/>
    <w:rsid w:val="00995061"/>
    <w:rsid w:val="009A0038"/>
    <w:rsid w:val="009A00BD"/>
    <w:rsid w:val="009A0989"/>
    <w:rsid w:val="009A0FA7"/>
    <w:rsid w:val="009A1ACE"/>
    <w:rsid w:val="009A2BD9"/>
    <w:rsid w:val="009A530D"/>
    <w:rsid w:val="009A77FA"/>
    <w:rsid w:val="009B2111"/>
    <w:rsid w:val="009B42C1"/>
    <w:rsid w:val="009B6BAE"/>
    <w:rsid w:val="009C1412"/>
    <w:rsid w:val="009C1B2F"/>
    <w:rsid w:val="009C1D82"/>
    <w:rsid w:val="009C3317"/>
    <w:rsid w:val="009C4607"/>
    <w:rsid w:val="009C5A00"/>
    <w:rsid w:val="009C6206"/>
    <w:rsid w:val="009D18FB"/>
    <w:rsid w:val="009D391D"/>
    <w:rsid w:val="009D5479"/>
    <w:rsid w:val="009D6F55"/>
    <w:rsid w:val="009E7A12"/>
    <w:rsid w:val="009F264E"/>
    <w:rsid w:val="009F2764"/>
    <w:rsid w:val="009F40EF"/>
    <w:rsid w:val="009F4F0B"/>
    <w:rsid w:val="00A001D7"/>
    <w:rsid w:val="00A00E69"/>
    <w:rsid w:val="00A1182F"/>
    <w:rsid w:val="00A11D8C"/>
    <w:rsid w:val="00A129E1"/>
    <w:rsid w:val="00A13829"/>
    <w:rsid w:val="00A139B3"/>
    <w:rsid w:val="00A16F82"/>
    <w:rsid w:val="00A22314"/>
    <w:rsid w:val="00A23444"/>
    <w:rsid w:val="00A23CD5"/>
    <w:rsid w:val="00A24ADC"/>
    <w:rsid w:val="00A31212"/>
    <w:rsid w:val="00A31E3C"/>
    <w:rsid w:val="00A3542C"/>
    <w:rsid w:val="00A35972"/>
    <w:rsid w:val="00A37DC6"/>
    <w:rsid w:val="00A411A7"/>
    <w:rsid w:val="00A413F2"/>
    <w:rsid w:val="00A414DE"/>
    <w:rsid w:val="00A41F68"/>
    <w:rsid w:val="00A42E01"/>
    <w:rsid w:val="00A42E11"/>
    <w:rsid w:val="00A436CC"/>
    <w:rsid w:val="00A44CC4"/>
    <w:rsid w:val="00A46CDA"/>
    <w:rsid w:val="00A60401"/>
    <w:rsid w:val="00A6061D"/>
    <w:rsid w:val="00A62AAE"/>
    <w:rsid w:val="00A64686"/>
    <w:rsid w:val="00A64F19"/>
    <w:rsid w:val="00A675BB"/>
    <w:rsid w:val="00A67CD4"/>
    <w:rsid w:val="00A70329"/>
    <w:rsid w:val="00A72AEF"/>
    <w:rsid w:val="00A74381"/>
    <w:rsid w:val="00A755A5"/>
    <w:rsid w:val="00A75ED1"/>
    <w:rsid w:val="00A768D0"/>
    <w:rsid w:val="00A81C17"/>
    <w:rsid w:val="00A84322"/>
    <w:rsid w:val="00A85EE4"/>
    <w:rsid w:val="00A86D2C"/>
    <w:rsid w:val="00A90237"/>
    <w:rsid w:val="00A90C42"/>
    <w:rsid w:val="00A92245"/>
    <w:rsid w:val="00A926C6"/>
    <w:rsid w:val="00A95548"/>
    <w:rsid w:val="00A95D98"/>
    <w:rsid w:val="00A967C8"/>
    <w:rsid w:val="00AA2B2A"/>
    <w:rsid w:val="00AA6483"/>
    <w:rsid w:val="00AB04E3"/>
    <w:rsid w:val="00AB1B8F"/>
    <w:rsid w:val="00AB1F64"/>
    <w:rsid w:val="00AB3528"/>
    <w:rsid w:val="00AC2699"/>
    <w:rsid w:val="00AC5703"/>
    <w:rsid w:val="00AC5976"/>
    <w:rsid w:val="00AC6FF3"/>
    <w:rsid w:val="00AD0B11"/>
    <w:rsid w:val="00AD2D4B"/>
    <w:rsid w:val="00AD6449"/>
    <w:rsid w:val="00AE11A0"/>
    <w:rsid w:val="00AE3DCE"/>
    <w:rsid w:val="00AE5163"/>
    <w:rsid w:val="00AE63C5"/>
    <w:rsid w:val="00AE7B3D"/>
    <w:rsid w:val="00AF5415"/>
    <w:rsid w:val="00B03974"/>
    <w:rsid w:val="00B04604"/>
    <w:rsid w:val="00B0486B"/>
    <w:rsid w:val="00B04ED8"/>
    <w:rsid w:val="00B07A2A"/>
    <w:rsid w:val="00B24283"/>
    <w:rsid w:val="00B242F3"/>
    <w:rsid w:val="00B30374"/>
    <w:rsid w:val="00B332EA"/>
    <w:rsid w:val="00B339E6"/>
    <w:rsid w:val="00B3435B"/>
    <w:rsid w:val="00B35751"/>
    <w:rsid w:val="00B364F9"/>
    <w:rsid w:val="00B37ED4"/>
    <w:rsid w:val="00B37F2F"/>
    <w:rsid w:val="00B43DAD"/>
    <w:rsid w:val="00B46B13"/>
    <w:rsid w:val="00B537A5"/>
    <w:rsid w:val="00B540A2"/>
    <w:rsid w:val="00B542E8"/>
    <w:rsid w:val="00B54870"/>
    <w:rsid w:val="00B6192D"/>
    <w:rsid w:val="00B6227F"/>
    <w:rsid w:val="00B628DF"/>
    <w:rsid w:val="00B66B09"/>
    <w:rsid w:val="00B67192"/>
    <w:rsid w:val="00B67B81"/>
    <w:rsid w:val="00B72EED"/>
    <w:rsid w:val="00B7353B"/>
    <w:rsid w:val="00B75201"/>
    <w:rsid w:val="00B75CDE"/>
    <w:rsid w:val="00B7687C"/>
    <w:rsid w:val="00B91CEE"/>
    <w:rsid w:val="00B93E14"/>
    <w:rsid w:val="00B95216"/>
    <w:rsid w:val="00B95E88"/>
    <w:rsid w:val="00B962A5"/>
    <w:rsid w:val="00BA22D5"/>
    <w:rsid w:val="00BA36CE"/>
    <w:rsid w:val="00BA59E3"/>
    <w:rsid w:val="00BA6599"/>
    <w:rsid w:val="00BB4753"/>
    <w:rsid w:val="00BB4CB2"/>
    <w:rsid w:val="00BB6FE7"/>
    <w:rsid w:val="00BC2EBE"/>
    <w:rsid w:val="00BC3F06"/>
    <w:rsid w:val="00BD07BB"/>
    <w:rsid w:val="00BD12C5"/>
    <w:rsid w:val="00BD15AB"/>
    <w:rsid w:val="00BD171E"/>
    <w:rsid w:val="00BD4E19"/>
    <w:rsid w:val="00BD6936"/>
    <w:rsid w:val="00BD699F"/>
    <w:rsid w:val="00BD72BD"/>
    <w:rsid w:val="00BD782D"/>
    <w:rsid w:val="00BE0915"/>
    <w:rsid w:val="00BE1376"/>
    <w:rsid w:val="00BE327D"/>
    <w:rsid w:val="00BE32EE"/>
    <w:rsid w:val="00BE5AE1"/>
    <w:rsid w:val="00BE7528"/>
    <w:rsid w:val="00BE7AB2"/>
    <w:rsid w:val="00BF2B9A"/>
    <w:rsid w:val="00BF323F"/>
    <w:rsid w:val="00BF352D"/>
    <w:rsid w:val="00C00ED6"/>
    <w:rsid w:val="00C03812"/>
    <w:rsid w:val="00C049DA"/>
    <w:rsid w:val="00C04B5C"/>
    <w:rsid w:val="00C10EA3"/>
    <w:rsid w:val="00C122BE"/>
    <w:rsid w:val="00C140A1"/>
    <w:rsid w:val="00C143A2"/>
    <w:rsid w:val="00C16329"/>
    <w:rsid w:val="00C2037B"/>
    <w:rsid w:val="00C20751"/>
    <w:rsid w:val="00C2161E"/>
    <w:rsid w:val="00C25169"/>
    <w:rsid w:val="00C27FC9"/>
    <w:rsid w:val="00C31C09"/>
    <w:rsid w:val="00C3275A"/>
    <w:rsid w:val="00C32E55"/>
    <w:rsid w:val="00C338BA"/>
    <w:rsid w:val="00C36EF5"/>
    <w:rsid w:val="00C37E30"/>
    <w:rsid w:val="00C404C2"/>
    <w:rsid w:val="00C4294C"/>
    <w:rsid w:val="00C476DB"/>
    <w:rsid w:val="00C4775C"/>
    <w:rsid w:val="00C51D00"/>
    <w:rsid w:val="00C541A1"/>
    <w:rsid w:val="00C55510"/>
    <w:rsid w:val="00C5778F"/>
    <w:rsid w:val="00C65258"/>
    <w:rsid w:val="00C657EE"/>
    <w:rsid w:val="00C75355"/>
    <w:rsid w:val="00C75C5B"/>
    <w:rsid w:val="00C7714A"/>
    <w:rsid w:val="00C77444"/>
    <w:rsid w:val="00C811A4"/>
    <w:rsid w:val="00C82644"/>
    <w:rsid w:val="00C834B4"/>
    <w:rsid w:val="00C85569"/>
    <w:rsid w:val="00C86E24"/>
    <w:rsid w:val="00C9013A"/>
    <w:rsid w:val="00C9041F"/>
    <w:rsid w:val="00C92C83"/>
    <w:rsid w:val="00C93772"/>
    <w:rsid w:val="00CA16FE"/>
    <w:rsid w:val="00CA1B05"/>
    <w:rsid w:val="00CA4B43"/>
    <w:rsid w:val="00CA7D80"/>
    <w:rsid w:val="00CB0B56"/>
    <w:rsid w:val="00CB0B59"/>
    <w:rsid w:val="00CB108F"/>
    <w:rsid w:val="00CB21D7"/>
    <w:rsid w:val="00CB38FE"/>
    <w:rsid w:val="00CB5B80"/>
    <w:rsid w:val="00CB682C"/>
    <w:rsid w:val="00CC0F0D"/>
    <w:rsid w:val="00CC1F87"/>
    <w:rsid w:val="00CC246C"/>
    <w:rsid w:val="00CC3017"/>
    <w:rsid w:val="00CC6FC3"/>
    <w:rsid w:val="00CC72EF"/>
    <w:rsid w:val="00CC7F1F"/>
    <w:rsid w:val="00CD08C3"/>
    <w:rsid w:val="00CD5880"/>
    <w:rsid w:val="00CD76BD"/>
    <w:rsid w:val="00CE066B"/>
    <w:rsid w:val="00CE38AF"/>
    <w:rsid w:val="00CE5182"/>
    <w:rsid w:val="00CE59BD"/>
    <w:rsid w:val="00CE6B0E"/>
    <w:rsid w:val="00CF0798"/>
    <w:rsid w:val="00CF0B13"/>
    <w:rsid w:val="00CF2EBD"/>
    <w:rsid w:val="00CF44F3"/>
    <w:rsid w:val="00CF6646"/>
    <w:rsid w:val="00CF7AA0"/>
    <w:rsid w:val="00D00F8F"/>
    <w:rsid w:val="00D00F9C"/>
    <w:rsid w:val="00D01904"/>
    <w:rsid w:val="00D030AB"/>
    <w:rsid w:val="00D04B7A"/>
    <w:rsid w:val="00D05519"/>
    <w:rsid w:val="00D0588C"/>
    <w:rsid w:val="00D075B1"/>
    <w:rsid w:val="00D12BD0"/>
    <w:rsid w:val="00D136BC"/>
    <w:rsid w:val="00D13A7C"/>
    <w:rsid w:val="00D14EF8"/>
    <w:rsid w:val="00D2058F"/>
    <w:rsid w:val="00D20983"/>
    <w:rsid w:val="00D21A0E"/>
    <w:rsid w:val="00D22C19"/>
    <w:rsid w:val="00D22DB9"/>
    <w:rsid w:val="00D23E62"/>
    <w:rsid w:val="00D2432C"/>
    <w:rsid w:val="00D253DD"/>
    <w:rsid w:val="00D319D7"/>
    <w:rsid w:val="00D37673"/>
    <w:rsid w:val="00D37889"/>
    <w:rsid w:val="00D41A56"/>
    <w:rsid w:val="00D41B68"/>
    <w:rsid w:val="00D4476E"/>
    <w:rsid w:val="00D4602B"/>
    <w:rsid w:val="00D5019B"/>
    <w:rsid w:val="00D55E54"/>
    <w:rsid w:val="00D56F3C"/>
    <w:rsid w:val="00D63D09"/>
    <w:rsid w:val="00D651A1"/>
    <w:rsid w:val="00D654E8"/>
    <w:rsid w:val="00D666CB"/>
    <w:rsid w:val="00D67AD9"/>
    <w:rsid w:val="00D71C7A"/>
    <w:rsid w:val="00D73129"/>
    <w:rsid w:val="00D76A24"/>
    <w:rsid w:val="00D77532"/>
    <w:rsid w:val="00D81792"/>
    <w:rsid w:val="00D8255A"/>
    <w:rsid w:val="00D9032F"/>
    <w:rsid w:val="00D905E3"/>
    <w:rsid w:val="00D95146"/>
    <w:rsid w:val="00D95E08"/>
    <w:rsid w:val="00D96A24"/>
    <w:rsid w:val="00DA18A7"/>
    <w:rsid w:val="00DA6E28"/>
    <w:rsid w:val="00DB3940"/>
    <w:rsid w:val="00DB566D"/>
    <w:rsid w:val="00DB5B8B"/>
    <w:rsid w:val="00DB6533"/>
    <w:rsid w:val="00DB6B98"/>
    <w:rsid w:val="00DB6E5A"/>
    <w:rsid w:val="00DB6E94"/>
    <w:rsid w:val="00DC0BED"/>
    <w:rsid w:val="00DC216D"/>
    <w:rsid w:val="00DC3818"/>
    <w:rsid w:val="00DC3E9D"/>
    <w:rsid w:val="00DC504E"/>
    <w:rsid w:val="00DC50E6"/>
    <w:rsid w:val="00DC6D2D"/>
    <w:rsid w:val="00DD0C17"/>
    <w:rsid w:val="00DD362F"/>
    <w:rsid w:val="00DD3B76"/>
    <w:rsid w:val="00DD7E5B"/>
    <w:rsid w:val="00DE04CF"/>
    <w:rsid w:val="00DE0C21"/>
    <w:rsid w:val="00DE41EA"/>
    <w:rsid w:val="00DE5808"/>
    <w:rsid w:val="00DF299A"/>
    <w:rsid w:val="00DF35A1"/>
    <w:rsid w:val="00E0295E"/>
    <w:rsid w:val="00E02A28"/>
    <w:rsid w:val="00E03A76"/>
    <w:rsid w:val="00E0424E"/>
    <w:rsid w:val="00E15CFE"/>
    <w:rsid w:val="00E20419"/>
    <w:rsid w:val="00E2058A"/>
    <w:rsid w:val="00E21518"/>
    <w:rsid w:val="00E227E8"/>
    <w:rsid w:val="00E27A68"/>
    <w:rsid w:val="00E27D0A"/>
    <w:rsid w:val="00E307DE"/>
    <w:rsid w:val="00E3732C"/>
    <w:rsid w:val="00E37A35"/>
    <w:rsid w:val="00E45C93"/>
    <w:rsid w:val="00E47234"/>
    <w:rsid w:val="00E47EEB"/>
    <w:rsid w:val="00E53802"/>
    <w:rsid w:val="00E5571C"/>
    <w:rsid w:val="00E623ED"/>
    <w:rsid w:val="00E63ABE"/>
    <w:rsid w:val="00E645A4"/>
    <w:rsid w:val="00E66BD6"/>
    <w:rsid w:val="00E70552"/>
    <w:rsid w:val="00E70D66"/>
    <w:rsid w:val="00E72FD9"/>
    <w:rsid w:val="00E808CD"/>
    <w:rsid w:val="00E853F6"/>
    <w:rsid w:val="00E86CAE"/>
    <w:rsid w:val="00E871DC"/>
    <w:rsid w:val="00E90165"/>
    <w:rsid w:val="00E90D5C"/>
    <w:rsid w:val="00E9431D"/>
    <w:rsid w:val="00E974E7"/>
    <w:rsid w:val="00E97FEA"/>
    <w:rsid w:val="00EA019C"/>
    <w:rsid w:val="00EA1865"/>
    <w:rsid w:val="00EA25EC"/>
    <w:rsid w:val="00EA3CC8"/>
    <w:rsid w:val="00EA74DD"/>
    <w:rsid w:val="00EB3729"/>
    <w:rsid w:val="00EB442C"/>
    <w:rsid w:val="00EB627A"/>
    <w:rsid w:val="00EB7EF6"/>
    <w:rsid w:val="00EC14BC"/>
    <w:rsid w:val="00EC19E8"/>
    <w:rsid w:val="00EC2FD8"/>
    <w:rsid w:val="00EC4FCE"/>
    <w:rsid w:val="00EC5354"/>
    <w:rsid w:val="00EC71F4"/>
    <w:rsid w:val="00EC7CCF"/>
    <w:rsid w:val="00ED1879"/>
    <w:rsid w:val="00ED3A53"/>
    <w:rsid w:val="00ED3EAA"/>
    <w:rsid w:val="00ED490E"/>
    <w:rsid w:val="00ED66F8"/>
    <w:rsid w:val="00ED68C7"/>
    <w:rsid w:val="00EF0C9A"/>
    <w:rsid w:val="00EF0EB3"/>
    <w:rsid w:val="00EF0F9E"/>
    <w:rsid w:val="00EF297E"/>
    <w:rsid w:val="00EF3633"/>
    <w:rsid w:val="00EF3A47"/>
    <w:rsid w:val="00EF6427"/>
    <w:rsid w:val="00EF74C6"/>
    <w:rsid w:val="00F030CF"/>
    <w:rsid w:val="00F10C75"/>
    <w:rsid w:val="00F1346C"/>
    <w:rsid w:val="00F13D22"/>
    <w:rsid w:val="00F14A13"/>
    <w:rsid w:val="00F14FF9"/>
    <w:rsid w:val="00F16891"/>
    <w:rsid w:val="00F17E3E"/>
    <w:rsid w:val="00F2333C"/>
    <w:rsid w:val="00F24301"/>
    <w:rsid w:val="00F27185"/>
    <w:rsid w:val="00F273B8"/>
    <w:rsid w:val="00F3013C"/>
    <w:rsid w:val="00F30E1E"/>
    <w:rsid w:val="00F32EF8"/>
    <w:rsid w:val="00F34840"/>
    <w:rsid w:val="00F436F2"/>
    <w:rsid w:val="00F4536F"/>
    <w:rsid w:val="00F458E0"/>
    <w:rsid w:val="00F46F2F"/>
    <w:rsid w:val="00F57EE2"/>
    <w:rsid w:val="00F60820"/>
    <w:rsid w:val="00F60B2C"/>
    <w:rsid w:val="00F63531"/>
    <w:rsid w:val="00F71FB7"/>
    <w:rsid w:val="00F7245F"/>
    <w:rsid w:val="00F7315F"/>
    <w:rsid w:val="00F73397"/>
    <w:rsid w:val="00F8115E"/>
    <w:rsid w:val="00F83071"/>
    <w:rsid w:val="00F8487F"/>
    <w:rsid w:val="00F876C8"/>
    <w:rsid w:val="00F87D8B"/>
    <w:rsid w:val="00F92218"/>
    <w:rsid w:val="00F94B56"/>
    <w:rsid w:val="00F96AE2"/>
    <w:rsid w:val="00F96CB3"/>
    <w:rsid w:val="00F973D1"/>
    <w:rsid w:val="00FA0B28"/>
    <w:rsid w:val="00FA3365"/>
    <w:rsid w:val="00FA4E3A"/>
    <w:rsid w:val="00FA7EC9"/>
    <w:rsid w:val="00FB09F5"/>
    <w:rsid w:val="00FB1706"/>
    <w:rsid w:val="00FB1827"/>
    <w:rsid w:val="00FB1FB9"/>
    <w:rsid w:val="00FB28C7"/>
    <w:rsid w:val="00FB6A59"/>
    <w:rsid w:val="00FC306A"/>
    <w:rsid w:val="00FC4852"/>
    <w:rsid w:val="00FC506E"/>
    <w:rsid w:val="00FC7015"/>
    <w:rsid w:val="00FD0BA6"/>
    <w:rsid w:val="00FD11AD"/>
    <w:rsid w:val="00FD4328"/>
    <w:rsid w:val="00FD7449"/>
    <w:rsid w:val="00FD757D"/>
    <w:rsid w:val="00FE185A"/>
    <w:rsid w:val="00FF3BB5"/>
    <w:rsid w:val="00FF3BCE"/>
    <w:rsid w:val="00FF5368"/>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E1DBC88C-260D-4611-991B-B0BE7F3C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12</Pages>
  <Words>15383</Words>
  <Characters>87687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cp:revision>
  <dcterms:created xsi:type="dcterms:W3CDTF">2020-07-16T01:49:00Z</dcterms:created>
  <dcterms:modified xsi:type="dcterms:W3CDTF">2020-07-27T21:01:00Z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