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5D" w:rsidRDefault="00783AA5">
      <w:r>
        <w:t>Key Citations:</w:t>
      </w:r>
    </w:p>
    <w:p w:rsidR="00783AA5" w:rsidRDefault="00783AA5" w:rsidP="00783AA5">
      <w:pPr>
        <w:pStyle w:val="ListParagraph"/>
        <w:numPr>
          <w:ilvl w:val="0"/>
          <w:numId w:val="1"/>
        </w:numPr>
      </w:pPr>
      <w:r>
        <w:t>Dyer and Rice 1999 – Nassella pulchra able to utilize soil moisture much deeper than exotic annuals (60-150cm deep, vs &lt;30 cm deep preferred by annuals). Competition is most intense in spring. Focus on younger transplants .</w:t>
      </w:r>
    </w:p>
    <w:p w:rsidR="00783AA5" w:rsidRDefault="00783AA5" w:rsidP="00783AA5">
      <w:pPr>
        <w:pStyle w:val="ListParagraph"/>
        <w:numPr>
          <w:ilvl w:val="1"/>
          <w:numId w:val="1"/>
        </w:numPr>
      </w:pPr>
      <w:r>
        <w:t>Dense canopies prevent recruitment and growth of perennial grasses</w:t>
      </w:r>
    </w:p>
    <w:p w:rsidR="00783AA5" w:rsidRDefault="00783AA5" w:rsidP="00783AA5">
      <w:pPr>
        <w:pStyle w:val="ListParagraph"/>
        <w:numPr>
          <w:ilvl w:val="2"/>
          <w:numId w:val="1"/>
        </w:numPr>
      </w:pPr>
      <w:r>
        <w:t>Bartolome and Gemmill 1981</w:t>
      </w:r>
    </w:p>
    <w:p w:rsidR="00783AA5" w:rsidRDefault="00783AA5" w:rsidP="00783AA5">
      <w:pPr>
        <w:pStyle w:val="ListParagraph"/>
        <w:numPr>
          <w:ilvl w:val="2"/>
          <w:numId w:val="1"/>
        </w:numPr>
      </w:pPr>
      <w:r>
        <w:t>Dyer et al. 1996</w:t>
      </w:r>
    </w:p>
    <w:p w:rsidR="00783AA5" w:rsidRDefault="00783AA5" w:rsidP="00783AA5">
      <w:pPr>
        <w:pStyle w:val="ListParagraph"/>
        <w:numPr>
          <w:ilvl w:val="2"/>
          <w:numId w:val="1"/>
        </w:numPr>
      </w:pPr>
      <w:r>
        <w:t>Dyer and Rice 1997</w:t>
      </w:r>
    </w:p>
    <w:p w:rsidR="00783AA5" w:rsidRDefault="00783AA5" w:rsidP="00783AA5">
      <w:pPr>
        <w:pStyle w:val="ListParagraph"/>
        <w:numPr>
          <w:ilvl w:val="1"/>
          <w:numId w:val="1"/>
        </w:numPr>
      </w:pPr>
      <w:r>
        <w:t>Interpretation is that annual grasses have caused a shift in limitation from soil moisture to light</w:t>
      </w:r>
    </w:p>
    <w:p w:rsidR="00B94BB6" w:rsidRDefault="00B33312" w:rsidP="00B94BB6">
      <w:pPr>
        <w:pStyle w:val="ListParagraph"/>
        <w:numPr>
          <w:ilvl w:val="0"/>
          <w:numId w:val="1"/>
        </w:numPr>
      </w:pPr>
      <w:r>
        <w:t xml:space="preserve">Turnbull  et al. 1999 – general description of </w:t>
      </w:r>
      <w:r w:rsidR="00A41091">
        <w:t>competition and colonization tradeoffs</w:t>
      </w:r>
      <w:r w:rsidR="00995C61">
        <w:t>. Species do compete for establishment sites and larger seeded species generally win in direct competition.</w:t>
      </w:r>
    </w:p>
    <w:p w:rsidR="00FE45E8" w:rsidRDefault="00FE45E8" w:rsidP="00B94BB6">
      <w:pPr>
        <w:pStyle w:val="ListParagraph"/>
        <w:numPr>
          <w:ilvl w:val="0"/>
          <w:numId w:val="1"/>
        </w:numPr>
      </w:pPr>
      <w:r>
        <w:t>Corbin and D’Antonio 2004</w:t>
      </w:r>
    </w:p>
    <w:p w:rsidR="00FE45E8" w:rsidRDefault="00FE45E8" w:rsidP="00FE45E8">
      <w:pPr>
        <w:pStyle w:val="ListParagraph"/>
        <w:numPr>
          <w:ilvl w:val="1"/>
          <w:numId w:val="1"/>
        </w:numPr>
      </w:pPr>
      <w:r>
        <w:t xml:space="preserve">Competitive interactions in first growing season favored exotic grasses, but native perennials able to dominate mixed-assemblage </w:t>
      </w:r>
      <w:r w:rsidR="00BC34E1">
        <w:t xml:space="preserve">plots. </w:t>
      </w:r>
    </w:p>
    <w:p w:rsidR="00C82C69" w:rsidRDefault="00C82C69" w:rsidP="00FE45E8">
      <w:pPr>
        <w:pStyle w:val="ListParagraph"/>
        <w:numPr>
          <w:ilvl w:val="1"/>
          <w:numId w:val="1"/>
        </w:numPr>
      </w:pPr>
      <w:r>
        <w:t>Perennial individuals act as “incumbents”</w:t>
      </w:r>
    </w:p>
    <w:p w:rsidR="00B37A94" w:rsidRDefault="00C82C69" w:rsidP="00B37A94">
      <w:pPr>
        <w:pStyle w:val="ListParagraph"/>
        <w:numPr>
          <w:ilvl w:val="1"/>
          <w:numId w:val="1"/>
        </w:numPr>
      </w:pPr>
      <w:r>
        <w:t>Evidence from priority effects mediated through spatial</w:t>
      </w:r>
      <w:r w:rsidR="00B37A94">
        <w:t xml:space="preserve"> pre-emption</w:t>
      </w:r>
    </w:p>
    <w:p w:rsidR="00B37A94" w:rsidRDefault="00B37A94" w:rsidP="00B37A94">
      <w:pPr>
        <w:pStyle w:val="ListParagraph"/>
        <w:numPr>
          <w:ilvl w:val="2"/>
          <w:numId w:val="1"/>
        </w:numPr>
      </w:pPr>
      <w:r>
        <w:t>However, note that this is in coastal grasslands, not the interior – interactions may be very different in these circumstances</w:t>
      </w:r>
    </w:p>
    <w:p w:rsidR="00CA53CE" w:rsidRDefault="00CA53CE" w:rsidP="00CA53CE">
      <w:pPr>
        <w:pStyle w:val="ListParagraph"/>
        <w:numPr>
          <w:ilvl w:val="0"/>
          <w:numId w:val="1"/>
        </w:numPr>
      </w:pPr>
      <w:r>
        <w:t xml:space="preserve">Hamilton et al. 1999 –emphasis on competition in existing fields containing N. pulchra individuals, conducted seed additions and </w:t>
      </w:r>
      <w:r w:rsidR="00286D3A">
        <w:t>greenhouse trials.</w:t>
      </w:r>
    </w:p>
    <w:p w:rsidR="00286D3A" w:rsidRDefault="00286D3A" w:rsidP="00286D3A">
      <w:pPr>
        <w:pStyle w:val="ListParagraph"/>
        <w:numPr>
          <w:ilvl w:val="1"/>
          <w:numId w:val="1"/>
        </w:numPr>
      </w:pPr>
      <w:r>
        <w:t>N. pulchra is very strongly seed limited</w:t>
      </w:r>
    </w:p>
    <w:p w:rsidR="00286D3A" w:rsidRDefault="00286D3A" w:rsidP="00286D3A">
      <w:pPr>
        <w:pStyle w:val="ListParagraph"/>
        <w:numPr>
          <w:ilvl w:val="1"/>
          <w:numId w:val="1"/>
        </w:numPr>
      </w:pPr>
      <w:r>
        <w:t xml:space="preserve">Persistence of N. pulchra individuals may be more driven by drought – annual grass seedlings are more affected by drought. </w:t>
      </w:r>
    </w:p>
    <w:p w:rsidR="000A7644" w:rsidRDefault="000A7644" w:rsidP="000A7644">
      <w:pPr>
        <w:pStyle w:val="ListParagraph"/>
        <w:numPr>
          <w:ilvl w:val="0"/>
          <w:numId w:val="1"/>
        </w:numPr>
      </w:pPr>
      <w:r>
        <w:t xml:space="preserve">Hobbs and Mooney (1991) – Bromus hordeaceous largely decreased in serpentine grassland </w:t>
      </w:r>
      <w:r w:rsidR="00FF712B">
        <w:t>during drought</w:t>
      </w:r>
    </w:p>
    <w:p w:rsidR="00BE5741" w:rsidRDefault="00BE5741" w:rsidP="000A7644">
      <w:pPr>
        <w:pStyle w:val="ListParagraph"/>
        <w:numPr>
          <w:ilvl w:val="0"/>
          <w:numId w:val="1"/>
        </w:numPr>
      </w:pPr>
      <w:r>
        <w:t xml:space="preserve">Lenihan et al. (2008) – climate change scenarios </w:t>
      </w:r>
      <w:r w:rsidR="006B29BD">
        <w:t xml:space="preserve">and vegetation change in California. Emphasis is that grasslands are expected to increase significantly in cover </w:t>
      </w:r>
      <w:r w:rsidR="00C8637D">
        <w:t xml:space="preserve">across different climate change </w:t>
      </w:r>
      <w:r w:rsidR="003A14BB">
        <w:t xml:space="preserve">scenarios. </w:t>
      </w:r>
    </w:p>
    <w:p w:rsidR="000C5424" w:rsidRDefault="003A14BB" w:rsidP="000C5424">
      <w:pPr>
        <w:pStyle w:val="ListParagraph"/>
        <w:numPr>
          <w:ilvl w:val="0"/>
          <w:numId w:val="1"/>
        </w:numPr>
      </w:pPr>
      <w:r>
        <w:t>Harpole et al. (2007)</w:t>
      </w:r>
      <w:r w:rsidR="00117F94">
        <w:t xml:space="preserve"> </w:t>
      </w:r>
      <w:r w:rsidR="00153995">
        <w:t>–</w:t>
      </w:r>
      <w:r w:rsidR="000C5424">
        <w:t xml:space="preserve"> </w:t>
      </w:r>
      <w:r w:rsidR="00117F94">
        <w:t>interactive effects of water addition and N fertilizer on grass abundance and productivity – emphasis on colimitation.</w:t>
      </w:r>
      <w:r w:rsidR="000C5424">
        <w:t xml:space="preserve"> Increasing water and N enrichment increased productivity of two dominant annual grasses. N addition also increased water use, particularly early in the season that may have driven earlier phenology and leaf senescence. </w:t>
      </w:r>
    </w:p>
    <w:p w:rsidR="000C5424" w:rsidRDefault="000C5424" w:rsidP="000C5424">
      <w:pPr>
        <w:pStyle w:val="ListParagraph"/>
        <w:numPr>
          <w:ilvl w:val="0"/>
          <w:numId w:val="1"/>
        </w:numPr>
      </w:pPr>
      <w:r>
        <w:t xml:space="preserve">Seabloom et al. (2003) </w:t>
      </w:r>
      <w:r w:rsidR="00153995">
        <w:t>–</w:t>
      </w:r>
    </w:p>
    <w:p w:rsidR="00153995" w:rsidRDefault="00153995" w:rsidP="00153995">
      <w:pPr>
        <w:pStyle w:val="ListParagraph"/>
        <w:numPr>
          <w:ilvl w:val="1"/>
          <w:numId w:val="1"/>
        </w:numPr>
      </w:pPr>
      <w:r>
        <w:t>Mutual stable equilibria; in a two species system if neither species can invade an equilibrial population of the other species, priority effects can lead to MSE. Resource pre-emption can lead to this.</w:t>
      </w:r>
    </w:p>
    <w:p w:rsidR="00153995" w:rsidRDefault="00153995" w:rsidP="00153995">
      <w:pPr>
        <w:pStyle w:val="ListParagraph"/>
        <w:numPr>
          <w:ilvl w:val="1"/>
          <w:numId w:val="1"/>
        </w:numPr>
      </w:pPr>
      <w:r>
        <w:t>What can cause invasive dominance?</w:t>
      </w:r>
    </w:p>
    <w:p w:rsidR="00153995" w:rsidRDefault="00153995" w:rsidP="00153995">
      <w:pPr>
        <w:pStyle w:val="ListParagraph"/>
        <w:numPr>
          <w:ilvl w:val="2"/>
          <w:numId w:val="1"/>
        </w:numPr>
      </w:pPr>
      <w:r>
        <w:t>Competitive superiority</w:t>
      </w:r>
    </w:p>
    <w:p w:rsidR="00153995" w:rsidRDefault="00153995" w:rsidP="00153995">
      <w:pPr>
        <w:pStyle w:val="ListParagraph"/>
        <w:numPr>
          <w:ilvl w:val="2"/>
          <w:numId w:val="1"/>
        </w:numPr>
      </w:pPr>
      <w:r>
        <w:t>Anthropogenic disturbance</w:t>
      </w:r>
    </w:p>
    <w:p w:rsidR="00153995" w:rsidRDefault="00153995" w:rsidP="00153995">
      <w:pPr>
        <w:pStyle w:val="ListParagraph"/>
        <w:numPr>
          <w:ilvl w:val="2"/>
          <w:numId w:val="1"/>
        </w:numPr>
      </w:pPr>
      <w:r>
        <w:t>Invasive priority</w:t>
      </w:r>
    </w:p>
    <w:p w:rsidR="00CD28FC" w:rsidRDefault="00CD28FC" w:rsidP="00407229">
      <w:pPr>
        <w:pStyle w:val="ListParagraph"/>
        <w:numPr>
          <w:ilvl w:val="1"/>
          <w:numId w:val="1"/>
        </w:numPr>
        <w:ind w:left="720" w:firstLine="360"/>
      </w:pPr>
      <w:r>
        <w:t>Natives appear to be competitively superior in many circumstances, but may be largely recruitment limited</w:t>
      </w:r>
      <w:r w:rsidR="00407229">
        <w:t>.</w:t>
      </w:r>
    </w:p>
    <w:p w:rsidR="00407229" w:rsidRDefault="00407229" w:rsidP="00407229">
      <w:pPr>
        <w:pStyle w:val="ListParagraph"/>
        <w:numPr>
          <w:ilvl w:val="1"/>
          <w:numId w:val="1"/>
        </w:numPr>
        <w:ind w:left="720" w:firstLine="360"/>
      </w:pPr>
      <w:r>
        <w:lastRenderedPageBreak/>
        <w:t xml:space="preserve">Perennials are better able to invade </w:t>
      </w:r>
      <w:r w:rsidR="00900325">
        <w:t xml:space="preserve">annual communities when seeds </w:t>
      </w:r>
      <w:r w:rsidR="00B854CF">
        <w:t xml:space="preserve">are added, suggesting that a competition colonization tradeoff might be governing this community. </w:t>
      </w:r>
      <w:bookmarkStart w:id="0" w:name="_GoBack"/>
      <w:bookmarkEnd w:id="0"/>
    </w:p>
    <w:p w:rsidR="00153995" w:rsidRDefault="00153995" w:rsidP="00CD28FC"/>
    <w:sectPr w:rsidR="0015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C51B4"/>
    <w:multiLevelType w:val="hybridMultilevel"/>
    <w:tmpl w:val="280CA68A"/>
    <w:lvl w:ilvl="0" w:tplc="ACFCA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A5"/>
    <w:rsid w:val="000A7644"/>
    <w:rsid w:val="000C5424"/>
    <w:rsid w:val="00117F94"/>
    <w:rsid w:val="00153995"/>
    <w:rsid w:val="00286D3A"/>
    <w:rsid w:val="003A14BB"/>
    <w:rsid w:val="00407229"/>
    <w:rsid w:val="005B5DB6"/>
    <w:rsid w:val="006B29BD"/>
    <w:rsid w:val="00783AA5"/>
    <w:rsid w:val="008814AE"/>
    <w:rsid w:val="00900325"/>
    <w:rsid w:val="00995C61"/>
    <w:rsid w:val="00A41091"/>
    <w:rsid w:val="00B33312"/>
    <w:rsid w:val="00B37A94"/>
    <w:rsid w:val="00B854CF"/>
    <w:rsid w:val="00B94BB6"/>
    <w:rsid w:val="00BC34E1"/>
    <w:rsid w:val="00BE5741"/>
    <w:rsid w:val="00C82C69"/>
    <w:rsid w:val="00C8637D"/>
    <w:rsid w:val="00CA53CE"/>
    <w:rsid w:val="00CD28FC"/>
    <w:rsid w:val="00FE45E8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FF0B"/>
  <w15:chartTrackingRefBased/>
  <w15:docId w15:val="{FFD29D6F-153D-402A-A3C2-7247629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20</cp:revision>
  <dcterms:created xsi:type="dcterms:W3CDTF">2019-07-02T19:17:00Z</dcterms:created>
  <dcterms:modified xsi:type="dcterms:W3CDTF">2019-07-02T21:17:00Z</dcterms:modified>
</cp:coreProperties>
</file>