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8F" w:rsidRDefault="00473A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Likely need to reduce? Figures/tables likely best worth keeping highlighted.</w:t>
      </w:r>
    </w:p>
    <w:p w:rsidR="00473A9E" w:rsidRDefault="00473A9E">
      <w:pPr>
        <w:rPr>
          <w:rFonts w:ascii="Times New Roman" w:hAnsi="Times New Roman" w:cs="Times New Roman"/>
          <w:b/>
          <w:sz w:val="24"/>
          <w:szCs w:val="24"/>
        </w:rPr>
      </w:pPr>
    </w:p>
    <w:p w:rsidR="007A56E9" w:rsidRDefault="007A56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Tables:</w:t>
      </w:r>
    </w:p>
    <w:p w:rsidR="003B155D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Table 1:</w:t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579A2" wp14:editId="0F380968">
            <wp:extent cx="449961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480F45">
        <w:rPr>
          <w:rFonts w:ascii="Times New Roman" w:hAnsi="Times New Roman" w:cs="Times New Roman"/>
          <w:sz w:val="24"/>
          <w:szCs w:val="24"/>
          <w:highlight w:val="yellow"/>
        </w:rPr>
        <w:t>Table 2:</w:t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61D1D" wp14:editId="67A7A57E">
            <wp:extent cx="3413125" cy="25895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Table 3:</w:t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3EEBD" wp14:editId="1F0A7ED6">
            <wp:extent cx="3359150" cy="16389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480F45">
        <w:rPr>
          <w:rFonts w:ascii="Times New Roman" w:hAnsi="Times New Roman" w:cs="Times New Roman"/>
          <w:sz w:val="24"/>
          <w:szCs w:val="24"/>
          <w:highlight w:val="yellow"/>
        </w:rPr>
        <w:t>Table 4:</w:t>
      </w:r>
    </w:p>
    <w:p w:rsidR="003444D2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7331BF" wp14:editId="55485C1B">
            <wp:extent cx="3512744" cy="2878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44" cy="28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E9" w:rsidRDefault="007A5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56E9" w:rsidRPr="007A56E9" w:rsidRDefault="007A56E9">
      <w:pPr>
        <w:rPr>
          <w:rFonts w:ascii="Times New Roman" w:hAnsi="Times New Roman" w:cs="Times New Roman"/>
          <w:b/>
          <w:sz w:val="24"/>
          <w:szCs w:val="24"/>
        </w:rPr>
      </w:pPr>
      <w:r w:rsidRPr="007A56E9">
        <w:rPr>
          <w:rFonts w:ascii="Times New Roman" w:hAnsi="Times New Roman" w:cs="Times New Roman"/>
          <w:b/>
          <w:sz w:val="24"/>
          <w:szCs w:val="24"/>
        </w:rPr>
        <w:lastRenderedPageBreak/>
        <w:t>Figures:</w:t>
      </w:r>
    </w:p>
    <w:p w:rsidR="003444D2" w:rsidRPr="007A56E9" w:rsidRDefault="003444D2" w:rsidP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Figure 1:</w:t>
      </w:r>
    </w:p>
    <w:p w:rsidR="003444D2" w:rsidRPr="007A56E9" w:rsidRDefault="003444D2" w:rsidP="0034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1</w:t>
      </w:r>
      <w:r w:rsidRPr="007A56E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A56E9">
        <w:rPr>
          <w:rFonts w:ascii="Times New Roman" w:hAnsi="Times New Roman" w:cs="Times New Roman"/>
          <w:sz w:val="24"/>
          <w:szCs w:val="24"/>
        </w:rPr>
        <w:t xml:space="preserve"> panel shows mean annual precipitation in mm, with average from 1983 – 2018 as a dashed line</w:t>
      </w:r>
    </w:p>
    <w:p w:rsidR="003444D2" w:rsidRPr="007A56E9" w:rsidRDefault="003444D2" w:rsidP="0034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2</w:t>
      </w:r>
      <w:r w:rsidRPr="007A56E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A56E9">
        <w:rPr>
          <w:rFonts w:ascii="Times New Roman" w:hAnsi="Times New Roman" w:cs="Times New Roman"/>
          <w:sz w:val="24"/>
          <w:szCs w:val="24"/>
        </w:rPr>
        <w:t xml:space="preserve"> panel shows the value of the SPEI index over the course of our study, standardized relative to climate patterns from 1983 – 2018.</w:t>
      </w:r>
    </w:p>
    <w:p w:rsidR="003444D2" w:rsidRPr="007A56E9" w:rsidRDefault="003444D2" w:rsidP="0034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F68A3" wp14:editId="176DF9DB">
            <wp:extent cx="5943600" cy="2970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</w:p>
    <w:p w:rsidR="003444D2" w:rsidRPr="007A56E9" w:rsidRDefault="003444D2">
      <w:pPr>
        <w:rPr>
          <w:rFonts w:ascii="Times New Roman" w:hAnsi="Times New Roman" w:cs="Times New Roman"/>
          <w:noProof/>
          <w:sz w:val="24"/>
          <w:szCs w:val="24"/>
        </w:rPr>
      </w:pPr>
      <w:r w:rsidRPr="00480F4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Figure </w:t>
      </w:r>
      <w:r w:rsidR="000A257F" w:rsidRPr="00480F4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480F45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7A56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F5929" wp14:editId="13FC650C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D2" w:rsidRPr="007A56E9" w:rsidRDefault="000A257F">
      <w:pPr>
        <w:rPr>
          <w:rFonts w:ascii="Times New Roman" w:hAnsi="Times New Roman" w:cs="Times New Roman"/>
          <w:noProof/>
          <w:sz w:val="24"/>
          <w:szCs w:val="24"/>
        </w:rPr>
      </w:pPr>
      <w:r w:rsidRPr="00480F45">
        <w:rPr>
          <w:rFonts w:ascii="Times New Roman" w:hAnsi="Times New Roman" w:cs="Times New Roman"/>
          <w:noProof/>
          <w:sz w:val="24"/>
          <w:szCs w:val="24"/>
          <w:highlight w:val="yellow"/>
        </w:rPr>
        <w:t>Figure 3</w:t>
      </w:r>
      <w:r w:rsidR="003444D2" w:rsidRPr="00480F45">
        <w:rPr>
          <w:rFonts w:ascii="Times New Roman" w:hAnsi="Times New Roman" w:cs="Times New Roman"/>
          <w:noProof/>
          <w:sz w:val="24"/>
          <w:szCs w:val="24"/>
          <w:highlight w:val="yellow"/>
        </w:rPr>
        <w:t>:</w:t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B6945" wp14:editId="49324053">
            <wp:extent cx="5943600" cy="3394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D2" w:rsidRPr="007A56E9" w:rsidRDefault="003444D2">
      <w:pPr>
        <w:rPr>
          <w:rFonts w:ascii="Times New Roman" w:hAnsi="Times New Roman" w:cs="Times New Roman"/>
          <w:noProof/>
          <w:sz w:val="24"/>
          <w:szCs w:val="24"/>
        </w:rPr>
      </w:pPr>
      <w:r w:rsidRPr="00480F4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Figure </w:t>
      </w:r>
      <w:r w:rsidR="000A257F" w:rsidRPr="00480F4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480F45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7A56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B13C9" wp14:editId="45E2DBBD">
            <wp:extent cx="5705475" cy="6503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t xml:space="preserve">Figure </w:t>
      </w:r>
      <w:r w:rsidR="000A257F" w:rsidRPr="007A56E9">
        <w:rPr>
          <w:rFonts w:ascii="Times New Roman" w:hAnsi="Times New Roman" w:cs="Times New Roman"/>
          <w:noProof/>
          <w:sz w:val="24"/>
          <w:szCs w:val="24"/>
        </w:rPr>
        <w:t>5</w:t>
      </w:r>
      <w:r w:rsidRPr="007A56E9">
        <w:rPr>
          <w:rFonts w:ascii="Times New Roman" w:hAnsi="Times New Roman" w:cs="Times New Roman"/>
          <w:noProof/>
          <w:sz w:val="24"/>
          <w:szCs w:val="24"/>
        </w:rPr>
        <w:t>:</w:t>
      </w:r>
      <w:bookmarkStart w:id="0" w:name="_GoBack"/>
      <w:bookmarkEnd w:id="0"/>
    </w:p>
    <w:p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4D65F1" wp14:editId="384CA1CC">
            <wp:extent cx="5943600" cy="3385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D2" w:rsidRPr="007A56E9" w:rsidRDefault="003444D2">
      <w:pPr>
        <w:rPr>
          <w:rFonts w:ascii="Times New Roman" w:hAnsi="Times New Roman" w:cs="Times New Roman"/>
          <w:noProof/>
          <w:sz w:val="24"/>
          <w:szCs w:val="24"/>
        </w:rPr>
      </w:pPr>
      <w:r w:rsidRPr="00480F45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Figure </w:t>
      </w:r>
      <w:r w:rsidR="000A257F" w:rsidRPr="00480F45">
        <w:rPr>
          <w:rFonts w:ascii="Times New Roman" w:hAnsi="Times New Roman" w:cs="Times New Roman"/>
          <w:noProof/>
          <w:sz w:val="24"/>
          <w:szCs w:val="24"/>
          <w:highlight w:val="yellow"/>
        </w:rPr>
        <w:t>6</w:t>
      </w:r>
    </w:p>
    <w:p w:rsidR="003444D2" w:rsidRPr="007A56E9" w:rsidRDefault="003444D2">
      <w:pPr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E3FC0" wp14:editId="13905004">
            <wp:extent cx="5943600" cy="339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6E9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</w:t>
      </w:r>
    </w:p>
    <w:p w:rsidR="004D7472" w:rsidRDefault="003444D2">
      <w:pPr>
        <w:rPr>
          <w:rFonts w:ascii="Times New Roman" w:hAnsi="Times New Roman" w:cs="Times New Roman"/>
          <w:noProof/>
          <w:sz w:val="24"/>
          <w:szCs w:val="24"/>
        </w:rPr>
      </w:pPr>
      <w:r w:rsidRPr="00480F45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t xml:space="preserve">Figure </w:t>
      </w:r>
      <w:r w:rsidR="000A257F" w:rsidRPr="00480F45">
        <w:rPr>
          <w:rFonts w:ascii="Times New Roman" w:hAnsi="Times New Roman" w:cs="Times New Roman"/>
          <w:noProof/>
          <w:sz w:val="24"/>
          <w:szCs w:val="24"/>
          <w:highlight w:val="yellow"/>
        </w:rPr>
        <w:t>7</w:t>
      </w:r>
      <w:r w:rsidRPr="003444D2">
        <w:rPr>
          <w:rFonts w:ascii="Times New Roman" w:hAnsi="Times New Roman" w:cs="Times New Roman"/>
          <w:b/>
          <w:noProof/>
          <w:sz w:val="24"/>
          <w:szCs w:val="24"/>
          <w:vertAlign w:val="subscript"/>
        </w:rPr>
        <w:drawing>
          <wp:inline distT="0" distB="0" distL="0" distR="0" wp14:anchorId="224347AF" wp14:editId="0A21CEE8">
            <wp:extent cx="5943600" cy="338657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72" w:rsidRDefault="004D747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3444D2" w:rsidRDefault="004D7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4D7472" w:rsidRDefault="004D7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Resilience and Management </w:t>
      </w:r>
    </w:p>
    <w:p w:rsidR="00D475C9" w:rsidRDefault="00D475C9" w:rsidP="00D475C9">
      <w:pPr>
        <w:pStyle w:val="NormalWeb"/>
        <w:ind w:left="480" w:hanging="480"/>
      </w:pPr>
      <w:proofErr w:type="spellStart"/>
      <w:r>
        <w:t>Dudney</w:t>
      </w:r>
      <w:proofErr w:type="spellEnd"/>
      <w:r>
        <w:t xml:space="preserve">, J., Hobbs, R. J., </w:t>
      </w:r>
      <w:proofErr w:type="spellStart"/>
      <w:r>
        <w:t>Heilmayr</w:t>
      </w:r>
      <w:proofErr w:type="spellEnd"/>
      <w:r>
        <w:t xml:space="preserve">, R., Battles, J. J., &amp; </w:t>
      </w:r>
      <w:proofErr w:type="spellStart"/>
      <w:r>
        <w:t>Suding</w:t>
      </w:r>
      <w:proofErr w:type="spellEnd"/>
      <w:r>
        <w:t xml:space="preserve">, K. N. (2018). Navigating Novelty and Risk in Resilience Management. </w:t>
      </w:r>
      <w:r>
        <w:rPr>
          <w:i/>
          <w:iCs/>
        </w:rPr>
        <w:t>Trends in Ecology &amp; Evolution</w:t>
      </w:r>
      <w:r>
        <w:t xml:space="preserve">, </w:t>
      </w:r>
      <w:r>
        <w:rPr>
          <w:i/>
          <w:iCs/>
        </w:rPr>
        <w:t>33</w:t>
      </w:r>
      <w:r>
        <w:t>(11), 863–873. https://doi.org/10.1016/j.tree.2018.08.012</w:t>
      </w:r>
    </w:p>
    <w:p w:rsidR="00D475C9" w:rsidRDefault="00D475C9">
      <w:pPr>
        <w:rPr>
          <w:rFonts w:ascii="Times New Roman" w:hAnsi="Times New Roman" w:cs="Times New Roman"/>
          <w:b/>
          <w:sz w:val="24"/>
          <w:szCs w:val="24"/>
        </w:rPr>
      </w:pPr>
    </w:p>
    <w:p w:rsidR="004D7472" w:rsidRDefault="004D7472" w:rsidP="0021129B">
      <w:pPr>
        <w:tabs>
          <w:tab w:val="left" w:pos="36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and Transition Models</w:t>
      </w:r>
      <w:r w:rsidR="0021129B">
        <w:rPr>
          <w:rFonts w:ascii="Times New Roman" w:hAnsi="Times New Roman" w:cs="Times New Roman"/>
          <w:b/>
          <w:sz w:val="24"/>
          <w:szCs w:val="24"/>
        </w:rPr>
        <w:tab/>
      </w:r>
    </w:p>
    <w:p w:rsidR="0021129B" w:rsidRDefault="0021129B" w:rsidP="0021129B">
      <w:pPr>
        <w:pStyle w:val="NormalWeb"/>
        <w:ind w:left="480" w:hanging="480"/>
      </w:pPr>
      <w:r>
        <w:t xml:space="preserve">Allen-Diaz, B., &amp; Bartolome, J. W. (1998). Sagebrush – Grass Vegetation Dynamics : Comparing Classical and State-Transition Models. </w:t>
      </w:r>
      <w:r>
        <w:rPr>
          <w:i/>
          <w:iCs/>
        </w:rPr>
        <w:t>Ecological Applications</w:t>
      </w:r>
      <w:r>
        <w:t xml:space="preserve">, </w:t>
      </w:r>
      <w:r>
        <w:rPr>
          <w:i/>
          <w:iCs/>
        </w:rPr>
        <w:t>8</w:t>
      </w:r>
      <w:r>
        <w:t>(3), 795–804.</w:t>
      </w:r>
    </w:p>
    <w:p w:rsidR="00665EE8" w:rsidRDefault="00665EE8" w:rsidP="00665EE8">
      <w:pPr>
        <w:pStyle w:val="NormalWeb"/>
        <w:ind w:left="480" w:hanging="480"/>
      </w:pPr>
      <w:proofErr w:type="spellStart"/>
      <w:r>
        <w:t>Bagchi</w:t>
      </w:r>
      <w:proofErr w:type="spellEnd"/>
      <w:r>
        <w:t xml:space="preserve">, S., </w:t>
      </w:r>
      <w:proofErr w:type="spellStart"/>
      <w:r>
        <w:t>Briske</w:t>
      </w:r>
      <w:proofErr w:type="spellEnd"/>
      <w:r>
        <w:t xml:space="preserve">, D. D., Wu, X. B., </w:t>
      </w:r>
      <w:proofErr w:type="spellStart"/>
      <w:r>
        <w:t>McClaran</w:t>
      </w:r>
      <w:proofErr w:type="spellEnd"/>
      <w:r>
        <w:t xml:space="preserve">, M. P., </w:t>
      </w:r>
      <w:proofErr w:type="spellStart"/>
      <w:r>
        <w:t>Bestelmeyer</w:t>
      </w:r>
      <w:proofErr w:type="spellEnd"/>
      <w:r>
        <w:t xml:space="preserve">, B. T., &amp; </w:t>
      </w:r>
      <w:proofErr w:type="spellStart"/>
      <w:r>
        <w:t>Fernández-Giménez</w:t>
      </w:r>
      <w:proofErr w:type="spellEnd"/>
      <w:r>
        <w:t xml:space="preserve">, M. E. (2012). Empirical assessment of state-and-transition models with a long-term vegetation record from the Sonoran Desert. </w:t>
      </w:r>
      <w:r>
        <w:rPr>
          <w:i/>
          <w:iCs/>
        </w:rPr>
        <w:t>Ecological Applications</w:t>
      </w:r>
      <w:r>
        <w:t xml:space="preserve">, </w:t>
      </w:r>
      <w:r>
        <w:rPr>
          <w:i/>
          <w:iCs/>
        </w:rPr>
        <w:t>22</w:t>
      </w:r>
      <w:r>
        <w:t>(2), 400–411. https://doi.org/10.1890/11-0704.1</w:t>
      </w:r>
    </w:p>
    <w:p w:rsidR="0021129B" w:rsidRDefault="0021129B" w:rsidP="0021129B">
      <w:pPr>
        <w:pStyle w:val="NormalWeb"/>
        <w:ind w:left="480" w:hanging="480"/>
      </w:pPr>
      <w:proofErr w:type="spellStart"/>
      <w:r>
        <w:t>Briske</w:t>
      </w:r>
      <w:proofErr w:type="spellEnd"/>
      <w:r>
        <w:t xml:space="preserve">, D. D., </w:t>
      </w:r>
      <w:proofErr w:type="spellStart"/>
      <w:r>
        <w:t>Bestelmeyer</w:t>
      </w:r>
      <w:proofErr w:type="spellEnd"/>
      <w:r>
        <w:t xml:space="preserve">, B. T., </w:t>
      </w:r>
      <w:proofErr w:type="spellStart"/>
      <w:r>
        <w:t>Stringham</w:t>
      </w:r>
      <w:proofErr w:type="spellEnd"/>
      <w:r>
        <w:t xml:space="preserve">, T. K., &amp; Shaver, P. L. (2008). Recommendations for development of resilience-based state-and-transition models. </w:t>
      </w:r>
      <w:r>
        <w:rPr>
          <w:i/>
          <w:iCs/>
        </w:rPr>
        <w:t>Rangeland Ecology and Management</w:t>
      </w:r>
      <w:r>
        <w:t xml:space="preserve">, </w:t>
      </w:r>
      <w:r>
        <w:rPr>
          <w:i/>
          <w:iCs/>
        </w:rPr>
        <w:t>61</w:t>
      </w:r>
      <w:r>
        <w:t>(4), 359–367. https://doi.org/10.2111/07-051.1</w:t>
      </w:r>
    </w:p>
    <w:p w:rsidR="0021129B" w:rsidRDefault="0021129B" w:rsidP="0021129B">
      <w:pPr>
        <w:pStyle w:val="NormalWeb"/>
        <w:ind w:left="480" w:hanging="480"/>
      </w:pPr>
      <w:proofErr w:type="spellStart"/>
      <w:r>
        <w:t>Briske</w:t>
      </w:r>
      <w:proofErr w:type="spellEnd"/>
      <w:r>
        <w:t xml:space="preserve">, D. D., </w:t>
      </w:r>
      <w:proofErr w:type="spellStart"/>
      <w:r>
        <w:t>Fuhlendorf</w:t>
      </w:r>
      <w:proofErr w:type="spellEnd"/>
      <w:r>
        <w:t xml:space="preserve">, S. D., &amp; </w:t>
      </w:r>
      <w:proofErr w:type="spellStart"/>
      <w:r>
        <w:t>Smeins</w:t>
      </w:r>
      <w:proofErr w:type="spellEnd"/>
      <w:r>
        <w:t xml:space="preserve">, F. E. (2003). Vegetation dynamics on rangelands: A critique of the current paradigms. </w:t>
      </w:r>
      <w:r>
        <w:rPr>
          <w:i/>
          <w:iCs/>
        </w:rPr>
        <w:t>Journal of Applied Ecology</w:t>
      </w:r>
      <w:r>
        <w:t xml:space="preserve">, </w:t>
      </w:r>
      <w:r>
        <w:rPr>
          <w:i/>
          <w:iCs/>
        </w:rPr>
        <w:t>40</w:t>
      </w:r>
      <w:r>
        <w:t>(4), 601–614. https://doi.org/10.1046/j.1365-2664.2003.00837.x</w:t>
      </w:r>
    </w:p>
    <w:p w:rsidR="0021129B" w:rsidRDefault="0021129B" w:rsidP="0021129B">
      <w:pPr>
        <w:pStyle w:val="NormalWeb"/>
        <w:ind w:left="480" w:hanging="480"/>
      </w:pPr>
      <w:proofErr w:type="spellStart"/>
      <w:r>
        <w:t>Briske</w:t>
      </w:r>
      <w:proofErr w:type="spellEnd"/>
      <w:r>
        <w:t xml:space="preserve">, D. D., </w:t>
      </w:r>
      <w:proofErr w:type="spellStart"/>
      <w:r>
        <w:t>Illius</w:t>
      </w:r>
      <w:proofErr w:type="spellEnd"/>
      <w:r>
        <w:t xml:space="preserve">, A. W., &amp; </w:t>
      </w:r>
      <w:proofErr w:type="spellStart"/>
      <w:r>
        <w:t>Anderies</w:t>
      </w:r>
      <w:proofErr w:type="spellEnd"/>
      <w:r>
        <w:t xml:space="preserve">, J. M. (2017). </w:t>
      </w:r>
      <w:proofErr w:type="spellStart"/>
      <w:r>
        <w:t>Nonequilibrium</w:t>
      </w:r>
      <w:proofErr w:type="spellEnd"/>
      <w:r>
        <w:t xml:space="preserve"> Ecology and Resilience Theory. In D. D. </w:t>
      </w:r>
      <w:proofErr w:type="spellStart"/>
      <w:r>
        <w:t>Briske</w:t>
      </w:r>
      <w:proofErr w:type="spellEnd"/>
      <w:r>
        <w:t xml:space="preserve"> (Ed.), </w:t>
      </w:r>
      <w:r>
        <w:rPr>
          <w:i/>
          <w:iCs/>
        </w:rPr>
        <w:t>Rangeland Systems: Processes, Management and Challenges</w:t>
      </w:r>
      <w:r>
        <w:t xml:space="preserve"> (pp. 197–227). https://doi.org/10.1007/978-3-319-46709-2_6</w:t>
      </w:r>
    </w:p>
    <w:p w:rsidR="0021129B" w:rsidRDefault="0021129B" w:rsidP="0021129B">
      <w:pPr>
        <w:pStyle w:val="NormalWeb"/>
        <w:ind w:left="480" w:hanging="480"/>
      </w:pPr>
      <w:r>
        <w:t xml:space="preserve">Jackson, R. D., &amp; Bartolome, J. W. (2002). A state-transition approach to understanding </w:t>
      </w:r>
      <w:proofErr w:type="spellStart"/>
      <w:r>
        <w:t>nonequilibrium</w:t>
      </w:r>
      <w:proofErr w:type="spellEnd"/>
      <w:r>
        <w:t xml:space="preserve"> plant community dynamics in Californian grasslands. </w:t>
      </w:r>
      <w:r>
        <w:rPr>
          <w:i/>
          <w:iCs/>
        </w:rPr>
        <w:t>Plant Ecology</w:t>
      </w:r>
      <w:r>
        <w:t xml:space="preserve">, </w:t>
      </w:r>
      <w:r>
        <w:rPr>
          <w:i/>
          <w:iCs/>
        </w:rPr>
        <w:t>162</w:t>
      </w:r>
      <w:r>
        <w:t xml:space="preserve">(1), 49–65. </w:t>
      </w:r>
      <w:hyperlink r:id="rId16" w:history="1">
        <w:r w:rsidR="00357653" w:rsidRPr="007525E5">
          <w:rPr>
            <w:rStyle w:val="Hyperlink"/>
          </w:rPr>
          <w:t>https://doi.org/10.1023/A:1020363603900</w:t>
        </w:r>
      </w:hyperlink>
    </w:p>
    <w:p w:rsidR="00357653" w:rsidRDefault="00357653" w:rsidP="00585EE7">
      <w:pPr>
        <w:pStyle w:val="NormalWeb"/>
        <w:ind w:left="480" w:hanging="480"/>
      </w:pPr>
      <w:r>
        <w:t xml:space="preserve">Stein, C., </w:t>
      </w:r>
      <w:proofErr w:type="spellStart"/>
      <w:r>
        <w:t>Harpole</w:t>
      </w:r>
      <w:proofErr w:type="spellEnd"/>
      <w:r>
        <w:t xml:space="preserve">, W. S., &amp; </w:t>
      </w:r>
      <w:proofErr w:type="spellStart"/>
      <w:r>
        <w:t>Suding</w:t>
      </w:r>
      <w:proofErr w:type="spellEnd"/>
      <w:r>
        <w:t xml:space="preserve">, K. N. (2016). Transitions and invasion along a grazing gradient in experimental California grasslands.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97</w:t>
      </w:r>
      <w:r>
        <w:t>(9), 2319–2330. https://doi.org/10.1002/ecy.1478</w:t>
      </w:r>
    </w:p>
    <w:p w:rsidR="00665EE8" w:rsidRPr="0021129B" w:rsidRDefault="0021129B" w:rsidP="00665EE8">
      <w:pPr>
        <w:pStyle w:val="NormalWeb"/>
        <w:ind w:left="480" w:hanging="480"/>
      </w:pPr>
      <w:proofErr w:type="spellStart"/>
      <w:r>
        <w:t>Stringham</w:t>
      </w:r>
      <w:proofErr w:type="spellEnd"/>
      <w:r>
        <w:t xml:space="preserve">, T. K., Krueger, W. C., &amp; Shaver, P. L. (2003). State and Transition Modeling: An Ecological Process Approach. </w:t>
      </w:r>
      <w:r>
        <w:rPr>
          <w:i/>
          <w:iCs/>
        </w:rPr>
        <w:t>Journal of Range Management</w:t>
      </w:r>
      <w:r>
        <w:t xml:space="preserve">, </w:t>
      </w:r>
      <w:r>
        <w:rPr>
          <w:i/>
          <w:iCs/>
        </w:rPr>
        <w:t>56</w:t>
      </w:r>
      <w:r>
        <w:t>(2), 106. https://doi.org/10.2307/4003893</w:t>
      </w:r>
    </w:p>
    <w:p w:rsidR="00D01F51" w:rsidRDefault="00D01F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Climate and Plant Communities</w:t>
      </w:r>
    </w:p>
    <w:p w:rsidR="00D01F51" w:rsidRDefault="00D01F51" w:rsidP="00D01F51">
      <w:pPr>
        <w:pStyle w:val="NormalWeb"/>
        <w:ind w:left="480" w:hanging="480"/>
      </w:pPr>
      <w:r>
        <w:lastRenderedPageBreak/>
        <w:t xml:space="preserve">Clary, J. (2008). Rainfall seasonality determines annual/perennial grass balance in vegetation of Mediterranean Iberian. </w:t>
      </w:r>
      <w:r>
        <w:rPr>
          <w:i/>
          <w:iCs/>
        </w:rPr>
        <w:t>Plant Ecology</w:t>
      </w:r>
      <w:r>
        <w:t xml:space="preserve">, </w:t>
      </w:r>
      <w:r>
        <w:rPr>
          <w:i/>
          <w:iCs/>
        </w:rPr>
        <w:t>195</w:t>
      </w:r>
      <w:r>
        <w:t>(1), 13–20. https://doi.org/10.1007/s11258-007-9294-9</w:t>
      </w:r>
    </w:p>
    <w:p w:rsidR="00D01F51" w:rsidRDefault="00D01F51">
      <w:pPr>
        <w:rPr>
          <w:rFonts w:ascii="Times New Roman" w:hAnsi="Times New Roman" w:cs="Times New Roman"/>
          <w:b/>
          <w:sz w:val="24"/>
          <w:szCs w:val="24"/>
        </w:rPr>
      </w:pPr>
    </w:p>
    <w:p w:rsidR="004D7472" w:rsidRDefault="004D7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California Annual Grasslands</w:t>
      </w:r>
    </w:p>
    <w:p w:rsidR="004D7472" w:rsidRDefault="004D7472" w:rsidP="004D7472">
      <w:pPr>
        <w:pStyle w:val="NormalWeb"/>
        <w:ind w:left="480" w:hanging="480"/>
      </w:pPr>
      <w:r>
        <w:t xml:space="preserve">Corbin, J. D., &amp; </w:t>
      </w:r>
      <w:proofErr w:type="spellStart"/>
      <w:r>
        <w:t>D’Antonio</w:t>
      </w:r>
      <w:proofErr w:type="spellEnd"/>
      <w:r>
        <w:t xml:space="preserve">, C. M. (2010). Not novel, just better: Competition between native and non-native plants in California grasslands that share species traits. </w:t>
      </w:r>
      <w:r>
        <w:rPr>
          <w:i/>
          <w:iCs/>
        </w:rPr>
        <w:t>Plant Ecology</w:t>
      </w:r>
      <w:r>
        <w:t xml:space="preserve">, </w:t>
      </w:r>
      <w:r>
        <w:rPr>
          <w:i/>
          <w:iCs/>
        </w:rPr>
        <w:t>209</w:t>
      </w:r>
      <w:r>
        <w:t>(1), 71–81. https://doi.org/10.1007/s11258-010-9722-0</w:t>
      </w:r>
    </w:p>
    <w:p w:rsidR="008F3A66" w:rsidRDefault="008F3A66" w:rsidP="008F3A66">
      <w:pPr>
        <w:pStyle w:val="NormalWeb"/>
        <w:ind w:left="480" w:hanging="480"/>
      </w:pPr>
      <w:r>
        <w:t xml:space="preserve">Elmendorf, S. C., &amp; Harrison, S. P. (2009). Temporal variability and </w:t>
      </w:r>
      <w:proofErr w:type="spellStart"/>
      <w:r>
        <w:t>nestedness</w:t>
      </w:r>
      <w:proofErr w:type="spellEnd"/>
      <w:r>
        <w:t xml:space="preserve"> in California grassland species composition.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90</w:t>
      </w:r>
      <w:r>
        <w:t>(6), 1492–1497. https://doi.org/10.1890/08-1677.1</w:t>
      </w:r>
    </w:p>
    <w:p w:rsidR="0093617F" w:rsidRDefault="0093617F" w:rsidP="0093617F">
      <w:pPr>
        <w:pStyle w:val="NormalWeb"/>
        <w:ind w:left="480" w:hanging="480"/>
      </w:pPr>
      <w:proofErr w:type="spellStart"/>
      <w:r>
        <w:t>Harpole</w:t>
      </w:r>
      <w:proofErr w:type="spellEnd"/>
      <w:r>
        <w:t xml:space="preserve">, W. S., Potts, D. L., &amp; </w:t>
      </w:r>
      <w:proofErr w:type="spellStart"/>
      <w:r>
        <w:t>Suding</w:t>
      </w:r>
      <w:proofErr w:type="spellEnd"/>
      <w:r>
        <w:t xml:space="preserve">, K. N. (2007). Ecosystem responses to water and nitrogen amendment in a California grassland. </w:t>
      </w:r>
      <w:r>
        <w:rPr>
          <w:i/>
          <w:iCs/>
        </w:rPr>
        <w:t>Global Change Biology</w:t>
      </w:r>
      <w:r>
        <w:t xml:space="preserve">, </w:t>
      </w:r>
      <w:r>
        <w:rPr>
          <w:i/>
          <w:iCs/>
        </w:rPr>
        <w:t>13</w:t>
      </w:r>
      <w:r>
        <w:t>(11), 2341–2348. https://doi.org/10.1111/j.1365-2486.2007.01447.x</w:t>
      </w:r>
    </w:p>
    <w:p w:rsidR="004D7472" w:rsidRDefault="004D7472" w:rsidP="004D7472">
      <w:pPr>
        <w:pStyle w:val="NormalWeb"/>
        <w:ind w:left="480" w:hanging="480"/>
      </w:pPr>
      <w:r>
        <w:t xml:space="preserve">Jackson, R. D., &amp; Bartolome, J. W. (2002). A state-transition approach to understanding </w:t>
      </w:r>
      <w:proofErr w:type="spellStart"/>
      <w:r>
        <w:t>nonequilibrium</w:t>
      </w:r>
      <w:proofErr w:type="spellEnd"/>
      <w:r>
        <w:t xml:space="preserve"> plant community dynamics in Californian grasslands. </w:t>
      </w:r>
      <w:r>
        <w:rPr>
          <w:i/>
          <w:iCs/>
        </w:rPr>
        <w:t>Plant Ecology</w:t>
      </w:r>
      <w:r>
        <w:t xml:space="preserve">, </w:t>
      </w:r>
      <w:r>
        <w:rPr>
          <w:i/>
          <w:iCs/>
        </w:rPr>
        <w:t>162</w:t>
      </w:r>
      <w:r>
        <w:t>(1), 49–65. https://doi.org/10.1023/A:1020363603900</w:t>
      </w:r>
    </w:p>
    <w:p w:rsidR="004D7472" w:rsidRDefault="004D7472" w:rsidP="004D7472">
      <w:pPr>
        <w:pStyle w:val="NormalWeb"/>
        <w:ind w:left="480" w:hanging="480"/>
      </w:pPr>
      <w:r>
        <w:t xml:space="preserve">Pitt, M. D., &amp; Heady, H. F. (1978). Responses of annual vegetation to temperature and rainfall patterns in northern California.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Vol. 59</w:t>
      </w:r>
      <w:r>
        <w:t>(No. 2 (Mar., 1978)), 336–350 (article consists of 15 pages). https://doi.org/10.2307/1936378</w:t>
      </w:r>
    </w:p>
    <w:p w:rsidR="008F3A66" w:rsidRDefault="008F3A66" w:rsidP="008F3A66">
      <w:pPr>
        <w:pStyle w:val="NormalWeb"/>
        <w:ind w:left="480" w:hanging="480"/>
      </w:pPr>
      <w:proofErr w:type="spellStart"/>
      <w:r>
        <w:t>Prugh</w:t>
      </w:r>
      <w:proofErr w:type="spellEnd"/>
      <w:r>
        <w:t xml:space="preserve">, L. R., </w:t>
      </w:r>
      <w:proofErr w:type="spellStart"/>
      <w:r>
        <w:t>Deguines</w:t>
      </w:r>
      <w:proofErr w:type="spellEnd"/>
      <w:r>
        <w:t xml:space="preserve">, N., </w:t>
      </w:r>
      <w:proofErr w:type="spellStart"/>
      <w:r>
        <w:t>Grinath</w:t>
      </w:r>
      <w:proofErr w:type="spellEnd"/>
      <w:r>
        <w:t xml:space="preserve">, J. B., </w:t>
      </w:r>
      <w:proofErr w:type="spellStart"/>
      <w:r>
        <w:t>Suding</w:t>
      </w:r>
      <w:proofErr w:type="spellEnd"/>
      <w:r>
        <w:t xml:space="preserve">, K. N., Bean, W. T., Stafford, R., &amp; </w:t>
      </w:r>
      <w:proofErr w:type="spellStart"/>
      <w:r>
        <w:t>Brashares</w:t>
      </w:r>
      <w:proofErr w:type="spellEnd"/>
      <w:r>
        <w:t xml:space="preserve">, J. S. (2018). Ecological winners and losers of extreme drought in California. </w:t>
      </w:r>
      <w:r>
        <w:rPr>
          <w:i/>
          <w:iCs/>
        </w:rPr>
        <w:t>Nature Climate Change</w:t>
      </w:r>
      <w:r>
        <w:t xml:space="preserve">, </w:t>
      </w:r>
      <w:r>
        <w:rPr>
          <w:i/>
          <w:iCs/>
        </w:rPr>
        <w:t>8</w:t>
      </w:r>
      <w:r>
        <w:t>(9), 819–824. https://doi.org/10.1038/s41558-018-0255-1</w:t>
      </w:r>
    </w:p>
    <w:p w:rsidR="008F3A66" w:rsidRDefault="008F3A66" w:rsidP="008F3A66">
      <w:pPr>
        <w:pStyle w:val="NormalWeb"/>
        <w:ind w:left="480" w:hanging="480"/>
      </w:pPr>
      <w:proofErr w:type="spellStart"/>
      <w:r>
        <w:t>Seabloom</w:t>
      </w:r>
      <w:proofErr w:type="spellEnd"/>
      <w:r>
        <w:t xml:space="preserve">, E. W., </w:t>
      </w:r>
      <w:proofErr w:type="spellStart"/>
      <w:r>
        <w:t>Harpole</w:t>
      </w:r>
      <w:proofErr w:type="spellEnd"/>
      <w:r>
        <w:t xml:space="preserve">, W. S., </w:t>
      </w:r>
      <w:proofErr w:type="spellStart"/>
      <w:r>
        <w:t>Reichman</w:t>
      </w:r>
      <w:proofErr w:type="spellEnd"/>
      <w:r>
        <w:t xml:space="preserve">, O. J., &amp; </w:t>
      </w:r>
      <w:proofErr w:type="spellStart"/>
      <w:r>
        <w:t>Tilman</w:t>
      </w:r>
      <w:proofErr w:type="spellEnd"/>
      <w:r>
        <w:t xml:space="preserve">, D. (2003). Invasion, competitive dominance, and resource use by exotic and native California grassland species. </w:t>
      </w:r>
      <w:r>
        <w:rPr>
          <w:i/>
          <w:iCs/>
        </w:rPr>
        <w:t>Proceedings of the National Academy of Sciences of the United States of America</w:t>
      </w:r>
      <w:r>
        <w:t xml:space="preserve">, </w:t>
      </w:r>
      <w:r>
        <w:rPr>
          <w:i/>
          <w:iCs/>
        </w:rPr>
        <w:t>100</w:t>
      </w:r>
      <w:r>
        <w:t>(23), 13384–13389. https://doi.org/10.1073/pnas.1835728100</w:t>
      </w:r>
    </w:p>
    <w:p w:rsidR="008F3A66" w:rsidRDefault="008F3A66" w:rsidP="008F3A66">
      <w:pPr>
        <w:pStyle w:val="NormalWeb"/>
        <w:ind w:left="480" w:hanging="480"/>
      </w:pPr>
      <w:proofErr w:type="spellStart"/>
      <w:r>
        <w:t>Uricchio</w:t>
      </w:r>
      <w:proofErr w:type="spellEnd"/>
      <w:r>
        <w:t xml:space="preserve">, L. H., </w:t>
      </w:r>
      <w:proofErr w:type="spellStart"/>
      <w:r>
        <w:t>Daws</w:t>
      </w:r>
      <w:proofErr w:type="spellEnd"/>
      <w:r>
        <w:t xml:space="preserve">, S. C., Spear, E. R., &amp; Mordecai, E. A. (2019). Priority Effects and Nonhierarchical Competition Shape Species Composition in a Complex Grassland Community. </w:t>
      </w:r>
      <w:r>
        <w:rPr>
          <w:i/>
          <w:iCs/>
        </w:rPr>
        <w:t>The American Naturalist</w:t>
      </w:r>
      <w:r>
        <w:t xml:space="preserve">, </w:t>
      </w:r>
      <w:r>
        <w:rPr>
          <w:i/>
          <w:iCs/>
        </w:rPr>
        <w:t>193</w:t>
      </w:r>
      <w:r>
        <w:t xml:space="preserve">(2), 213–226. </w:t>
      </w:r>
      <w:hyperlink r:id="rId17" w:history="1">
        <w:r w:rsidRPr="007525E5">
          <w:rPr>
            <w:rStyle w:val="Hyperlink"/>
          </w:rPr>
          <w:t>https://doi.org/10.1086/701434</w:t>
        </w:r>
      </w:hyperlink>
    </w:p>
    <w:p w:rsidR="008F3A66" w:rsidRDefault="008F3A66" w:rsidP="008F3A66">
      <w:pPr>
        <w:pStyle w:val="NormalWeb"/>
        <w:ind w:left="480" w:hanging="480"/>
      </w:pPr>
      <w:r>
        <w:t xml:space="preserve">Wainwright, C. E., </w:t>
      </w:r>
      <w:proofErr w:type="spellStart"/>
      <w:r>
        <w:t>HilleRisLambers</w:t>
      </w:r>
      <w:proofErr w:type="spellEnd"/>
      <w:r>
        <w:t xml:space="preserve">, J., Lai, H. R., Loy, X., &amp; Mayfield, M. M. (2019). Distinct responses of niche and fitness differences to water availability underlie variable coexistence outcomes in semi‐arid annual plant communities. </w:t>
      </w:r>
      <w:r>
        <w:rPr>
          <w:i/>
          <w:iCs/>
        </w:rPr>
        <w:t>Journal of Ecology</w:t>
      </w:r>
      <w:r>
        <w:t xml:space="preserve">, </w:t>
      </w:r>
      <w:r>
        <w:rPr>
          <w:i/>
          <w:iCs/>
        </w:rPr>
        <w:t>107</w:t>
      </w:r>
      <w:r>
        <w:t>(1), 293–306. https://doi.org/10.1111/1365-2745.13056</w:t>
      </w:r>
    </w:p>
    <w:p w:rsidR="008F3A66" w:rsidRDefault="008F3A66" w:rsidP="008F3A66">
      <w:pPr>
        <w:pStyle w:val="NormalWeb"/>
        <w:ind w:left="480" w:hanging="480"/>
      </w:pPr>
    </w:p>
    <w:p w:rsidR="008F3A66" w:rsidRPr="00D01F51" w:rsidRDefault="008F3A66" w:rsidP="00D01F51">
      <w:pPr>
        <w:pStyle w:val="NormalWeb"/>
        <w:ind w:left="480" w:hanging="480"/>
      </w:pPr>
    </w:p>
    <w:sectPr w:rsidR="008F3A66" w:rsidRPr="00D0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23A1"/>
    <w:multiLevelType w:val="hybridMultilevel"/>
    <w:tmpl w:val="2C529F76"/>
    <w:lvl w:ilvl="0" w:tplc="EDA4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D2"/>
    <w:rsid w:val="000A257F"/>
    <w:rsid w:val="0021129B"/>
    <w:rsid w:val="003444D2"/>
    <w:rsid w:val="00357653"/>
    <w:rsid w:val="00473A9E"/>
    <w:rsid w:val="00480F45"/>
    <w:rsid w:val="004D7472"/>
    <w:rsid w:val="00585EE7"/>
    <w:rsid w:val="005B5DB6"/>
    <w:rsid w:val="00665EE8"/>
    <w:rsid w:val="007A56E9"/>
    <w:rsid w:val="008814AE"/>
    <w:rsid w:val="008F3A66"/>
    <w:rsid w:val="0093617F"/>
    <w:rsid w:val="00C9088F"/>
    <w:rsid w:val="00D01F51"/>
    <w:rsid w:val="00D475C9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8E2E"/>
  <w15:chartTrackingRefBased/>
  <w15:docId w15:val="{4A4A0BB2-BB9C-4820-94B8-F29D17A0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D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5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https://doi.org/10.1086/7014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23/A:10203636039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13</cp:revision>
  <dcterms:created xsi:type="dcterms:W3CDTF">2019-06-25T20:10:00Z</dcterms:created>
  <dcterms:modified xsi:type="dcterms:W3CDTF">2019-07-02T19:15:00Z</dcterms:modified>
</cp:coreProperties>
</file>