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81" w:rsidRDefault="00D40981" w:rsidP="00D40981">
      <w:r>
        <w:rPr>
          <w:b/>
        </w:rPr>
        <w:t>Patchable and Non Patchable Attributes</w:t>
      </w:r>
    </w:p>
    <w:p w:rsidR="00D40981" w:rsidRDefault="00D40981" w:rsidP="00D40981">
      <w:r>
        <w:t xml:space="preserve">The tables below provide the list of patchable and </w:t>
      </w:r>
      <w:proofErr w:type="spellStart"/>
      <w:r>
        <w:t>non patchable</w:t>
      </w:r>
      <w:proofErr w:type="spellEnd"/>
      <w:r>
        <w:t xml:space="preserve"> attributes, including constraint rules on their usage.</w:t>
      </w:r>
    </w:p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4896"/>
        <w:gridCol w:w="4108"/>
      </w:tblGrid>
      <w:tr w:rsidR="00D40981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7" w:type="dxa"/>
          </w:tcPr>
          <w:p w:rsidR="00D40981" w:rsidRDefault="00D40981" w:rsidP="002916BD">
            <w:r>
              <w:t>Patchable Attributes</w:t>
            </w:r>
          </w:p>
        </w:tc>
        <w:tc>
          <w:tcPr>
            <w:tcW w:w="5350" w:type="dxa"/>
          </w:tcPr>
          <w:p w:rsidR="00D40981" w:rsidRDefault="00D40981" w:rsidP="002916BD">
            <w:r>
              <w:t>Rule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r>
              <w:t>category</w:t>
            </w:r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r>
              <w:t>description</w:t>
            </w:r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expectedCompletionDate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r>
              <w:t>note</w:t>
            </w:r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notificationContact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orderItem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orderRelationship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relatedParty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requestedCompletionDate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r>
              <w:rPr>
                <w:sz w:val="22"/>
                <w:szCs w:val="22"/>
              </w:rPr>
              <w:t>Only when order is in “Acknowledged” state – delivery process not started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requestedStartDate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r>
              <w:rPr>
                <w:sz w:val="22"/>
                <w:szCs w:val="22"/>
              </w:rPr>
              <w:t>Only when order is in “Acknowledged” state – delivery process not started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roofErr w:type="spellStart"/>
            <w:r>
              <w:t>startDate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/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3" w:line="254" w:lineRule="exact"/>
              <w:ind w:left="0" w:right="828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relatedParty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serviceOrderItem.service.relatedParty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3" w:line="254" w:lineRule="exact"/>
              <w:ind w:left="0" w:right="83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 delivery process not started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line="248" w:lineRule="exact"/>
              <w:ind w:left="0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serviceOrderItem.service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line="248" w:lineRule="exact"/>
              <w:ind w:left="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</w:t>
            </w:r>
          </w:p>
          <w:p w:rsidR="00D40981" w:rsidRDefault="00D40981" w:rsidP="002916BD">
            <w:pPr>
              <w:pStyle w:val="TableParagraph"/>
              <w:kinsoku w:val="0"/>
              <w:overflowPunct w:val="0"/>
              <w:spacing w:before="1" w:line="232" w:lineRule="exact"/>
              <w:ind w:left="105"/>
              <w:rPr>
                <w:sz w:val="22"/>
              </w:rPr>
            </w:pPr>
            <w:r>
              <w:rPr>
                <w:sz w:val="22"/>
                <w:szCs w:val="22"/>
              </w:rPr>
              <w:t>delivery process not started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ind w:left="0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serviceOrderItem.appointment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3" w:line="254" w:lineRule="exact"/>
              <w:ind w:left="0" w:right="83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 delivery process not started or suspended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line="248" w:lineRule="exact"/>
              <w:ind w:left="0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serviceOrderItem.orderItemRelationship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line="248" w:lineRule="exact"/>
              <w:ind w:left="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</w:t>
            </w:r>
          </w:p>
          <w:p w:rsidR="00D40981" w:rsidRDefault="00D40981" w:rsidP="002916BD">
            <w:pPr>
              <w:pStyle w:val="TableParagraph"/>
              <w:kinsoku w:val="0"/>
              <w:overflowPunct w:val="0"/>
              <w:spacing w:before="1" w:line="232" w:lineRule="exact"/>
              <w:ind w:left="105"/>
              <w:rPr>
                <w:sz w:val="22"/>
              </w:rPr>
            </w:pPr>
            <w:r>
              <w:rPr>
                <w:sz w:val="22"/>
                <w:szCs w:val="22"/>
              </w:rPr>
              <w:t>delivery process not started or suspended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3" w:line="254" w:lineRule="exact"/>
              <w:ind w:left="0" w:right="192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serviceOrderItem.service.serviceSpecification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3" w:line="254" w:lineRule="exact"/>
              <w:ind w:left="0" w:right="83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 delivery process not started or suspended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line="248" w:lineRule="exact"/>
              <w:ind w:left="0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serviceOrderItem.service.place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line="248" w:lineRule="exact"/>
              <w:ind w:left="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</w:t>
            </w:r>
          </w:p>
          <w:p w:rsidR="00D40981" w:rsidRDefault="00D40981" w:rsidP="002916BD">
            <w:pPr>
              <w:pStyle w:val="TableParagraph"/>
              <w:kinsoku w:val="0"/>
              <w:overflowPunct w:val="0"/>
              <w:spacing w:before="1" w:line="232" w:lineRule="exact"/>
              <w:ind w:left="105"/>
              <w:rPr>
                <w:sz w:val="22"/>
              </w:rPr>
            </w:pPr>
            <w:r>
              <w:rPr>
                <w:sz w:val="22"/>
                <w:szCs w:val="22"/>
              </w:rPr>
              <w:t>delivery process not started or suspended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ind w:left="0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serviceOrderItem.service.serviceRelationship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4" w:line="252" w:lineRule="exact"/>
              <w:ind w:left="0" w:right="83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 delivery process not started or suspended</w:t>
            </w:r>
          </w:p>
        </w:tc>
      </w:tr>
      <w:tr w:rsidR="00D40981" w:rsidTr="002916BD">
        <w:tc>
          <w:tcPr>
            <w:tcW w:w="4927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2" w:line="252" w:lineRule="exact"/>
              <w:ind w:left="0" w:right="83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serviceOrderItem.service.characteristic</w:t>
            </w:r>
            <w:proofErr w:type="spellEnd"/>
          </w:p>
        </w:tc>
        <w:tc>
          <w:tcPr>
            <w:tcW w:w="5350" w:type="dxa"/>
          </w:tcPr>
          <w:p w:rsidR="00D40981" w:rsidRDefault="00D40981" w:rsidP="002916BD">
            <w:pPr>
              <w:pStyle w:val="TableParagraph"/>
              <w:kinsoku w:val="0"/>
              <w:overflowPunct w:val="0"/>
              <w:spacing w:before="2" w:line="252" w:lineRule="exact"/>
              <w:ind w:left="0" w:right="830"/>
              <w:rPr>
                <w:sz w:val="22"/>
              </w:rPr>
            </w:pPr>
            <w:r>
              <w:rPr>
                <w:sz w:val="22"/>
                <w:szCs w:val="22"/>
              </w:rPr>
              <w:t>Only when order is in “Acknowledged” state – delivery process not started or suspended</w:t>
            </w:r>
          </w:p>
        </w:tc>
      </w:tr>
    </w:tbl>
    <w:p w:rsidR="00D40981" w:rsidRDefault="00D40981" w:rsidP="00D40981"/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3138"/>
        <w:gridCol w:w="5866"/>
      </w:tblGrid>
      <w:tr w:rsidR="00D40981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:rsidR="00D40981" w:rsidRDefault="00D40981" w:rsidP="002916BD">
            <w:r>
              <w:t>Non Patchable Attributes</w:t>
            </w:r>
          </w:p>
        </w:tc>
        <w:tc>
          <w:tcPr>
            <w:tcW w:w="6803" w:type="dxa"/>
          </w:tcPr>
          <w:p w:rsidR="00D40981" w:rsidRDefault="00D40981" w:rsidP="002916BD">
            <w:r>
              <w:t>Rule</w:t>
            </w:r>
          </w:p>
        </w:tc>
      </w:tr>
      <w:tr w:rsidR="00D40981" w:rsidTr="002916BD">
        <w:tc>
          <w:tcPr>
            <w:tcW w:w="3402" w:type="dxa"/>
          </w:tcPr>
          <w:p w:rsidR="00D40981" w:rsidRDefault="00D40981" w:rsidP="002916BD">
            <w:r>
              <w:t>id</w:t>
            </w:r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proofErr w:type="spellStart"/>
            <w:r>
              <w:t>href</w:t>
            </w:r>
            <w:proofErr w:type="spellEnd"/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proofErr w:type="spellStart"/>
            <w:r>
              <w:t>externalId</w:t>
            </w:r>
            <w:proofErr w:type="spellEnd"/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r>
              <w:t>priority</w:t>
            </w:r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r>
              <w:lastRenderedPageBreak/>
              <w:t>state</w:t>
            </w:r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proofErr w:type="spellStart"/>
            <w:r>
              <w:t>orderDate</w:t>
            </w:r>
            <w:proofErr w:type="spellEnd"/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proofErr w:type="spellStart"/>
            <w:r>
              <w:t>completionDate</w:t>
            </w:r>
            <w:proofErr w:type="spellEnd"/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r>
              <w:t>orderItem.id</w:t>
            </w:r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proofErr w:type="spellStart"/>
            <w:r>
              <w:t>orderItem.action</w:t>
            </w:r>
            <w:proofErr w:type="spellEnd"/>
          </w:p>
        </w:tc>
        <w:tc>
          <w:tcPr>
            <w:tcW w:w="6803" w:type="dxa"/>
          </w:tcPr>
          <w:p w:rsidR="00D40981" w:rsidRDefault="00D40981" w:rsidP="002916BD"/>
        </w:tc>
      </w:tr>
      <w:tr w:rsidR="00D40981" w:rsidTr="002916BD">
        <w:tc>
          <w:tcPr>
            <w:tcW w:w="3402" w:type="dxa"/>
          </w:tcPr>
          <w:p w:rsidR="00D40981" w:rsidRDefault="00D40981" w:rsidP="002916BD">
            <w:proofErr w:type="spellStart"/>
            <w:r>
              <w:t>orderItem.state</w:t>
            </w:r>
            <w:proofErr w:type="spellEnd"/>
          </w:p>
        </w:tc>
        <w:tc>
          <w:tcPr>
            <w:tcW w:w="6803" w:type="dxa"/>
          </w:tcPr>
          <w:p w:rsidR="00D40981" w:rsidRDefault="00D40981" w:rsidP="002916BD"/>
        </w:tc>
      </w:tr>
    </w:tbl>
    <w:p w:rsidR="00D40981" w:rsidRDefault="00D40981" w:rsidP="00D40981"/>
    <w:p w:rsidR="00D40981" w:rsidRDefault="00D40981" w:rsidP="00D40981">
      <w:r>
        <w:rPr>
          <w:b/>
        </w:rPr>
        <w:t>Additional Rules</w:t>
      </w:r>
    </w:p>
    <w:p w:rsidR="00D40981" w:rsidRDefault="00D40981" w:rsidP="00D40981">
      <w:r>
        <w:t>The following pre-conditions apply for this operation.</w:t>
      </w:r>
    </w:p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9004"/>
      </w:tblGrid>
      <w:tr w:rsidR="00D40981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5" w:type="dxa"/>
          </w:tcPr>
          <w:p w:rsidR="00D40981" w:rsidRDefault="00D40981" w:rsidP="002916BD">
            <w:r>
              <w:t>Pre-conditions</w:t>
            </w:r>
          </w:p>
        </w:tc>
      </w:tr>
      <w:tr w:rsidR="00D40981" w:rsidTr="002916BD">
        <w:tc>
          <w:tcPr>
            <w:tcW w:w="10205" w:type="dxa"/>
          </w:tcPr>
          <w:p w:rsidR="00D40981" w:rsidRDefault="00D40981" w:rsidP="002916BD">
            <w:r>
              <w:t>When creating a service order (post) an order item should not have the state field valorized</w:t>
            </w:r>
          </w:p>
        </w:tc>
      </w:tr>
    </w:tbl>
    <w:p w:rsidR="00D40981" w:rsidRDefault="00D40981" w:rsidP="00D40981"/>
    <w:p w:rsidR="002F3557" w:rsidRPr="00D40981" w:rsidRDefault="002F3557" w:rsidP="00D40981">
      <w:bookmarkStart w:id="0" w:name="_GoBack"/>
      <w:bookmarkEnd w:id="0"/>
    </w:p>
    <w:sectPr w:rsidR="002F3557" w:rsidRPr="00D40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3104"/>
    <w:rsid w:val="002F3557"/>
    <w:rsid w:val="008B3104"/>
    <w:rsid w:val="00D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04"/>
    <w:rPr>
      <w:rFonts w:ascii="Helvetica" w:eastAsia="Times New Roman" w:hAnsi="Helvetica" w:cs="Times New Roman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8B3104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B3104"/>
    <w:rPr>
      <w:rFonts w:ascii="Helvetica" w:eastAsia="Times New Roman" w:hAnsi="Helvetica" w:cs="Times New Roman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B3104"/>
    <w:pPr>
      <w:widowControl w:val="0"/>
      <w:autoSpaceDE w:val="0"/>
      <w:autoSpaceDN w:val="0"/>
      <w:adjustRightInd w:val="0"/>
      <w:spacing w:after="0" w:line="240" w:lineRule="auto"/>
      <w:ind w:left="107"/>
    </w:pPr>
    <w:rPr>
      <w:rFonts w:ascii="Arial" w:eastAsiaTheme="minorEastAsia" w:hAnsi="Arial" w:cs="Arial"/>
      <w:sz w:val="24"/>
    </w:rPr>
  </w:style>
  <w:style w:type="table" w:customStyle="1" w:styleId="RuleTable">
    <w:name w:val="RuleTable"/>
    <w:basedOn w:val="TableauNormal"/>
    <w:uiPriority w:val="99"/>
    <w:rsid w:val="00D409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FBFBF" w:themeFill="background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BELAUNDE Mariano IMT/OLPS</dc:creator>
  <cp:lastModifiedBy>BELAUNDE Mariano IMT/OLPS</cp:lastModifiedBy>
  <cp:revision>2</cp:revision>
  <dcterms:created xsi:type="dcterms:W3CDTF">2019-01-11T17:51:00Z</dcterms:created>
  <dcterms:modified xsi:type="dcterms:W3CDTF">2019-01-15T17:23:00Z</dcterms:modified>
</cp:coreProperties>
</file>