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4202E"/>
          <w:sz w:val="40"/>
          <w:szCs w:val="40"/>
        </w:rPr>
        <w:t xml:space="preserve">Data Dictionary: Revenue &amp; Profitability Diagnostic</w:t>
      </w:r>
    </w:p>
    <w:p>
      <w:pPr>
        <w:spacing w:after="120"/>
      </w:pPr>
      <w:r>
        <w:rPr>
          <w:rFonts w:ascii="Calibri" w:cs="Calibri" w:eastAsia="Calibri" w:hAnsi="Calibri"/>
          <w:color w:val="5A6B7C"/>
          <w:sz w:val="24"/>
          <w:szCs w:val="24"/>
        </w:rPr>
        <w:t xml:space="preserve">PayBridge NG | Fictional payments company case study</w:t>
      </w:r>
    </w:p>
    <w:p>
      <w:pPr>
        <w:spacing w:after="100" w:line="276"/>
      </w:pPr>
      <w:r>
        <w:rPr>
          <w:rFonts w:ascii="Calibri" w:cs="Calibri" w:eastAsia="Calibri" w:hAnsi="Calibri"/>
          <w:sz w:val="21"/>
          <w:szCs w:val="21"/>
        </w:rPr>
        <w:t xml:space="preserve">Grain, entities and columns required to support the problem statement brief: year-over-year growth quality, segment profitability, cost and efficiency, concentration and failure risk, and geography and timing. No data has been generated. This is the schema to review and challenge before build.</w:t>
      </w:r>
    </w:p>
    <w:p>
      <w:pPr>
        <w:pStyle w:val="Heading1"/>
        <w:pBdr>
          <w:bottom w:val="single" w:color="0D5C63" w:sz="6" w:space="2"/>
        </w:pBdr>
        <w:spacing w:after="80" w:before="360"/>
      </w:pPr>
      <w:r>
        <w:rPr>
          <w:rFonts w:ascii="Calibri" w:cs="Calibri" w:eastAsia="Calibri" w:hAnsi="Calibri"/>
          <w:b/>
          <w:bCs/>
          <w:color w:val="14202E"/>
          <w:sz w:val="30"/>
          <w:szCs w:val="30"/>
        </w:rPr>
        <w:t xml:space="preserve">Model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0"/>
        <w:gridCol w:w="6776"/>
      </w:tblGrid>
      <w:tr>
        <w:trPr>
          <w:tblHeader/>
        </w:trPr>
        <w:tc>
          <w:tcPr>
            <w:tcW w:type="dxa" w:w="2250"/>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Layer</w:t>
            </w:r>
          </w:p>
        </w:tc>
        <w:tc>
          <w:tcPr>
            <w:tcW w:type="dxa" w:w="6776"/>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Tables</w:t>
            </w:r>
          </w:p>
        </w:tc>
      </w:tr>
      <w:tr>
        <w:trPr>
          <w:cantSplit/>
        </w:trPr>
        <w:tc>
          <w:tcPr>
            <w:tcW w:type="dxa" w:w="2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Core fact</w:t>
            </w:r>
          </w:p>
        </w:tc>
        <w:tc>
          <w:tcPr>
            <w:tcW w:type="dxa" w:w="677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Fact_Transactions</w:t>
            </w:r>
          </w:p>
        </w:tc>
      </w:tr>
      <w:tr>
        <w:trPr>
          <w:cantSplit/>
        </w:trPr>
        <w:tc>
          <w:tcPr>
            <w:tcW w:type="dxa" w:w="2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Dimensions</w:t>
            </w:r>
          </w:p>
        </w:tc>
        <w:tc>
          <w:tcPr>
            <w:tcW w:type="dxa" w:w="677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Dim_Date, Dim_Merchant, Dim_Location, Dim_Product, Dim_Channel, Dim_Bank, Dim_Terminal, Dim_SalesRep, Dim_ResponseCode, Dim_PricingPlan, Dim_CostRate</w:t>
            </w:r>
          </w:p>
        </w:tc>
      </w:tr>
      <w:tr>
        <w:trPr>
          <w:cantSplit/>
        </w:trPr>
        <w:tc>
          <w:tcPr>
            <w:tcW w:type="dxa" w:w="2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Bridge</w:t>
            </w:r>
          </w:p>
        </w:tc>
        <w:tc>
          <w:tcPr>
            <w:tcW w:type="dxa" w:w="677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Bridge_MerchantPricing</w:t>
            </w:r>
          </w:p>
        </w:tc>
      </w:tr>
      <w:tr>
        <w:trPr>
          <w:cantSplit/>
        </w:trPr>
        <w:tc>
          <w:tcPr>
            <w:tcW w:type="dxa" w:w="2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Optional facts</w:t>
            </w:r>
          </w:p>
        </w:tc>
        <w:tc>
          <w:tcPr>
            <w:tcW w:type="dxa" w:w="677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Fact_OperatingCosts, Fact_Budget</w:t>
            </w:r>
          </w:p>
        </w:tc>
      </w:tr>
    </w:tbl>
    <w:p>
      <w:pPr>
        <w:pStyle w:val="Heading1"/>
        <w:pBdr>
          <w:bottom w:val="single" w:color="0D5C63" w:sz="6" w:space="2"/>
        </w:pBdr>
        <w:spacing w:after="80" w:before="360"/>
      </w:pPr>
      <w:r>
        <w:rPr>
          <w:rFonts w:ascii="Calibri" w:cs="Calibri" w:eastAsia="Calibri" w:hAnsi="Calibri"/>
          <w:b/>
          <w:bCs/>
          <w:color w:val="14202E"/>
          <w:sz w:val="30"/>
          <w:szCs w:val="30"/>
        </w:rPr>
        <w:t xml:space="preserve">1. Fact_Transactions</w:t>
      </w:r>
    </w:p>
    <w:p>
      <w:pPr>
        <w:spacing w:after="100" w:line="276"/>
      </w:pPr>
      <w:r>
        <w:rPr>
          <w:rFonts w:ascii="Calibri" w:cs="Calibri" w:eastAsia="Calibri" w:hAnsi="Calibri"/>
          <w:b/>
          <w:bCs/>
          <w:sz w:val="21"/>
          <w:szCs w:val="21"/>
        </w:rPr>
        <w:t xml:space="preserve">Grain: one row per transaction attempt (successful, failed or reversed). This is the core table every KPI runs 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5126"/>
      </w:tblGrid>
      <w:tr>
        <w:trPr>
          <w:tblHeader/>
        </w:trPr>
        <w:tc>
          <w:tcPr>
            <w:tcW w:type="dxa" w:w="2650"/>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Column</w:t>
            </w:r>
          </w:p>
        </w:tc>
        <w:tc>
          <w:tcPr>
            <w:tcW w:type="dxa" w:w="1250"/>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Type</w:t>
            </w:r>
          </w:p>
        </w:tc>
        <w:tc>
          <w:tcPr>
            <w:tcW w:type="dxa" w:w="5126"/>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Description</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transaction_id</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string (PK)</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Unique transaction reference</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transaction_ts</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datetime</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Timestamp of the attempt</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date_key</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int (FK)</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Links to Dim_Date (YYYYMMDD)</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txn_hour</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int</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Hour of day (0-23); used for peak-hour and failure analysis</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merchant_id</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string (FK)</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Merchant that received the payment</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terminal_id</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string (FK)</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POS terminal used; null for non-POS channels</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location_key</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int (FK)</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Where the transaction occurred</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product_id</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int (FK)</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Product line (POS acquiring, transfer, bill payment, etc.)</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channel_id</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int (FK)</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Channel (POS, web, mobile app, USSD, QR)</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issuer_bank_id</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int (FK)</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Customer's bank; used for failure and switching-cost analysis</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plan_id</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int (FK)</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Pricing plan in force for the merchant on the transaction date</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response_code</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string (FK)</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Outcome code; 00 = approved</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txn_status</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categorical</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Success / Failed / Reversed</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transaction_amount_ngn</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numeric</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Transaction value in naira</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list_fee_ngn</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numeric</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Fee per standard rate card, before any discount</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discount_ngn</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numeric</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Discount or waiver granted to the merchant</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fee_charged_ngn</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numeric</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Fee actually billed (zero for failed transactions)</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processing_cost_ngn</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numeric</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Processor or acquirer cost, incurred even when the transaction fails</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switching_cost_ngn</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numeric</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Interbank switch charges</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bank_charge_ngn</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numeric</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Charges from settlement or issuing banks</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other_cost_ngn</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numeric</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Scheme fees, SMS and USSD session costs</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is_retry</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boolean</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Whether this attempt retried an earlier failure</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original_txn_id</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string</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Link to the first attempt, if a retry</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settlement_date_key</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int</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Settlement date; supports cash-timing analysis</w:t>
            </w:r>
          </w:p>
        </w:tc>
      </w:tr>
    </w:tbl>
    <w:p>
      <w:pPr>
        <w:spacing w:after="80"/>
      </w:pPr>
    </w:p>
    <w:p>
      <w:pPr>
        <w:spacing w:after="100" w:line="276"/>
      </w:pPr>
      <w:r>
        <w:rPr>
          <w:rFonts w:ascii="Calibri" w:cs="Calibri" w:eastAsia="Calibri" w:hAnsi="Calibri"/>
          <w:b/>
          <w:bCs/>
          <w:sz w:val="21"/>
          <w:szCs w:val="21"/>
        </w:rPr>
        <w:t xml:space="preserve">Derived fields (computed in SQL or DAX, not stored raw, listed here so the intent is clear before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0"/>
        <w:gridCol w:w="3300"/>
        <w:gridCol w:w="3476"/>
      </w:tblGrid>
      <w:tr>
        <w:trPr>
          <w:tblHeader/>
        </w:trPr>
        <w:tc>
          <w:tcPr>
            <w:tcW w:type="dxa" w:w="2250"/>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Derived field</w:t>
            </w:r>
          </w:p>
        </w:tc>
        <w:tc>
          <w:tcPr>
            <w:tcW w:type="dxa" w:w="3300"/>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Formula</w:t>
            </w:r>
          </w:p>
        </w:tc>
        <w:tc>
          <w:tcPr>
            <w:tcW w:type="dxa" w:w="3476"/>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Purpose</w:t>
            </w:r>
          </w:p>
        </w:tc>
      </w:tr>
      <w:tr>
        <w:trPr>
          <w:cantSplit/>
        </w:trPr>
        <w:tc>
          <w:tcPr>
            <w:tcW w:type="dxa" w:w="2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total_cost_ngn</w:t>
            </w:r>
          </w:p>
        </w:tc>
        <w:tc>
          <w:tcPr>
            <w:tcW w:type="dxa" w:w="330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processing + switching + bank_charge + other cost</w:t>
            </w:r>
          </w:p>
        </w:tc>
        <w:tc>
          <w:tcPr>
            <w:tcW w:type="dxa" w:w="347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Full cost-to-serve per transaction</w:t>
            </w:r>
          </w:p>
        </w:tc>
      </w:tr>
      <w:tr>
        <w:trPr>
          <w:cantSplit/>
        </w:trPr>
        <w:tc>
          <w:tcPr>
            <w:tcW w:type="dxa" w:w="2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net_revenue_ngn</w:t>
            </w:r>
          </w:p>
        </w:tc>
        <w:tc>
          <w:tcPr>
            <w:tcW w:type="dxa" w:w="330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fee_charged_ngn - total_cost_ngn</w:t>
            </w:r>
          </w:p>
        </w:tc>
        <w:tc>
          <w:tcPr>
            <w:tcW w:type="dxa" w:w="347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Headline profit measure</w:t>
            </w:r>
          </w:p>
        </w:tc>
      </w:tr>
      <w:tr>
        <w:trPr>
          <w:cantSplit/>
        </w:trPr>
        <w:tc>
          <w:tcPr>
            <w:tcW w:type="dxa" w:w="2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net_margin_pct</w:t>
            </w:r>
          </w:p>
        </w:tc>
        <w:tc>
          <w:tcPr>
            <w:tcW w:type="dxa" w:w="330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net_revenue_ngn / fee_charged_ngn</w:t>
            </w:r>
          </w:p>
        </w:tc>
        <w:tc>
          <w:tcPr>
            <w:tcW w:type="dxa" w:w="347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Quality of growth (H1, H2)</w:t>
            </w:r>
          </w:p>
        </w:tc>
      </w:tr>
      <w:tr>
        <w:trPr>
          <w:cantSplit/>
        </w:trPr>
        <w:tc>
          <w:tcPr>
            <w:tcW w:type="dxa" w:w="2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take_rate_pct</w:t>
            </w:r>
          </w:p>
        </w:tc>
        <w:tc>
          <w:tcPr>
            <w:tcW w:type="dxa" w:w="330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fee_charged_ngn / transaction_amount_ngn</w:t>
            </w:r>
          </w:p>
        </w:tc>
        <w:tc>
          <w:tcPr>
            <w:tcW w:type="dxa" w:w="347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Pricing power and discount leakage (H3)</w:t>
            </w:r>
          </w:p>
        </w:tc>
      </w:tr>
      <w:tr>
        <w:trPr>
          <w:cantSplit/>
        </w:trPr>
        <w:tc>
          <w:tcPr>
            <w:tcW w:type="dxa" w:w="2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discount_rate_pct</w:t>
            </w:r>
          </w:p>
        </w:tc>
        <w:tc>
          <w:tcPr>
            <w:tcW w:type="dxa" w:w="330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discount_ngn / list_fee_ngn</w:t>
            </w:r>
          </w:p>
        </w:tc>
        <w:tc>
          <w:tcPr>
            <w:tcW w:type="dxa" w:w="347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Size of concessions given to merchants (H3)</w:t>
            </w:r>
          </w:p>
        </w:tc>
      </w:tr>
      <w:tr>
        <w:trPr>
          <w:cantSplit/>
        </w:trPr>
        <w:tc>
          <w:tcPr>
            <w:tcW w:type="dxa" w:w="2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fees_forgone_ngn</w:t>
            </w:r>
          </w:p>
        </w:tc>
        <w:tc>
          <w:tcPr>
            <w:tcW w:type="dxa" w:w="330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list_fee_ngn on failed transactions</w:t>
            </w:r>
          </w:p>
        </w:tc>
        <w:tc>
          <w:tcPr>
            <w:tcW w:type="dxa" w:w="347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Recoverable revenue lost to failures (H4)</w:t>
            </w:r>
          </w:p>
        </w:tc>
      </w:tr>
      <w:tr>
        <w:trPr>
          <w:cantSplit/>
        </w:trPr>
        <w:tc>
          <w:tcPr>
            <w:tcW w:type="dxa" w:w="2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cost_per_txn_ngn</w:t>
            </w:r>
          </w:p>
        </w:tc>
        <w:tc>
          <w:tcPr>
            <w:tcW w:type="dxa" w:w="330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total_cost_ngn / transaction count</w:t>
            </w:r>
          </w:p>
        </w:tc>
        <w:tc>
          <w:tcPr>
            <w:tcW w:type="dxa" w:w="347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Efficiency trend (H2)</w:t>
            </w:r>
          </w:p>
        </w:tc>
      </w:tr>
      <w:tr>
        <w:trPr>
          <w:cantSplit/>
        </w:trPr>
        <w:tc>
          <w:tcPr>
            <w:tcW w:type="dxa" w:w="2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success_rate_pct</w:t>
            </w:r>
          </w:p>
        </w:tc>
        <w:tc>
          <w:tcPr>
            <w:tcW w:type="dxa" w:w="330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successful txns / all attempts</w:t>
            </w:r>
          </w:p>
        </w:tc>
        <w:tc>
          <w:tcPr>
            <w:tcW w:type="dxa" w:w="347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Reliability by channel, bank and hour (H4)</w:t>
            </w:r>
          </w:p>
        </w:tc>
      </w:tr>
    </w:tbl>
    <w:p>
      <w:pPr>
        <w:pStyle w:val="Heading1"/>
        <w:pBdr>
          <w:bottom w:val="single" w:color="0D5C63" w:sz="6" w:space="2"/>
        </w:pBdr>
        <w:spacing w:after="80" w:before="360"/>
      </w:pPr>
      <w:r>
        <w:rPr>
          <w:rFonts w:ascii="Calibri" w:cs="Calibri" w:eastAsia="Calibri" w:hAnsi="Calibri"/>
          <w:b/>
          <w:bCs/>
          <w:color w:val="14202E"/>
          <w:sz w:val="30"/>
          <w:szCs w:val="30"/>
        </w:rPr>
        <w:t xml:space="preserve">2. Dim_Date</w:t>
      </w:r>
    </w:p>
    <w:p>
      <w:pPr>
        <w:spacing w:after="100" w:line="276"/>
      </w:pPr>
      <w:r>
        <w:rPr>
          <w:rFonts w:ascii="Calibri" w:cs="Calibri" w:eastAsia="Calibri" w:hAnsi="Calibri"/>
          <w:b/>
          <w:bCs/>
          <w:sz w:val="21"/>
          <w:szCs w:val="21"/>
        </w:rPr>
        <w:t xml:space="preserve">Grain: one row per calendar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5126"/>
      </w:tblGrid>
      <w:tr>
        <w:trPr>
          <w:tblHeader/>
        </w:trPr>
        <w:tc>
          <w:tcPr>
            <w:tcW w:type="dxa" w:w="2650"/>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Column</w:t>
            </w:r>
          </w:p>
        </w:tc>
        <w:tc>
          <w:tcPr>
            <w:tcW w:type="dxa" w:w="1250"/>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Type</w:t>
            </w:r>
          </w:p>
        </w:tc>
        <w:tc>
          <w:tcPr>
            <w:tcW w:type="dxa" w:w="5126"/>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Description</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date_key</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int (PK)</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Date as YYYYMMDD</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full_date</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date</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Calendar date</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year, quarter, month_num</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int</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Standard calendar attributes</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month_name, year_month</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string</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Display labels and sort-friendly period</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week_of_year, day_of_week</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int</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Weekly patterns</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is_weekend</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boolean</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Weekend flag</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is_month_end</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boolean</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Month-end salary-day volume effect</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is_public_holiday, holiday_name</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boolean, string</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Nigerian public holidays and festive periods</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is_peak_season</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boolean</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Q4 and festive peak flag (H6)</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fiscal_year, fiscal_quarter</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int</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Company reporting calendar</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same_date_py</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date</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Same date in the prior year; simplifies YoY logic</w:t>
            </w:r>
          </w:p>
        </w:tc>
      </w:tr>
    </w:tbl>
    <w:p>
      <w:pPr>
        <w:pStyle w:val="Heading1"/>
        <w:pBdr>
          <w:bottom w:val="single" w:color="0D5C63" w:sz="6" w:space="2"/>
        </w:pBdr>
        <w:spacing w:after="80" w:before="360"/>
      </w:pPr>
      <w:r>
        <w:rPr>
          <w:rFonts w:ascii="Calibri" w:cs="Calibri" w:eastAsia="Calibri" w:hAnsi="Calibri"/>
          <w:b/>
          <w:bCs/>
          <w:color w:val="14202E"/>
          <w:sz w:val="30"/>
          <w:szCs w:val="30"/>
        </w:rPr>
        <w:t xml:space="preserve">3. Dim_Merchant</w:t>
      </w:r>
    </w:p>
    <w:p>
      <w:pPr>
        <w:spacing w:after="100" w:line="276"/>
      </w:pPr>
      <w:r>
        <w:rPr>
          <w:rFonts w:ascii="Calibri" w:cs="Calibri" w:eastAsia="Calibri" w:hAnsi="Calibri"/>
          <w:b/>
          <w:bCs/>
          <w:sz w:val="21"/>
          <w:szCs w:val="21"/>
        </w:rPr>
        <w:t xml:space="preserve">Grain: one row per merchant.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5126"/>
      </w:tblGrid>
      <w:tr>
        <w:trPr>
          <w:tblHeader/>
        </w:trPr>
        <w:tc>
          <w:tcPr>
            <w:tcW w:type="dxa" w:w="2650"/>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Column</w:t>
            </w:r>
          </w:p>
        </w:tc>
        <w:tc>
          <w:tcPr>
            <w:tcW w:type="dxa" w:w="1250"/>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Type</w:t>
            </w:r>
          </w:p>
        </w:tc>
        <w:tc>
          <w:tcPr>
            <w:tcW w:type="dxa" w:w="5126"/>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Description</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merchant_id</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string (PK)</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Unique merchant identifier</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merchant_name</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string</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Merchant display name</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merchant_segment</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categorical</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Micro / SME / Mid-market / Enterprise</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industry</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categorical</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Retail, food, fuel, education, telecom, etc.</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is_key_account</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boolean</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Strategic account flag</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onboarding_date</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date</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When the merchant started transacting</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acquisition_channel</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categorical</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Direct sales, agent, referral, partnership</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home_location_key</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int (FK)</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Merchant's base location</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sales_rep_id</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string (FK)</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Assigned account manager</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merchant_status</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categorical</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Active / Dormant / Churned</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churn_date</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date</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Date the merchant left, if applicable</w:t>
            </w:r>
          </w:p>
        </w:tc>
      </w:tr>
    </w:tbl>
    <w:p>
      <w:pPr>
        <w:pStyle w:val="Heading1"/>
        <w:pBdr>
          <w:bottom w:val="single" w:color="0D5C63" w:sz="6" w:space="2"/>
        </w:pBdr>
        <w:spacing w:after="80" w:before="360"/>
      </w:pPr>
      <w:r>
        <w:rPr>
          <w:rFonts w:ascii="Calibri" w:cs="Calibri" w:eastAsia="Calibri" w:hAnsi="Calibri"/>
          <w:b/>
          <w:bCs/>
          <w:color w:val="14202E"/>
          <w:sz w:val="30"/>
          <w:szCs w:val="30"/>
        </w:rPr>
        <w:t xml:space="preserve">4. Dim_Location</w:t>
      </w:r>
    </w:p>
    <w:p>
      <w:pPr>
        <w:spacing w:after="100" w:line="276"/>
      </w:pPr>
      <w:r>
        <w:rPr>
          <w:rFonts w:ascii="Calibri" w:cs="Calibri" w:eastAsia="Calibri" w:hAnsi="Calibri"/>
          <w:b/>
          <w:bCs/>
          <w:sz w:val="21"/>
          <w:szCs w:val="21"/>
        </w:rPr>
        <w:t xml:space="preserve">Grain: one row per city.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5126"/>
      </w:tblGrid>
      <w:tr>
        <w:trPr>
          <w:tblHeader/>
        </w:trPr>
        <w:tc>
          <w:tcPr>
            <w:tcW w:type="dxa" w:w="2650"/>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Column</w:t>
            </w:r>
          </w:p>
        </w:tc>
        <w:tc>
          <w:tcPr>
            <w:tcW w:type="dxa" w:w="1250"/>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Type</w:t>
            </w:r>
          </w:p>
        </w:tc>
        <w:tc>
          <w:tcPr>
            <w:tcW w:type="dxa" w:w="5126"/>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Description</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location_key</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int (PK)</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Surrogate key</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city, state</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string</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Place names; drive the map visual</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geopolitical_zone</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categorical</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North-Central, South-West, etc.</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latitude, longitude</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numeric</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Coordinates for map plotting</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market_type</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categorical</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Core / Growth / New market</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launch_date</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date</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When PayBridge started operating there (H5)</w:t>
            </w:r>
          </w:p>
        </w:tc>
      </w:tr>
    </w:tbl>
    <w:p>
      <w:pPr>
        <w:pStyle w:val="Heading1"/>
        <w:pBdr>
          <w:bottom w:val="single" w:color="0D5C63" w:sz="6" w:space="2"/>
        </w:pBdr>
        <w:spacing w:after="80" w:before="360"/>
      </w:pPr>
      <w:r>
        <w:rPr>
          <w:rFonts w:ascii="Calibri" w:cs="Calibri" w:eastAsia="Calibri" w:hAnsi="Calibri"/>
          <w:b/>
          <w:bCs/>
          <w:color w:val="14202E"/>
          <w:sz w:val="30"/>
          <w:szCs w:val="30"/>
        </w:rPr>
        <w:t xml:space="preserve">5. Dim_Product and Dim_Channel</w:t>
      </w:r>
    </w:p>
    <w:p>
      <w:pPr>
        <w:spacing w:after="100" w:line="276"/>
      </w:pPr>
      <w:r>
        <w:rPr>
          <w:rFonts w:ascii="Calibri" w:cs="Calibri" w:eastAsia="Calibri" w:hAnsi="Calibri"/>
          <w:b/>
          <w:bCs/>
          <w:sz w:val="21"/>
          <w:szCs w:val="21"/>
        </w:rPr>
        <w:t xml:space="preserve">Grain: one row per product; one row per channel.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5126"/>
      </w:tblGrid>
      <w:tr>
        <w:trPr>
          <w:tblHeader/>
        </w:trPr>
        <w:tc>
          <w:tcPr>
            <w:tcW w:type="dxa" w:w="2650"/>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Column</w:t>
            </w:r>
          </w:p>
        </w:tc>
        <w:tc>
          <w:tcPr>
            <w:tcW w:type="dxa" w:w="1250"/>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Type</w:t>
            </w:r>
          </w:p>
        </w:tc>
        <w:tc>
          <w:tcPr>
            <w:tcW w:type="dxa" w:w="5126"/>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Description</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product_id</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int (PK)</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Unique product identifier</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product_name</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string</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POS Acquiring, Bank Transfer, Bill Payment, Web Checkout, etc.</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product_category</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categorical</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Acquiring / Transfers / Payments / Value-added</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product_launch_date</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date</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Separates new products from mature ones</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channel_id</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int (PK)</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Unique channel identifier</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channel_name</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string</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POS, Web, Mobile App, USSD, QR</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channel_type</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categorical</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Physical / Digital</w:t>
            </w:r>
          </w:p>
        </w:tc>
      </w:tr>
    </w:tbl>
    <w:p>
      <w:pPr>
        <w:pStyle w:val="Heading1"/>
        <w:pBdr>
          <w:bottom w:val="single" w:color="0D5C63" w:sz="6" w:space="2"/>
        </w:pBdr>
        <w:spacing w:after="80" w:before="360"/>
      </w:pPr>
      <w:r>
        <w:rPr>
          <w:rFonts w:ascii="Calibri" w:cs="Calibri" w:eastAsia="Calibri" w:hAnsi="Calibri"/>
          <w:b/>
          <w:bCs/>
          <w:color w:val="14202E"/>
          <w:sz w:val="30"/>
          <w:szCs w:val="30"/>
        </w:rPr>
        <w:t xml:space="preserve">6. Dim_Bank, Dim_Terminal and Dim_SalesRep</w:t>
      </w:r>
    </w:p>
    <w:p>
      <w:pPr>
        <w:spacing w:after="100" w:line="276"/>
      </w:pPr>
      <w:r>
        <w:rPr>
          <w:rFonts w:ascii="Calibri" w:cs="Calibri" w:eastAsia="Calibri" w:hAnsi="Calibri"/>
          <w:b/>
          <w:bCs/>
          <w:sz w:val="21"/>
          <w:szCs w:val="21"/>
        </w:rPr>
        <w:t xml:space="preserve">Grain: one row per issuing bank; one per POS terminal; one per sales rep.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5126"/>
      </w:tblGrid>
      <w:tr>
        <w:trPr>
          <w:tblHeader/>
        </w:trPr>
        <w:tc>
          <w:tcPr>
            <w:tcW w:type="dxa" w:w="2650"/>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Column</w:t>
            </w:r>
          </w:p>
        </w:tc>
        <w:tc>
          <w:tcPr>
            <w:tcW w:type="dxa" w:w="1250"/>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Type</w:t>
            </w:r>
          </w:p>
        </w:tc>
        <w:tc>
          <w:tcPr>
            <w:tcW w:type="dxa" w:w="5126"/>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Description</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issuer_bank_id</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int (PK)</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Unique bank identifier</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bank_name</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string</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Issuing bank name</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bank_type</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categorical</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Commercial / Microfinance / Fintech</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terminal_id</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string (PK)</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Unique POS terminal identifier</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terminal_type</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categorical</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Countertop / Mobile / Smart POS</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deployment_date, terminal_status</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date, categorical</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When deployed; Active / Idle / Retired</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monthly_terminal_cost_ngn</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numeric</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Holding cost of the terminal; exposes idle-terminal drag</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sales_rep_id</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string (PK)</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Unique rep identifier</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rep_name, team, region</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string</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Rep details and reporting line</w:t>
            </w:r>
          </w:p>
        </w:tc>
      </w:tr>
    </w:tbl>
    <w:p>
      <w:pPr>
        <w:pStyle w:val="Heading1"/>
        <w:pBdr>
          <w:bottom w:val="single" w:color="0D5C63" w:sz="6" w:space="2"/>
        </w:pBdr>
        <w:spacing w:after="80" w:before="360"/>
      </w:pPr>
      <w:r>
        <w:rPr>
          <w:rFonts w:ascii="Calibri" w:cs="Calibri" w:eastAsia="Calibri" w:hAnsi="Calibri"/>
          <w:b/>
          <w:bCs/>
          <w:color w:val="14202E"/>
          <w:sz w:val="30"/>
          <w:szCs w:val="30"/>
        </w:rPr>
        <w:t xml:space="preserve">7. Dim_ResponseCode</w:t>
      </w:r>
    </w:p>
    <w:p>
      <w:pPr>
        <w:spacing w:after="100" w:line="276"/>
      </w:pPr>
      <w:r>
        <w:rPr>
          <w:rFonts w:ascii="Calibri" w:cs="Calibri" w:eastAsia="Calibri" w:hAnsi="Calibri"/>
          <w:b/>
          <w:bCs/>
          <w:sz w:val="21"/>
          <w:szCs w:val="21"/>
        </w:rPr>
        <w:t xml:space="preserve">Grain: one row per response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5126"/>
      </w:tblGrid>
      <w:tr>
        <w:trPr>
          <w:tblHeader/>
        </w:trPr>
        <w:tc>
          <w:tcPr>
            <w:tcW w:type="dxa" w:w="2650"/>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Column</w:t>
            </w:r>
          </w:p>
        </w:tc>
        <w:tc>
          <w:tcPr>
            <w:tcW w:type="dxa" w:w="1250"/>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Type</w:t>
            </w:r>
          </w:p>
        </w:tc>
        <w:tc>
          <w:tcPr>
            <w:tcW w:type="dxa" w:w="5126"/>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Description</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response_code</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string (PK)</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Code returned by the switch (00 = approved)</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description</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string</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Plain-language meaning</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failure_category</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categorical</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Customer / Issuer bank / Network / Platform / Fraud</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is_platform_fault</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boolean</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Whether the failure is PayBridge's responsibility</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is_retryable</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boolean</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Whether a retry could succeed</w:t>
            </w:r>
          </w:p>
        </w:tc>
      </w:tr>
    </w:tbl>
    <w:p>
      <w:pPr>
        <w:pStyle w:val="Heading1"/>
        <w:pBdr>
          <w:bottom w:val="single" w:color="0D5C63" w:sz="6" w:space="2"/>
        </w:pBdr>
        <w:spacing w:after="80" w:before="360"/>
      </w:pPr>
      <w:r>
        <w:rPr>
          <w:rFonts w:ascii="Calibri" w:cs="Calibri" w:eastAsia="Calibri" w:hAnsi="Calibri"/>
          <w:b/>
          <w:bCs/>
          <w:color w:val="14202E"/>
          <w:sz w:val="30"/>
          <w:szCs w:val="30"/>
        </w:rPr>
        <w:t xml:space="preserve">8. Pricing and cost tables</w:t>
      </w:r>
    </w:p>
    <w:p>
      <w:pPr>
        <w:spacing w:after="100" w:line="276"/>
      </w:pPr>
      <w:r>
        <w:rPr>
          <w:rFonts w:ascii="Calibri" w:cs="Calibri" w:eastAsia="Calibri" w:hAnsi="Calibri"/>
          <w:sz w:val="21"/>
          <w:szCs w:val="21"/>
        </w:rPr>
        <w:t xml:space="preserve">These tables make H2 (cost inflation) and H3 (discount leakage) testable.</w:t>
      </w:r>
    </w:p>
    <w:p>
      <w:pPr>
        <w:pStyle w:val="Heading2"/>
        <w:spacing w:after="60" w:before="220"/>
      </w:pPr>
      <w:r>
        <w:rPr>
          <w:rFonts w:ascii="Calibri" w:cs="Calibri" w:eastAsia="Calibri" w:hAnsi="Calibri"/>
          <w:b/>
          <w:bCs/>
          <w:color w:val="0D5C63"/>
          <w:sz w:val="24"/>
          <w:szCs w:val="24"/>
        </w:rPr>
        <w:t xml:space="preserve">Dim_PricingPlan (one row per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5126"/>
      </w:tblGrid>
      <w:tr>
        <w:trPr>
          <w:tblHeader/>
        </w:trPr>
        <w:tc>
          <w:tcPr>
            <w:tcW w:type="dxa" w:w="2650"/>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Column</w:t>
            </w:r>
          </w:p>
        </w:tc>
        <w:tc>
          <w:tcPr>
            <w:tcW w:type="dxa" w:w="1250"/>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Type</w:t>
            </w:r>
          </w:p>
        </w:tc>
        <w:tc>
          <w:tcPr>
            <w:tcW w:type="dxa" w:w="5126"/>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Description</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plan_id</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int (PK)</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Unique plan identifier</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plan_name</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string</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Standard, Volume Tier 1, Enterprise Negotiated, etc.</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fee_model</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categorical</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Percentage / Flat / Hybrid / Tiered</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fee_pct, flat_fee_ngn, fee_cap_ngn</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numeric</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Rate components of the plan</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standard_discount_pct</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numeric</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Discount built into the plan</w:t>
            </w:r>
          </w:p>
        </w:tc>
      </w:tr>
    </w:tbl>
    <w:p>
      <w:pPr>
        <w:pStyle w:val="Heading2"/>
        <w:spacing w:after="60" w:before="220"/>
      </w:pPr>
      <w:r>
        <w:rPr>
          <w:rFonts w:ascii="Calibri" w:cs="Calibri" w:eastAsia="Calibri" w:hAnsi="Calibri"/>
          <w:b/>
          <w:bCs/>
          <w:color w:val="0D5C63"/>
          <w:sz w:val="24"/>
          <w:szCs w:val="24"/>
        </w:rPr>
        <w:t xml:space="preserve">Bridge_MerchantPricing (one row per merchant-plan period)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5126"/>
      </w:tblGrid>
      <w:tr>
        <w:trPr>
          <w:tblHeader/>
        </w:trPr>
        <w:tc>
          <w:tcPr>
            <w:tcW w:type="dxa" w:w="2650"/>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Column</w:t>
            </w:r>
          </w:p>
        </w:tc>
        <w:tc>
          <w:tcPr>
            <w:tcW w:type="dxa" w:w="1250"/>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Type</w:t>
            </w:r>
          </w:p>
        </w:tc>
        <w:tc>
          <w:tcPr>
            <w:tcW w:type="dxa" w:w="5126"/>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Description</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merchant_id</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string (FK)</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Merchant</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plan_id</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int (FK)</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Plan assigned</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effective_from, effective_to</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date</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Period the plan applied; shows rate changes and discounting over time</w:t>
            </w:r>
          </w:p>
        </w:tc>
      </w:tr>
    </w:tbl>
    <w:p>
      <w:pPr>
        <w:pStyle w:val="Heading2"/>
        <w:spacing w:after="60" w:before="220"/>
      </w:pPr>
      <w:r>
        <w:rPr>
          <w:rFonts w:ascii="Calibri" w:cs="Calibri" w:eastAsia="Calibri" w:hAnsi="Calibri"/>
          <w:b/>
          <w:bCs/>
          <w:color w:val="0D5C63"/>
          <w:sz w:val="24"/>
          <w:szCs w:val="24"/>
        </w:rPr>
        <w:t xml:space="preserve">Dim_CostRate (one row per cost rate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5126"/>
      </w:tblGrid>
      <w:tr>
        <w:trPr>
          <w:tblHeader/>
        </w:trPr>
        <w:tc>
          <w:tcPr>
            <w:tcW w:type="dxa" w:w="2650"/>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Column</w:t>
            </w:r>
          </w:p>
        </w:tc>
        <w:tc>
          <w:tcPr>
            <w:tcW w:type="dxa" w:w="1250"/>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Type</w:t>
            </w:r>
          </w:p>
        </w:tc>
        <w:tc>
          <w:tcPr>
            <w:tcW w:type="dxa" w:w="5126"/>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Description</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cost_rate_id</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int (PK)</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Unique rate identifier</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cost_type</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categorical</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Processing / Switching / Bank charge / Scheme</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channel_id, product_id</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int (FK)</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Scope the rate applies to</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rate_pct, flat_cost_ngn, cost_cap_ngn</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numeric</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Rate components</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effective_from, effective_to</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date</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Lets costs change over time (cost inflation)</w:t>
            </w:r>
          </w:p>
        </w:tc>
      </w:tr>
    </w:tbl>
    <w:p>
      <w:pPr>
        <w:pStyle w:val="Heading1"/>
        <w:pBdr>
          <w:bottom w:val="single" w:color="0D5C63" w:sz="6" w:space="2"/>
        </w:pBdr>
        <w:spacing w:after="80" w:before="360"/>
      </w:pPr>
      <w:r>
        <w:rPr>
          <w:rFonts w:ascii="Calibri" w:cs="Calibri" w:eastAsia="Calibri" w:hAnsi="Calibri"/>
          <w:b/>
          <w:bCs/>
          <w:color w:val="14202E"/>
          <w:sz w:val="30"/>
          <w:szCs w:val="30"/>
        </w:rPr>
        <w:t xml:space="preserve">9. Optional facts (stretch scope)</w:t>
      </w:r>
    </w:p>
    <w:p>
      <w:pPr>
        <w:pStyle w:val="Heading2"/>
        <w:spacing w:after="60" w:before="220"/>
      </w:pPr>
      <w:r>
        <w:rPr>
          <w:rFonts w:ascii="Calibri" w:cs="Calibri" w:eastAsia="Calibri" w:hAnsi="Calibri"/>
          <w:b/>
          <w:bCs/>
          <w:color w:val="0D5C63"/>
          <w:sz w:val="24"/>
          <w:szCs w:val="24"/>
        </w:rPr>
        <w:t xml:space="preserve">Fact_OperatingCosts (grain: one row per month per cost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5126"/>
      </w:tblGrid>
      <w:tr>
        <w:trPr>
          <w:tblHeader/>
        </w:trPr>
        <w:tc>
          <w:tcPr>
            <w:tcW w:type="dxa" w:w="2650"/>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Column</w:t>
            </w:r>
          </w:p>
        </w:tc>
        <w:tc>
          <w:tcPr>
            <w:tcW w:type="dxa" w:w="1250"/>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Type</w:t>
            </w:r>
          </w:p>
        </w:tc>
        <w:tc>
          <w:tcPr>
            <w:tcW w:type="dxa" w:w="5126"/>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Description</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month_key</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int (FK)</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Month of the cost</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cost_category</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categorical</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Staff, infrastructure, compliance, marketing</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amount_ngn</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numeric</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Cost amount</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allocation_basis</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categorical</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Channel, product or unallocated; moves analysis from transaction margin to operating profit</w:t>
            </w:r>
          </w:p>
        </w:tc>
      </w:tr>
    </w:tbl>
    <w:p>
      <w:pPr>
        <w:pStyle w:val="Heading2"/>
        <w:spacing w:after="60" w:before="220"/>
      </w:pPr>
      <w:r>
        <w:rPr>
          <w:rFonts w:ascii="Calibri" w:cs="Calibri" w:eastAsia="Calibri" w:hAnsi="Calibri"/>
          <w:b/>
          <w:bCs/>
          <w:color w:val="0D5C63"/>
          <w:sz w:val="24"/>
          <w:szCs w:val="24"/>
        </w:rPr>
        <w:t xml:space="preserve">Fact_Budget (grain: one row per month per channel per product)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5126"/>
      </w:tblGrid>
      <w:tr>
        <w:trPr>
          <w:tblHeader/>
        </w:trPr>
        <w:tc>
          <w:tcPr>
            <w:tcW w:type="dxa" w:w="2650"/>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Column</w:t>
            </w:r>
          </w:p>
        </w:tc>
        <w:tc>
          <w:tcPr>
            <w:tcW w:type="dxa" w:w="1250"/>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Type</w:t>
            </w:r>
          </w:p>
        </w:tc>
        <w:tc>
          <w:tcPr>
            <w:tcW w:type="dxa" w:w="5126"/>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Description</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month_key, channel_id, product_id</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int (FK)</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Budget scope</w:t>
            </w:r>
          </w:p>
        </w:tc>
      </w:tr>
      <w:tr>
        <w:trPr>
          <w:cantSplit/>
        </w:trPr>
        <w:tc>
          <w:tcPr>
            <w:tcW w:type="dxa" w:w="26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onsolas" w:cs="Consolas" w:eastAsia="Consolas" w:hAnsi="Consolas"/>
                <w:b w:val="false"/>
                <w:bCs w:val="false"/>
                <w:sz w:val="18"/>
                <w:szCs w:val="18"/>
              </w:rPr>
              <w:t xml:space="preserve">budget_revenue_ngn, budget_cost_ngn</w:t>
            </w:r>
          </w:p>
        </w:tc>
        <w:tc>
          <w:tcPr>
            <w:tcW w:type="dxa" w:w="125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numeric</w:t>
            </w:r>
          </w:p>
        </w:tc>
        <w:tc>
          <w:tcPr>
            <w:tcW w:type="dxa" w:w="51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Targets; adds variance-to-budget alongside YoY</w:t>
            </w:r>
          </w:p>
        </w:tc>
      </w:tr>
    </w:tbl>
    <w:p>
      <w:pPr>
        <w:pStyle w:val="Heading1"/>
        <w:pBdr>
          <w:bottom w:val="single" w:color="0D5C63" w:sz="6" w:space="2"/>
        </w:pBdr>
        <w:spacing w:after="80" w:before="360"/>
      </w:pPr>
      <w:r>
        <w:rPr>
          <w:rFonts w:ascii="Calibri" w:cs="Calibri" w:eastAsia="Calibri" w:hAnsi="Calibri"/>
          <w:b/>
          <w:bCs/>
          <w:color w:val="14202E"/>
          <w:sz w:val="30"/>
          <w:szCs w:val="30"/>
        </w:rPr>
        <w:t xml:space="preserve">Coverage check against the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Brief item</w:t>
            </w:r>
          </w:p>
        </w:tc>
        <w:tc>
          <w:tcPr>
            <w:tcW w:type="dxa" w:w="6026"/>
            <w:tcBorders>
              <w:top w:val="single" w:color="D3DAE1" w:sz="4"/>
              <w:left w:val="single" w:color="D3DAE1" w:sz="4"/>
              <w:bottom w:val="single" w:color="D3DAE1" w:sz="4"/>
              <w:right w:val="single" w:color="D3DAE1" w:sz="4"/>
            </w:tcBorders>
            <w:shd w:fill="E6F0F1" w:color="auto" w:val="clear"/>
            <w:tcMar>
              <w:top w:type="dxa" w:w="60"/>
              <w:left w:type="dxa" w:w="100"/>
              <w:bottom w:type="dxa" w:w="60"/>
              <w:right w:type="dxa" w:w="100"/>
            </w:tcMar>
          </w:tcPr>
          <w:p>
            <w:r>
              <w:rPr>
                <w:rFonts w:ascii="Calibri" w:cs="Calibri" w:eastAsia="Calibri" w:hAnsi="Calibri"/>
                <w:b/>
                <w:bCs/>
                <w:sz w:val="20"/>
                <w:szCs w:val="20"/>
              </w:rPr>
              <w:t xml:space="preserve">Supported by</w:t>
            </w:r>
          </w:p>
        </w:tc>
      </w:tr>
      <w:tr>
        <w:trPr>
          <w:cantSplit/>
        </w:trPr>
        <w:tc>
          <w:tcPr>
            <w:tcW w:type="dxa" w:w="300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Growth quality: volume, price, mix</w:t>
            </w:r>
          </w:p>
        </w:tc>
        <w:tc>
          <w:tcPr>
            <w:tcW w:type="dxa" w:w="60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Fact_Transactions (amount, fees, count) joined to Dim_Date, Dim_Channel, Dim_Product</w:t>
            </w:r>
          </w:p>
        </w:tc>
      </w:tr>
      <w:tr>
        <w:trPr>
          <w:cantSplit/>
        </w:trPr>
        <w:tc>
          <w:tcPr>
            <w:tcW w:type="dxa" w:w="300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Segment profitability</w:t>
            </w:r>
          </w:p>
        </w:tc>
        <w:tc>
          <w:tcPr>
            <w:tcW w:type="dxa" w:w="60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Fact_Transactions fee and four cost columns, joined to merchant, channel and product</w:t>
            </w:r>
          </w:p>
        </w:tc>
      </w:tr>
      <w:tr>
        <w:trPr>
          <w:cantSplit/>
        </w:trPr>
        <w:tc>
          <w:tcPr>
            <w:tcW w:type="dxa" w:w="300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H1: Mix shift</w:t>
            </w:r>
          </w:p>
        </w:tc>
        <w:tc>
          <w:tcPr>
            <w:tcW w:type="dxa" w:w="60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Dim_Channel, Dim_Product; margin and share by period</w:t>
            </w:r>
          </w:p>
        </w:tc>
      </w:tr>
      <w:tr>
        <w:trPr>
          <w:cantSplit/>
        </w:trPr>
        <w:tc>
          <w:tcPr>
            <w:tcW w:type="dxa" w:w="300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H2: Cost inflation</w:t>
            </w:r>
          </w:p>
        </w:tc>
        <w:tc>
          <w:tcPr>
            <w:tcW w:type="dxa" w:w="60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Cost columns over time; Dim_CostRate effective dates</w:t>
            </w:r>
          </w:p>
        </w:tc>
      </w:tr>
      <w:tr>
        <w:trPr>
          <w:cantSplit/>
        </w:trPr>
        <w:tc>
          <w:tcPr>
            <w:tcW w:type="dxa" w:w="300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H3: Discount leakage</w:t>
            </w:r>
          </w:p>
        </w:tc>
        <w:tc>
          <w:tcPr>
            <w:tcW w:type="dxa" w:w="60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list_fee_ngn, discount_ngn, Dim_PricingPlan, Bridge_MerchantPricing</w:t>
            </w:r>
          </w:p>
        </w:tc>
      </w:tr>
      <w:tr>
        <w:trPr>
          <w:cantSplit/>
        </w:trPr>
        <w:tc>
          <w:tcPr>
            <w:tcW w:type="dxa" w:w="300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H4: Failed-transaction drag</w:t>
            </w:r>
          </w:p>
        </w:tc>
        <w:tc>
          <w:tcPr>
            <w:tcW w:type="dxa" w:w="60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txn_status, response_code, Dim_ResponseCode, txn_hour, cost on failed attempts</w:t>
            </w:r>
          </w:p>
        </w:tc>
      </w:tr>
      <w:tr>
        <w:trPr>
          <w:cantSplit/>
        </w:trPr>
        <w:tc>
          <w:tcPr>
            <w:tcW w:type="dxa" w:w="300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H5: Sub-scale expansion</w:t>
            </w:r>
          </w:p>
        </w:tc>
        <w:tc>
          <w:tcPr>
            <w:tcW w:type="dxa" w:w="60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Dim_Location (market_type, launch_date) joined to margin and cost per transaction</w:t>
            </w:r>
          </w:p>
        </w:tc>
      </w:tr>
      <w:tr>
        <w:trPr>
          <w:cantSplit/>
        </w:trPr>
        <w:tc>
          <w:tcPr>
            <w:tcW w:type="dxa" w:w="300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H6: Peak-season squeeze</w:t>
            </w:r>
          </w:p>
        </w:tc>
        <w:tc>
          <w:tcPr>
            <w:tcW w:type="dxa" w:w="60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Dim_Date (is_peak_season, holidays) against monthly margin</w:t>
            </w:r>
          </w:p>
        </w:tc>
      </w:tr>
      <w:tr>
        <w:trPr>
          <w:cantSplit/>
        </w:trPr>
        <w:tc>
          <w:tcPr>
            <w:tcW w:type="dxa" w:w="300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Merchant concentration</w:t>
            </w:r>
          </w:p>
        </w:tc>
        <w:tc>
          <w:tcPr>
            <w:tcW w:type="dxa" w:w="60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Dim_Merchant joined to net revenue; top-10 share</w:t>
            </w:r>
          </w:p>
        </w:tc>
      </w:tr>
      <w:tr>
        <w:trPr>
          <w:cantSplit/>
        </w:trPr>
        <w:tc>
          <w:tcPr>
            <w:tcW w:type="dxa" w:w="300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YoY and YTD variance</w:t>
            </w:r>
          </w:p>
        </w:tc>
        <w:tc>
          <w:tcPr>
            <w:tcW w:type="dxa" w:w="60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Dim_Date.same_date_py; all KPIs</w:t>
            </w:r>
          </w:p>
        </w:tc>
      </w:tr>
      <w:tr>
        <w:trPr>
          <w:cantSplit/>
        </w:trPr>
        <w:tc>
          <w:tcPr>
            <w:tcW w:type="dxa" w:w="3000"/>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Executive report and recommendations</w:t>
            </w:r>
          </w:p>
        </w:tc>
        <w:tc>
          <w:tcPr>
            <w:tcW w:type="dxa" w:w="6026"/>
            <w:tcBorders>
              <w:top w:val="single" w:color="D3DAE1" w:sz="4"/>
              <w:left w:val="single" w:color="D3DAE1" w:sz="4"/>
              <w:bottom w:val="single" w:color="D3DAE1" w:sz="4"/>
              <w:right w:val="single" w:color="D3DAE1" w:sz="4"/>
            </w:tcBorders>
            <w:tcMar>
              <w:top w:type="dxa" w:w="60"/>
              <w:left w:type="dxa" w:w="100"/>
              <w:bottom w:type="dxa" w:w="60"/>
              <w:right w:type="dxa" w:w="100"/>
            </w:tcMar>
          </w:tcPr>
          <w:p>
            <w:r>
              <w:rPr>
                <w:rFonts w:ascii="Calibri" w:cs="Calibri" w:eastAsia="Calibri" w:hAnsi="Calibri"/>
                <w:b w:val="false"/>
                <w:bCs w:val="false"/>
                <w:sz w:val="20"/>
                <w:szCs w:val="20"/>
              </w:rPr>
              <w:t xml:space="preserve">Aggregates of the above; no new columns required</w:t>
            </w:r>
          </w:p>
        </w:tc>
      </w:tr>
    </w:tbl>
    <w:p>
      <w:pPr>
        <w:pStyle w:val="Heading1"/>
        <w:pBdr>
          <w:bottom w:val="single" w:color="0D5C63" w:sz="6" w:space="2"/>
        </w:pBdr>
        <w:spacing w:after="80" w:before="360"/>
      </w:pPr>
      <w:r>
        <w:rPr>
          <w:rFonts w:ascii="Calibri" w:cs="Calibri" w:eastAsia="Calibri" w:hAnsi="Calibri"/>
          <w:b/>
          <w:bCs/>
          <w:color w:val="14202E"/>
          <w:sz w:val="30"/>
          <w:szCs w:val="30"/>
        </w:rPr>
        <w:t xml:space="preserve">Open questions before this goes to build</w:t>
      </w:r>
    </w:p>
    <w:p>
      <w:pPr>
        <w:pStyle w:val="ListParagraph"/>
        <w:numPr>
          <w:ilvl w:val="0"/>
          <w:numId w:val="2"/>
        </w:numPr>
        <w:spacing w:after="100" w:line="276"/>
      </w:pPr>
      <w:r>
        <w:rPr>
          <w:rFonts w:ascii="Calibri" w:cs="Calibri" w:eastAsia="Calibri" w:hAnsi="Calibri"/>
          <w:b/>
          <w:bCs/>
          <w:sz w:val="21"/>
          <w:szCs w:val="21"/>
        </w:rPr>
        <w:t xml:space="preserve">Ground truth. </w:t>
      </w:r>
      <w:r>
        <w:rPr>
          <w:rFonts w:ascii="Calibri" w:cs="Calibri" w:eastAsia="Calibri" w:hAnsi="Calibri"/>
          <w:sz w:val="21"/>
          <w:szCs w:val="21"/>
        </w:rPr>
        <w:t xml:space="preserve">Which hypotheses should actually be true in the generated data, and which are red herrings? My starting proposal: H1 and H2 as primary drivers, H3 as an amplifier, H4 as a moderate effect, H5 and H6 as weak or false. Your call, and it should be decided before generation.</w:t>
      </w:r>
    </w:p>
    <w:p>
      <w:pPr>
        <w:pStyle w:val="ListParagraph"/>
        <w:numPr>
          <w:ilvl w:val="0"/>
          <w:numId w:val="2"/>
        </w:numPr>
        <w:spacing w:after="100" w:line="276"/>
      </w:pPr>
      <w:r>
        <w:rPr>
          <w:rFonts w:ascii="Calibri" w:cs="Calibri" w:eastAsia="Calibri" w:hAnsi="Calibri"/>
          <w:b/>
          <w:bCs/>
          <w:sz w:val="21"/>
          <w:szCs w:val="21"/>
        </w:rPr>
        <w:t xml:space="preserve">Confounding. </w:t>
      </w:r>
      <w:r>
        <w:rPr>
          <w:rFonts w:ascii="Calibri" w:cs="Calibri" w:eastAsia="Calibri" w:hAnsi="Calibri"/>
          <w:sz w:val="21"/>
          <w:szCs w:val="21"/>
        </w:rPr>
        <w:t xml:space="preserve">New cities probably skew toward USSD and mobile channels, and large merchants probably sit in one product line. If these are generated independently, the data becomes too clean and root-cause isolation turns artificially easy. Decide which correlations to bake in deliberately.</w:t>
      </w:r>
    </w:p>
    <w:p>
      <w:pPr>
        <w:pStyle w:val="ListParagraph"/>
        <w:numPr>
          <w:ilvl w:val="0"/>
          <w:numId w:val="2"/>
        </w:numPr>
        <w:spacing w:after="100" w:line="276"/>
      </w:pPr>
      <w:r>
        <w:rPr>
          <w:rFonts w:ascii="Calibri" w:cs="Calibri" w:eastAsia="Calibri" w:hAnsi="Calibri"/>
          <w:b/>
          <w:bCs/>
          <w:sz w:val="21"/>
          <w:szCs w:val="21"/>
        </w:rPr>
        <w:t xml:space="preserve">Cost on failed transactions. </w:t>
      </w:r>
      <w:r>
        <w:rPr>
          <w:rFonts w:ascii="Calibri" w:cs="Calibri" w:eastAsia="Calibri" w:hAnsi="Calibri"/>
          <w:sz w:val="21"/>
          <w:szCs w:val="21"/>
        </w:rPr>
        <w:t xml:space="preserve">Which cost lines apply when a transaction fails (processing yes, bank charge perhaps no)? This sets the size of the H4 effect and needs an explicit rule.</w:t>
      </w:r>
    </w:p>
    <w:p>
      <w:pPr>
        <w:pStyle w:val="ListParagraph"/>
        <w:numPr>
          <w:ilvl w:val="0"/>
          <w:numId w:val="2"/>
        </w:numPr>
        <w:spacing w:after="100" w:line="276"/>
      </w:pPr>
      <w:r>
        <w:rPr>
          <w:rFonts w:ascii="Calibri" w:cs="Calibri" w:eastAsia="Calibri" w:hAnsi="Calibri"/>
          <w:b/>
          <w:bCs/>
          <w:sz w:val="21"/>
          <w:szCs w:val="21"/>
        </w:rPr>
        <w:t xml:space="preserve">Reversed transactions. </w:t>
      </w:r>
      <w:r>
        <w:rPr>
          <w:rFonts w:ascii="Calibri" w:cs="Calibri" w:eastAsia="Calibri" w:hAnsi="Calibri"/>
          <w:sz w:val="21"/>
          <w:szCs w:val="21"/>
        </w:rPr>
        <w:t xml:space="preserve">Is the fee refunded on reversal, and are costs reversed too? Reversals will need documented handling rules, not silent exclusion.</w:t>
      </w:r>
    </w:p>
    <w:p>
      <w:pPr>
        <w:pStyle w:val="ListParagraph"/>
        <w:numPr>
          <w:ilvl w:val="0"/>
          <w:numId w:val="2"/>
        </w:numPr>
        <w:spacing w:after="100" w:line="276"/>
      </w:pPr>
      <w:r>
        <w:rPr>
          <w:rFonts w:ascii="Calibri" w:cs="Calibri" w:eastAsia="Calibri" w:hAnsi="Calibri"/>
          <w:b/>
          <w:bCs/>
          <w:sz w:val="21"/>
          <w:szCs w:val="21"/>
        </w:rPr>
        <w:t xml:space="preserve">Scale. </w:t>
      </w:r>
      <w:r>
        <w:rPr>
          <w:rFonts w:ascii="Calibri" w:cs="Calibri" w:eastAsia="Calibri" w:hAnsi="Calibri"/>
          <w:sz w:val="21"/>
          <w:szCs w:val="21"/>
        </w:rPr>
        <w:t xml:space="preserve">Proposed starting point: 24 months, about 400 merchants, 12 to 15 cities, and 1 to 2 million transaction rows. Confirm or adjust for your machine and Power BI refresh time.</w:t>
      </w:r>
    </w:p>
    <w:p>
      <w:pPr>
        <w:pStyle w:val="ListParagraph"/>
        <w:numPr>
          <w:ilvl w:val="0"/>
          <w:numId w:val="2"/>
        </w:numPr>
        <w:spacing w:after="100" w:line="276"/>
      </w:pPr>
      <w:r>
        <w:rPr>
          <w:rFonts w:ascii="Calibri" w:cs="Calibri" w:eastAsia="Calibri" w:hAnsi="Calibri"/>
          <w:b/>
          <w:bCs/>
          <w:sz w:val="21"/>
          <w:szCs w:val="21"/>
        </w:rPr>
        <w:t xml:space="preserve">Data quality. </w:t>
      </w:r>
      <w:r>
        <w:rPr>
          <w:rFonts w:ascii="Calibri" w:cs="Calibri" w:eastAsia="Calibri" w:hAnsi="Calibri"/>
          <w:sz w:val="21"/>
          <w:szCs w:val="21"/>
        </w:rPr>
        <w:t xml:space="preserve">Do you want a small number of deliberate issues (duplicate transaction IDs, nulls, inconsistent city spellings) so the SQL cleaning step is realistic, or a clean dataset?</w:t>
      </w:r>
    </w:p>
    <w:p>
      <w:pPr>
        <w:pStyle w:val="ListParagraph"/>
        <w:numPr>
          <w:ilvl w:val="0"/>
          <w:numId w:val="2"/>
        </w:numPr>
        <w:spacing w:after="100" w:line="276"/>
      </w:pPr>
      <w:r>
        <w:rPr>
          <w:rFonts w:ascii="Calibri" w:cs="Calibri" w:eastAsia="Calibri" w:hAnsi="Calibri"/>
          <w:b/>
          <w:bCs/>
          <w:sz w:val="21"/>
          <w:szCs w:val="21"/>
        </w:rPr>
        <w:t xml:space="preserve">Optional tables. </w:t>
      </w:r>
      <w:r>
        <w:rPr>
          <w:rFonts w:ascii="Calibri" w:cs="Calibri" w:eastAsia="Calibri" w:hAnsi="Calibri"/>
          <w:sz w:val="21"/>
          <w:szCs w:val="21"/>
        </w:rPr>
        <w:t xml:space="preserve">Include Fact_OperatingCosts and Fact_Budget now, or keep them for a second phase?</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A6B7C"/>
        <w:sz w:val="17"/>
        <w:szCs w:val="17"/>
      </w:rPr>
      <w:t xml:space="preserve">PayBridge NG | Data Dictionary | Page </w:t>
    </w:r>
    <w:r>
      <w:rPr>
        <w:rFonts w:ascii="Calibri" w:cs="Calibri" w:eastAsia="Calibri" w:hAnsi="Calibri"/>
        <w:color w:val="5A6B7C"/>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2026-10-06T22:33:38.216Z</dcterms:created>
  <dcterms:modified xsi:type="dcterms:W3CDTF">2026-10-06T22:33:38.217Z</dcterms:modified>
</cp:coreProperties>
</file>

<file path=docProps/custom.xml><?xml version="1.0" encoding="utf-8"?>
<Properties xmlns="http://schemas.openxmlformats.org/officeDocument/2006/custom-properties" xmlns:vt="http://schemas.openxmlformats.org/officeDocument/2006/docPropsVTypes"/>
</file>