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24907" w14:textId="77777777" w:rsidR="00D468A9" w:rsidRPr="00B32380" w:rsidRDefault="00B44FF7" w:rsidP="00750815">
      <w:pPr>
        <w:pStyle w:val="ListParagraph"/>
        <w:numPr>
          <w:ilvl w:val="0"/>
          <w:numId w:val="1"/>
        </w:numPr>
        <w:snapToGrid w:val="0"/>
        <w:spacing w:after="0" w:line="240" w:lineRule="auto"/>
        <w:contextualSpacing w:val="0"/>
        <w:rPr>
          <w:rFonts w:cstheme="minorHAnsi"/>
          <w:b/>
          <w:bCs/>
          <w:sz w:val="28"/>
          <w:szCs w:val="28"/>
          <w:lang w:val="en-US"/>
        </w:rPr>
      </w:pPr>
      <w:r w:rsidRPr="00B32380">
        <w:rPr>
          <w:rFonts w:cstheme="minorHAnsi"/>
          <w:b/>
          <w:bCs/>
          <w:sz w:val="28"/>
          <w:szCs w:val="28"/>
          <w:lang w:val="en-US"/>
        </w:rPr>
        <w:t xml:space="preserve">Step 1. </w:t>
      </w:r>
      <w:r w:rsidR="00B32380" w:rsidRPr="00B32380">
        <w:rPr>
          <w:rFonts w:cstheme="minorHAnsi"/>
          <w:b/>
          <w:bCs/>
          <w:sz w:val="28"/>
          <w:szCs w:val="28"/>
          <w:lang w:val="en-US"/>
        </w:rPr>
        <w:t>Magnifying</w:t>
      </w:r>
      <w:r w:rsidRPr="00B32380">
        <w:rPr>
          <w:rFonts w:cstheme="minorHAnsi"/>
          <w:b/>
          <w:bCs/>
          <w:sz w:val="28"/>
          <w:szCs w:val="28"/>
          <w:lang w:val="en-US"/>
        </w:rPr>
        <w:t xml:space="preserve"> Risk</w:t>
      </w:r>
    </w:p>
    <w:p w14:paraId="03486C6F" w14:textId="77777777" w:rsidR="002F4043" w:rsidRDefault="002F4043" w:rsidP="00750815">
      <w:pPr>
        <w:pStyle w:val="ListParagraph"/>
        <w:snapToGrid w:val="0"/>
        <w:spacing w:after="0" w:line="240" w:lineRule="auto"/>
        <w:ind w:left="936"/>
        <w:contextualSpacing w:val="0"/>
        <w:rPr>
          <w:rFonts w:cstheme="minorHAnsi"/>
          <w:sz w:val="20"/>
          <w:szCs w:val="20"/>
          <w:lang w:val="en-US"/>
        </w:rPr>
      </w:pPr>
    </w:p>
    <w:p w14:paraId="0C749E77" w14:textId="77777777" w:rsidR="002F4043" w:rsidRPr="002F4043" w:rsidRDefault="00B44FF7" w:rsidP="00750815">
      <w:pPr>
        <w:pStyle w:val="ListParagraph"/>
        <w:numPr>
          <w:ilvl w:val="1"/>
          <w:numId w:val="1"/>
        </w:numPr>
        <w:snapToGrid w:val="0"/>
        <w:spacing w:after="0" w:line="240" w:lineRule="auto"/>
        <w:contextualSpacing w:val="0"/>
        <w:rPr>
          <w:rFonts w:cstheme="minorHAnsi"/>
          <w:b/>
          <w:bCs/>
          <w:sz w:val="20"/>
          <w:szCs w:val="20"/>
          <w:lang w:val="en-US"/>
        </w:rPr>
      </w:pPr>
      <w:r w:rsidRPr="002F4043">
        <w:rPr>
          <w:rFonts w:cstheme="minorHAnsi"/>
          <w:b/>
          <w:bCs/>
          <w:sz w:val="20"/>
          <w:szCs w:val="20"/>
          <w:lang w:val="en-US"/>
        </w:rPr>
        <w:t>Student:</w:t>
      </w:r>
      <w:r w:rsidRPr="002F4043">
        <w:rPr>
          <w:rFonts w:cstheme="minorHAnsi"/>
          <w:b/>
          <w:bCs/>
          <w:sz w:val="20"/>
          <w:szCs w:val="20"/>
        </w:rPr>
        <w:t xml:space="preserve"> </w:t>
      </w:r>
      <w:r w:rsidRPr="002F4043">
        <w:rPr>
          <w:rFonts w:cstheme="minorHAnsi"/>
          <w:b/>
          <w:bCs/>
          <w:sz w:val="20"/>
          <w:szCs w:val="20"/>
          <w:lang w:val="en-US"/>
        </w:rPr>
        <w:t xml:space="preserve">Oratile - </w:t>
      </w:r>
      <w:r w:rsidRPr="002F4043">
        <w:rPr>
          <w:rFonts w:cstheme="minorHAnsi"/>
          <w:b/>
          <w:bCs/>
          <w:sz w:val="20"/>
          <w:szCs w:val="20"/>
        </w:rPr>
        <w:t>Personal unsecured loan at fixed rate Credit card</w:t>
      </w:r>
      <w:r w:rsidR="00FA4CCF">
        <w:rPr>
          <w:rFonts w:cstheme="minorHAnsi"/>
          <w:b/>
          <w:bCs/>
          <w:sz w:val="20"/>
          <w:szCs w:val="20"/>
          <w:lang w:val="en-US"/>
        </w:rPr>
        <w:t xml:space="preserve"> Risk</w:t>
      </w:r>
    </w:p>
    <w:p w14:paraId="70F0014A" w14:textId="77777777" w:rsidR="002F4043" w:rsidRDefault="002F4043" w:rsidP="00750815">
      <w:pPr>
        <w:pStyle w:val="ListParagraph"/>
        <w:snapToGrid w:val="0"/>
        <w:spacing w:after="0" w:line="240" w:lineRule="auto"/>
        <w:ind w:left="936"/>
        <w:contextualSpacing w:val="0"/>
        <w:rPr>
          <w:rFonts w:cstheme="minorHAnsi"/>
          <w:b/>
          <w:bCs/>
          <w:sz w:val="20"/>
          <w:szCs w:val="20"/>
          <w:lang w:val="en-US"/>
        </w:rPr>
      </w:pPr>
    </w:p>
    <w:tbl>
      <w:tblPr>
        <w:tblStyle w:val="TableGrid"/>
        <w:tblW w:w="0" w:type="auto"/>
        <w:tblLook w:val="04A0" w:firstRow="1" w:lastRow="0" w:firstColumn="1" w:lastColumn="0" w:noHBand="0" w:noVBand="1"/>
      </w:tblPr>
      <w:tblGrid>
        <w:gridCol w:w="473"/>
        <w:gridCol w:w="7435"/>
        <w:gridCol w:w="7560"/>
      </w:tblGrid>
      <w:tr w:rsidR="00B13673" w14:paraId="3D717A3B" w14:textId="77777777" w:rsidTr="00B13673">
        <w:tc>
          <w:tcPr>
            <w:tcW w:w="0" w:type="auto"/>
            <w:shd w:val="clear" w:color="auto" w:fill="F2F2F2" w:themeFill="background1" w:themeFillShade="F2"/>
            <w:textDirection w:val="btLr"/>
          </w:tcPr>
          <w:p w14:paraId="41A7600F" w14:textId="77777777" w:rsidR="00B13673" w:rsidRDefault="00B13673" w:rsidP="008701BF">
            <w:pPr>
              <w:pStyle w:val="ListParagraph"/>
              <w:snapToGrid w:val="0"/>
              <w:ind w:left="113" w:right="113"/>
              <w:contextualSpacing w:val="0"/>
              <w:jc w:val="center"/>
              <w:rPr>
                <w:rFonts w:cstheme="minorHAnsi"/>
                <w:b/>
                <w:bCs/>
                <w:sz w:val="20"/>
                <w:szCs w:val="20"/>
                <w:lang w:val="en-US"/>
              </w:rPr>
            </w:pPr>
          </w:p>
        </w:tc>
        <w:tc>
          <w:tcPr>
            <w:tcW w:w="7435" w:type="dxa"/>
            <w:shd w:val="clear" w:color="auto" w:fill="auto"/>
          </w:tcPr>
          <w:p w14:paraId="4D1D0414" w14:textId="6CCF998D" w:rsidR="00B13673" w:rsidRPr="009C3C08" w:rsidRDefault="005606AE" w:rsidP="00995560">
            <w:pPr>
              <w:pStyle w:val="ListParagraph"/>
              <w:snapToGrid w:val="0"/>
              <w:ind w:left="360"/>
              <w:rPr>
                <w:rFonts w:cstheme="minorHAnsi"/>
                <w:b/>
                <w:bCs/>
                <w:sz w:val="20"/>
                <w:szCs w:val="20"/>
                <w:lang w:val="en-US"/>
              </w:rPr>
            </w:pPr>
            <w:r w:rsidRPr="009C3C08">
              <w:rPr>
                <w:rFonts w:cstheme="minorHAnsi"/>
                <w:b/>
                <w:bCs/>
                <w:sz w:val="20"/>
                <w:szCs w:val="20"/>
                <w:lang w:val="en-US"/>
              </w:rPr>
              <w:t>LEVERAGE</w:t>
            </w:r>
          </w:p>
        </w:tc>
        <w:tc>
          <w:tcPr>
            <w:tcW w:w="7560" w:type="dxa"/>
            <w:shd w:val="clear" w:color="auto" w:fill="auto"/>
          </w:tcPr>
          <w:p w14:paraId="6D324AEE" w14:textId="4852142A" w:rsidR="00B13673" w:rsidRPr="009C3C08" w:rsidRDefault="005606AE" w:rsidP="00AC63B4">
            <w:pPr>
              <w:pStyle w:val="ListParagraph"/>
              <w:snapToGrid w:val="0"/>
              <w:ind w:left="360"/>
              <w:rPr>
                <w:rFonts w:cstheme="minorHAnsi"/>
                <w:b/>
                <w:bCs/>
                <w:sz w:val="20"/>
                <w:szCs w:val="20"/>
                <w:lang w:val="en-US"/>
              </w:rPr>
            </w:pPr>
            <w:r w:rsidRPr="009C3C08">
              <w:rPr>
                <w:rFonts w:cstheme="minorHAnsi"/>
                <w:b/>
                <w:bCs/>
                <w:sz w:val="20"/>
                <w:szCs w:val="20"/>
                <w:lang w:val="en-US"/>
              </w:rPr>
              <w:t>NON-LINEARITY</w:t>
            </w:r>
          </w:p>
        </w:tc>
      </w:tr>
      <w:tr w:rsidR="00B13673" w14:paraId="016C8164" w14:textId="77777777" w:rsidTr="00B13673">
        <w:tc>
          <w:tcPr>
            <w:tcW w:w="0" w:type="auto"/>
            <w:shd w:val="clear" w:color="auto" w:fill="F2F2F2" w:themeFill="background1" w:themeFillShade="F2"/>
            <w:textDirection w:val="btLr"/>
          </w:tcPr>
          <w:p w14:paraId="76E229F9" w14:textId="65C5D7D9" w:rsidR="00B13673" w:rsidRPr="007306AF" w:rsidRDefault="00B13673" w:rsidP="008701BF">
            <w:pPr>
              <w:pStyle w:val="ListParagraph"/>
              <w:snapToGrid w:val="0"/>
              <w:ind w:left="113" w:right="113"/>
              <w:contextualSpacing w:val="0"/>
              <w:jc w:val="center"/>
              <w:rPr>
                <w:rFonts w:cstheme="minorHAnsi"/>
                <w:b/>
                <w:bCs/>
                <w:sz w:val="20"/>
                <w:szCs w:val="20"/>
                <w:lang w:val="en-US"/>
              </w:rPr>
            </w:pPr>
            <w:r>
              <w:rPr>
                <w:rFonts w:cstheme="minorHAnsi"/>
                <w:b/>
                <w:bCs/>
                <w:sz w:val="20"/>
                <w:szCs w:val="20"/>
                <w:lang w:val="en-US"/>
              </w:rPr>
              <w:t>CREDIT CARD LOANS</w:t>
            </w:r>
          </w:p>
        </w:tc>
        <w:tc>
          <w:tcPr>
            <w:tcW w:w="7435" w:type="dxa"/>
            <w:shd w:val="clear" w:color="auto" w:fill="auto"/>
          </w:tcPr>
          <w:p w14:paraId="0F1668F3" w14:textId="715D3C2F" w:rsidR="00B13673" w:rsidRPr="00995560" w:rsidRDefault="00B13673" w:rsidP="00995560">
            <w:pPr>
              <w:pStyle w:val="ListParagraph"/>
              <w:snapToGrid w:val="0"/>
              <w:ind w:left="360"/>
              <w:rPr>
                <w:rFonts w:cstheme="minorHAnsi"/>
                <w:sz w:val="20"/>
                <w:szCs w:val="20"/>
                <w:lang w:val="en-US"/>
              </w:rPr>
            </w:pPr>
            <w:r w:rsidRPr="00995560">
              <w:rPr>
                <w:rFonts w:cstheme="minorHAnsi"/>
                <w:sz w:val="20"/>
                <w:szCs w:val="20"/>
                <w:lang w:val="en-US"/>
              </w:rPr>
              <w:t>High interest rates:</w:t>
            </w:r>
          </w:p>
          <w:p w14:paraId="69C4E860" w14:textId="7368DA26" w:rsidR="00B13673" w:rsidRPr="00995560" w:rsidRDefault="00B13673" w:rsidP="00995560">
            <w:pPr>
              <w:pStyle w:val="ListParagraph"/>
              <w:snapToGrid w:val="0"/>
              <w:ind w:left="360"/>
              <w:rPr>
                <w:rFonts w:cstheme="minorHAnsi"/>
                <w:sz w:val="20"/>
                <w:szCs w:val="20"/>
                <w:lang w:val="en-US"/>
              </w:rPr>
            </w:pPr>
            <w:r w:rsidRPr="00995560">
              <w:rPr>
                <w:rFonts w:cstheme="minorHAnsi"/>
                <w:sz w:val="20"/>
                <w:szCs w:val="20"/>
                <w:lang w:val="en-US"/>
              </w:rPr>
              <w:t>Credit card loans often have relatively high interest rates, especially if the balance is not paid in full each month. When individuals use credit card debt to invest or make purchases, they are actually borrowing at high interest rates. If investments or purchases do not generate returns greater than the interest on credit card debt, they may incur significant interest charges.</w:t>
            </w:r>
          </w:p>
          <w:p w14:paraId="42138A42" w14:textId="77777777" w:rsidR="00B13673" w:rsidRPr="00995560" w:rsidRDefault="00B13673" w:rsidP="00995560">
            <w:pPr>
              <w:pStyle w:val="ListParagraph"/>
              <w:snapToGrid w:val="0"/>
              <w:ind w:left="360"/>
              <w:rPr>
                <w:rFonts w:cstheme="minorHAnsi"/>
                <w:sz w:val="20"/>
                <w:szCs w:val="20"/>
                <w:lang w:val="en-US"/>
              </w:rPr>
            </w:pPr>
          </w:p>
          <w:p w14:paraId="02ABE896" w14:textId="77777777" w:rsidR="00B13673" w:rsidRPr="00995560" w:rsidRDefault="00B13673" w:rsidP="00995560">
            <w:pPr>
              <w:pStyle w:val="ListParagraph"/>
              <w:snapToGrid w:val="0"/>
              <w:ind w:left="360"/>
              <w:rPr>
                <w:rFonts w:cstheme="minorHAnsi"/>
                <w:sz w:val="20"/>
                <w:szCs w:val="20"/>
                <w:lang w:val="en-US"/>
              </w:rPr>
            </w:pPr>
            <w:r w:rsidRPr="00995560">
              <w:rPr>
                <w:rFonts w:cstheme="minorHAnsi"/>
                <w:sz w:val="20"/>
                <w:szCs w:val="20"/>
                <w:lang w:val="en-US"/>
              </w:rPr>
              <w:t xml:space="preserve"> Amplifier loss:</w:t>
            </w:r>
          </w:p>
          <w:p w14:paraId="18067778" w14:textId="77777777" w:rsidR="00B13673" w:rsidRPr="00995560" w:rsidRDefault="00B13673" w:rsidP="00995560">
            <w:pPr>
              <w:pStyle w:val="ListParagraph"/>
              <w:snapToGrid w:val="0"/>
              <w:ind w:left="360"/>
              <w:rPr>
                <w:rFonts w:cstheme="minorHAnsi"/>
                <w:sz w:val="20"/>
                <w:szCs w:val="20"/>
                <w:lang w:val="en-US"/>
              </w:rPr>
            </w:pPr>
            <w:r w:rsidRPr="00995560">
              <w:rPr>
                <w:rFonts w:cstheme="minorHAnsi"/>
                <w:sz w:val="20"/>
                <w:szCs w:val="20"/>
                <w:lang w:val="en-US"/>
              </w:rPr>
              <w:t>Leverage can magnify both profits and losses. While this has the potential to increase returns when investments perform well, it can also lead to larger losses if the value of the investment falls. If a person has borrowed a large amount of money on a credit card and invested it in a volatile asset, such as stocks, a market downturn can lead to significant losses.</w:t>
            </w:r>
          </w:p>
          <w:p w14:paraId="4B21FA2E" w14:textId="77777777" w:rsidR="00B13673" w:rsidRPr="00995560" w:rsidRDefault="00B13673" w:rsidP="00995560">
            <w:pPr>
              <w:pStyle w:val="ListParagraph"/>
              <w:snapToGrid w:val="0"/>
              <w:ind w:left="360"/>
              <w:rPr>
                <w:rFonts w:cstheme="minorHAnsi"/>
                <w:sz w:val="20"/>
                <w:szCs w:val="20"/>
                <w:lang w:val="en-US"/>
              </w:rPr>
            </w:pPr>
          </w:p>
          <w:p w14:paraId="7187A168" w14:textId="77777777" w:rsidR="00B13673" w:rsidRPr="00995560" w:rsidRDefault="00B13673" w:rsidP="00995560">
            <w:pPr>
              <w:pStyle w:val="ListParagraph"/>
              <w:snapToGrid w:val="0"/>
              <w:ind w:left="360"/>
              <w:rPr>
                <w:rFonts w:cstheme="minorHAnsi"/>
                <w:sz w:val="20"/>
                <w:szCs w:val="20"/>
                <w:lang w:val="en-US"/>
              </w:rPr>
            </w:pPr>
            <w:r w:rsidRPr="00995560">
              <w:rPr>
                <w:rFonts w:cstheme="minorHAnsi"/>
                <w:sz w:val="20"/>
                <w:szCs w:val="20"/>
                <w:lang w:val="en-US"/>
              </w:rPr>
              <w:t xml:space="preserve"> Debt accumulation:</w:t>
            </w:r>
          </w:p>
          <w:p w14:paraId="7B4805CB" w14:textId="117F7190" w:rsidR="00B13673" w:rsidRPr="00995560" w:rsidRDefault="00B13673" w:rsidP="00995560">
            <w:pPr>
              <w:pStyle w:val="ListParagraph"/>
              <w:snapToGrid w:val="0"/>
              <w:ind w:left="360"/>
              <w:rPr>
                <w:rFonts w:cstheme="minorHAnsi"/>
                <w:sz w:val="20"/>
                <w:szCs w:val="20"/>
                <w:lang w:val="en-US"/>
              </w:rPr>
            </w:pPr>
            <w:r w:rsidRPr="00995560">
              <w:rPr>
                <w:rFonts w:cstheme="minorHAnsi"/>
                <w:sz w:val="20"/>
                <w:szCs w:val="20"/>
                <w:lang w:val="en-US"/>
              </w:rPr>
              <w:t>Continuously relying on credit cards for leverage can lead to a cycle of debt accumulation. If individuals are unable to pay off their credit card balances in full and continue to borrow for investments or purchases, debt can increase rapidly, causing financial hardship and potentially harming scores. Their credit.</w:t>
            </w:r>
          </w:p>
          <w:p w14:paraId="1513360F" w14:textId="77777777" w:rsidR="00B13673" w:rsidRPr="00995560" w:rsidRDefault="00B13673" w:rsidP="00995560">
            <w:pPr>
              <w:pStyle w:val="ListParagraph"/>
              <w:snapToGrid w:val="0"/>
              <w:ind w:left="360"/>
              <w:rPr>
                <w:rFonts w:cstheme="minorHAnsi"/>
                <w:sz w:val="20"/>
                <w:szCs w:val="20"/>
                <w:lang w:val="en-US"/>
              </w:rPr>
            </w:pPr>
          </w:p>
          <w:p w14:paraId="1D0D93ED" w14:textId="77777777" w:rsidR="00B13673" w:rsidRPr="00995560" w:rsidRDefault="00B13673" w:rsidP="00995560">
            <w:pPr>
              <w:pStyle w:val="ListParagraph"/>
              <w:snapToGrid w:val="0"/>
              <w:ind w:left="360"/>
              <w:rPr>
                <w:rFonts w:cstheme="minorHAnsi"/>
                <w:sz w:val="20"/>
                <w:szCs w:val="20"/>
                <w:lang w:val="en-US"/>
              </w:rPr>
            </w:pPr>
            <w:r w:rsidRPr="00995560">
              <w:rPr>
                <w:rFonts w:cstheme="minorHAnsi"/>
                <w:sz w:val="20"/>
                <w:szCs w:val="20"/>
                <w:lang w:val="en-US"/>
              </w:rPr>
              <w:t xml:space="preserve"> Impact on credit score: </w:t>
            </w:r>
          </w:p>
          <w:p w14:paraId="2CF0A099" w14:textId="77777777" w:rsidR="00B13673" w:rsidRPr="00995560" w:rsidRDefault="00B13673" w:rsidP="00995560">
            <w:pPr>
              <w:pStyle w:val="ListParagraph"/>
              <w:snapToGrid w:val="0"/>
              <w:ind w:left="360"/>
              <w:rPr>
                <w:rFonts w:cstheme="minorHAnsi"/>
                <w:sz w:val="20"/>
                <w:szCs w:val="20"/>
                <w:lang w:val="en-US"/>
              </w:rPr>
            </w:pPr>
            <w:r w:rsidRPr="00995560">
              <w:rPr>
                <w:rFonts w:cstheme="minorHAnsi"/>
                <w:sz w:val="20"/>
                <w:szCs w:val="20"/>
                <w:lang w:val="en-US"/>
              </w:rPr>
              <w:t xml:space="preserve"> Having a high credit card balance relative to their credit limit, known as a high credit utilization ratio, can negatively impact an individual's credit score. A lower credit score can lead to higher interest rates on future credit card loans and difficulty obtaining other types of credit.  Minimum payment trap:</w:t>
            </w:r>
          </w:p>
          <w:p w14:paraId="2B6DBACC" w14:textId="3240FB5B" w:rsidR="00B13673" w:rsidRPr="0090261E" w:rsidRDefault="00B13673" w:rsidP="00995560">
            <w:pPr>
              <w:pStyle w:val="ListParagraph"/>
              <w:snapToGrid w:val="0"/>
              <w:ind w:left="360"/>
              <w:contextualSpacing w:val="0"/>
              <w:rPr>
                <w:rFonts w:cstheme="minorHAnsi"/>
                <w:sz w:val="20"/>
                <w:szCs w:val="20"/>
                <w:lang w:val="en-US"/>
              </w:rPr>
            </w:pPr>
            <w:r w:rsidRPr="00995560">
              <w:rPr>
                <w:rFonts w:cstheme="minorHAnsi"/>
                <w:sz w:val="20"/>
                <w:szCs w:val="20"/>
                <w:lang w:val="en-US"/>
              </w:rPr>
              <w:t>Credit cards typically only require minimum monthly payments, usually a small percentage of the outstanding balance. If individuals use credit cards as leverage and only make minimum payments, paying off the debt can take a long time and the interest rates can be huge.</w:t>
            </w:r>
          </w:p>
        </w:tc>
        <w:tc>
          <w:tcPr>
            <w:tcW w:w="7560" w:type="dxa"/>
            <w:shd w:val="clear" w:color="auto" w:fill="auto"/>
          </w:tcPr>
          <w:p w14:paraId="0DC4779E" w14:textId="3F6199A7" w:rsidR="00B13673" w:rsidRPr="00AC63B4" w:rsidRDefault="00B13673" w:rsidP="00AC63B4">
            <w:pPr>
              <w:pStyle w:val="ListParagraph"/>
              <w:snapToGrid w:val="0"/>
              <w:ind w:left="360"/>
              <w:rPr>
                <w:rFonts w:cstheme="minorHAnsi"/>
                <w:sz w:val="20"/>
                <w:szCs w:val="20"/>
                <w:lang w:val="en-US"/>
              </w:rPr>
            </w:pPr>
            <w:r w:rsidRPr="00AC63B4">
              <w:rPr>
                <w:rFonts w:cstheme="minorHAnsi"/>
                <w:sz w:val="20"/>
                <w:szCs w:val="20"/>
                <w:lang w:val="en-US"/>
              </w:rPr>
              <w:t>Credit scoring model:</w:t>
            </w:r>
          </w:p>
          <w:p w14:paraId="452DAD7B" w14:textId="6C1ADFB2" w:rsidR="00B13673" w:rsidRPr="00AC63B4" w:rsidRDefault="00B13673" w:rsidP="00AC63B4">
            <w:pPr>
              <w:pStyle w:val="ListParagraph"/>
              <w:snapToGrid w:val="0"/>
              <w:ind w:left="360"/>
              <w:rPr>
                <w:rFonts w:cstheme="minorHAnsi"/>
                <w:sz w:val="20"/>
                <w:szCs w:val="20"/>
                <w:lang w:val="en-US"/>
              </w:rPr>
            </w:pPr>
            <w:r w:rsidRPr="00AC63B4">
              <w:rPr>
                <w:rFonts w:cstheme="minorHAnsi"/>
                <w:sz w:val="20"/>
                <w:szCs w:val="20"/>
                <w:lang w:val="en-US"/>
              </w:rPr>
              <w:t>Credit card issuers often use a credit scoring model to evaluate an applicant's creditworthiness. These models use a variety of factors such as credit score, income, and employment history and debt level to estimate the probability of default. Non-linear risk can arise when the relationship between these factors and credit risk is not straightforward. For example, a small change in an applicant's credit score may not have a linear impact on their likelihood of default.</w:t>
            </w:r>
          </w:p>
          <w:p w14:paraId="046533A9" w14:textId="77777777" w:rsidR="00B13673" w:rsidRPr="00AC63B4" w:rsidRDefault="00B13673" w:rsidP="00AC63B4">
            <w:pPr>
              <w:pStyle w:val="ListParagraph"/>
              <w:snapToGrid w:val="0"/>
              <w:ind w:left="360"/>
              <w:rPr>
                <w:rFonts w:cstheme="minorHAnsi"/>
                <w:sz w:val="20"/>
                <w:szCs w:val="20"/>
                <w:lang w:val="en-US"/>
              </w:rPr>
            </w:pPr>
          </w:p>
          <w:p w14:paraId="397B840E" w14:textId="77777777" w:rsidR="00B13673" w:rsidRPr="00AC63B4" w:rsidRDefault="00B13673" w:rsidP="00AC63B4">
            <w:pPr>
              <w:pStyle w:val="ListParagraph"/>
              <w:snapToGrid w:val="0"/>
              <w:ind w:left="360"/>
              <w:rPr>
                <w:rFonts w:cstheme="minorHAnsi"/>
                <w:sz w:val="20"/>
                <w:szCs w:val="20"/>
                <w:lang w:val="en-US"/>
              </w:rPr>
            </w:pPr>
            <w:r w:rsidRPr="00AC63B4">
              <w:rPr>
                <w:rFonts w:cstheme="minorHAnsi"/>
                <w:sz w:val="20"/>
                <w:szCs w:val="20"/>
                <w:lang w:val="en-US"/>
              </w:rPr>
              <w:t xml:space="preserve"> Behavioral factors:</w:t>
            </w:r>
          </w:p>
          <w:p w14:paraId="5285E6A0" w14:textId="77777777" w:rsidR="00B13673" w:rsidRPr="00AC63B4" w:rsidRDefault="00B13673" w:rsidP="00AC63B4">
            <w:pPr>
              <w:pStyle w:val="ListParagraph"/>
              <w:snapToGrid w:val="0"/>
              <w:ind w:left="360"/>
              <w:rPr>
                <w:rFonts w:cstheme="minorHAnsi"/>
                <w:sz w:val="20"/>
                <w:szCs w:val="20"/>
                <w:lang w:val="en-US"/>
              </w:rPr>
            </w:pPr>
            <w:r w:rsidRPr="00AC63B4">
              <w:rPr>
                <w:rFonts w:cstheme="minorHAnsi"/>
                <w:sz w:val="20"/>
                <w:szCs w:val="20"/>
                <w:lang w:val="en-US"/>
              </w:rPr>
              <w:t>Credit card borrower behavior can be non-linear and unpredictable. For example, a borrower who has previously made on-time payments may suddenly default due to an unexpected life event, such as a medical emergency or job loss. This type of non-linear behavior can be difficult for lenders to predict and manage.</w:t>
            </w:r>
          </w:p>
          <w:p w14:paraId="75ED6449" w14:textId="77777777" w:rsidR="00B13673" w:rsidRPr="00AC63B4" w:rsidRDefault="00B13673" w:rsidP="00AC63B4">
            <w:pPr>
              <w:pStyle w:val="ListParagraph"/>
              <w:snapToGrid w:val="0"/>
              <w:ind w:left="360"/>
              <w:rPr>
                <w:rFonts w:cstheme="minorHAnsi"/>
                <w:sz w:val="20"/>
                <w:szCs w:val="20"/>
                <w:lang w:val="en-US"/>
              </w:rPr>
            </w:pPr>
          </w:p>
          <w:p w14:paraId="2F2D2E65" w14:textId="77777777" w:rsidR="00B13673" w:rsidRPr="00AC63B4" w:rsidRDefault="00B13673" w:rsidP="00AC63B4">
            <w:pPr>
              <w:pStyle w:val="ListParagraph"/>
              <w:snapToGrid w:val="0"/>
              <w:ind w:left="360"/>
              <w:rPr>
                <w:rFonts w:cstheme="minorHAnsi"/>
                <w:sz w:val="20"/>
                <w:szCs w:val="20"/>
                <w:lang w:val="en-US"/>
              </w:rPr>
            </w:pPr>
            <w:r w:rsidRPr="00AC63B4">
              <w:rPr>
                <w:rFonts w:cstheme="minorHAnsi"/>
                <w:sz w:val="20"/>
                <w:szCs w:val="20"/>
                <w:lang w:val="en-US"/>
              </w:rPr>
              <w:t xml:space="preserve"> Economic conditions:</w:t>
            </w:r>
          </w:p>
          <w:p w14:paraId="7359A57D" w14:textId="49343C86" w:rsidR="00B13673" w:rsidRPr="00AC63B4" w:rsidRDefault="00B13673" w:rsidP="00AC63B4">
            <w:pPr>
              <w:pStyle w:val="ListParagraph"/>
              <w:snapToGrid w:val="0"/>
              <w:ind w:left="360"/>
              <w:rPr>
                <w:rFonts w:cstheme="minorHAnsi"/>
                <w:sz w:val="20"/>
                <w:szCs w:val="20"/>
                <w:lang w:val="en-US"/>
              </w:rPr>
            </w:pPr>
            <w:r w:rsidRPr="00AC63B4">
              <w:rPr>
                <w:rFonts w:cstheme="minorHAnsi"/>
                <w:sz w:val="20"/>
                <w:szCs w:val="20"/>
                <w:lang w:val="en-US"/>
              </w:rPr>
              <w:t>Non-linear risks can also appear during economic downturns. During a recession, the relationship between factors such as the unemployment rate and credit card default rates can be nonlinear. Credit card issuers may experience disproportionate levels of defaults, even with relatively small increases in the unemployment rate. Focus your investment portfolio:</w:t>
            </w:r>
          </w:p>
          <w:p w14:paraId="512EB394" w14:textId="77777777" w:rsidR="00B13673" w:rsidRPr="00AC63B4" w:rsidRDefault="00B13673" w:rsidP="00AC63B4">
            <w:pPr>
              <w:pStyle w:val="ListParagraph"/>
              <w:snapToGrid w:val="0"/>
              <w:ind w:left="360"/>
              <w:rPr>
                <w:rFonts w:cstheme="minorHAnsi"/>
                <w:sz w:val="20"/>
                <w:szCs w:val="20"/>
                <w:lang w:val="en-US"/>
              </w:rPr>
            </w:pPr>
            <w:r w:rsidRPr="00AC63B4">
              <w:rPr>
                <w:rFonts w:cstheme="minorHAnsi"/>
                <w:sz w:val="20"/>
                <w:szCs w:val="20"/>
                <w:lang w:val="en-US"/>
              </w:rPr>
              <w:t>If a credit card issuer has a significant concentration of credit card loans in a particular segment (e.g., subprime borrowers), the risk of non-linearity may become more apparent. Indeed, the credit risk associated with subprime borrowers can be very sensitive to economic conditions and other factors.</w:t>
            </w:r>
          </w:p>
          <w:p w14:paraId="07AC28AF" w14:textId="77777777" w:rsidR="00B13673" w:rsidRPr="00AC63B4" w:rsidRDefault="00B13673" w:rsidP="00AC63B4">
            <w:pPr>
              <w:pStyle w:val="ListParagraph"/>
              <w:snapToGrid w:val="0"/>
              <w:ind w:left="360"/>
              <w:rPr>
                <w:rFonts w:cstheme="minorHAnsi"/>
                <w:sz w:val="20"/>
                <w:szCs w:val="20"/>
                <w:lang w:val="en-US"/>
              </w:rPr>
            </w:pPr>
          </w:p>
          <w:p w14:paraId="72A174F9" w14:textId="77777777" w:rsidR="00B13673" w:rsidRPr="00AC63B4" w:rsidRDefault="00B13673" w:rsidP="00AC63B4">
            <w:pPr>
              <w:pStyle w:val="ListParagraph"/>
              <w:snapToGrid w:val="0"/>
              <w:ind w:left="360"/>
              <w:rPr>
                <w:rFonts w:cstheme="minorHAnsi"/>
                <w:sz w:val="20"/>
                <w:szCs w:val="20"/>
                <w:lang w:val="en-US"/>
              </w:rPr>
            </w:pPr>
            <w:r w:rsidRPr="00AC63B4">
              <w:rPr>
                <w:rFonts w:cstheme="minorHAnsi"/>
                <w:sz w:val="20"/>
                <w:szCs w:val="20"/>
                <w:lang w:val="en-US"/>
              </w:rPr>
              <w:t xml:space="preserve"> Credit limit management:</w:t>
            </w:r>
          </w:p>
          <w:p w14:paraId="2D5A6F4C" w14:textId="2D2A2033" w:rsidR="00B13673" w:rsidRPr="008C068C" w:rsidRDefault="00B13673" w:rsidP="00AC63B4">
            <w:pPr>
              <w:pStyle w:val="ListParagraph"/>
              <w:snapToGrid w:val="0"/>
              <w:ind w:left="360"/>
              <w:contextualSpacing w:val="0"/>
              <w:rPr>
                <w:rFonts w:cstheme="minorHAnsi"/>
                <w:sz w:val="20"/>
                <w:szCs w:val="20"/>
                <w:lang w:val="en-US"/>
              </w:rPr>
            </w:pPr>
            <w:r w:rsidRPr="00AC63B4">
              <w:rPr>
                <w:rFonts w:cstheme="minorHAnsi"/>
                <w:sz w:val="20"/>
                <w:szCs w:val="20"/>
                <w:lang w:val="en-US"/>
              </w:rPr>
              <w:t>Credit card issuers often adjust cardholders' credit limits based on their credit behavior and financial situation. Non-linear risks can arise when these adjustments do not have a linear impact on the borrower's ability to manage debt. For example, reducing a borrower's credit limit does not necessarily reduce their default risk proportionately.</w:t>
            </w:r>
          </w:p>
        </w:tc>
      </w:tr>
    </w:tbl>
    <w:p w14:paraId="404CA4D0" w14:textId="77777777" w:rsidR="00B13673" w:rsidRDefault="00B13673" w:rsidP="00B13673">
      <w:pPr>
        <w:pStyle w:val="ListParagraph"/>
        <w:snapToGrid w:val="0"/>
        <w:spacing w:after="0" w:line="240" w:lineRule="auto"/>
        <w:ind w:left="576"/>
        <w:contextualSpacing w:val="0"/>
        <w:rPr>
          <w:rFonts w:cstheme="minorHAnsi"/>
          <w:b/>
          <w:bCs/>
          <w:sz w:val="20"/>
          <w:szCs w:val="20"/>
          <w:lang w:val="en-US"/>
        </w:rPr>
      </w:pPr>
    </w:p>
    <w:p w14:paraId="6F2760F3" w14:textId="77777777" w:rsidR="00B13673" w:rsidRDefault="00B13673" w:rsidP="00B13673">
      <w:pPr>
        <w:pStyle w:val="ListParagraph"/>
        <w:snapToGrid w:val="0"/>
        <w:spacing w:after="0" w:line="240" w:lineRule="auto"/>
        <w:ind w:left="576"/>
        <w:contextualSpacing w:val="0"/>
        <w:rPr>
          <w:rFonts w:cstheme="minorHAnsi"/>
          <w:b/>
          <w:bCs/>
          <w:sz w:val="20"/>
          <w:szCs w:val="20"/>
          <w:lang w:val="en-US"/>
        </w:rPr>
      </w:pPr>
    </w:p>
    <w:p w14:paraId="13E9EA94" w14:textId="77777777" w:rsidR="005606AE" w:rsidRDefault="005606AE" w:rsidP="00B13673">
      <w:pPr>
        <w:pStyle w:val="ListParagraph"/>
        <w:snapToGrid w:val="0"/>
        <w:spacing w:after="0" w:line="240" w:lineRule="auto"/>
        <w:ind w:left="576"/>
        <w:contextualSpacing w:val="0"/>
        <w:rPr>
          <w:rFonts w:cstheme="minorHAnsi"/>
          <w:b/>
          <w:bCs/>
          <w:sz w:val="20"/>
          <w:szCs w:val="20"/>
          <w:lang w:val="en-US"/>
        </w:rPr>
      </w:pPr>
    </w:p>
    <w:p w14:paraId="4EB7E366" w14:textId="4737BCA3" w:rsidR="002F4043" w:rsidRPr="00B13673" w:rsidRDefault="00B44FF7" w:rsidP="00907CE2">
      <w:pPr>
        <w:pStyle w:val="ListParagraph"/>
        <w:numPr>
          <w:ilvl w:val="1"/>
          <w:numId w:val="1"/>
        </w:numPr>
        <w:snapToGrid w:val="0"/>
        <w:spacing w:after="0" w:line="240" w:lineRule="auto"/>
        <w:contextualSpacing w:val="0"/>
        <w:rPr>
          <w:rFonts w:cstheme="minorHAnsi"/>
          <w:b/>
          <w:bCs/>
          <w:sz w:val="20"/>
          <w:szCs w:val="20"/>
          <w:lang w:val="en-US"/>
        </w:rPr>
      </w:pPr>
      <w:r w:rsidRPr="00B13673">
        <w:rPr>
          <w:rFonts w:cstheme="minorHAnsi"/>
          <w:b/>
          <w:bCs/>
          <w:sz w:val="20"/>
          <w:szCs w:val="20"/>
          <w:lang w:val="en-US"/>
        </w:rPr>
        <w:lastRenderedPageBreak/>
        <w:t xml:space="preserve">Student Oratile - </w:t>
      </w:r>
      <w:r w:rsidRPr="00B13673">
        <w:rPr>
          <w:rFonts w:cstheme="minorHAnsi"/>
          <w:b/>
          <w:bCs/>
          <w:sz w:val="20"/>
          <w:szCs w:val="20"/>
        </w:rPr>
        <w:t>Personal unsecured loan at floating rate Car loan or home loan</w:t>
      </w:r>
      <w:r w:rsidRPr="00B13673">
        <w:rPr>
          <w:rFonts w:cstheme="minorHAnsi"/>
          <w:b/>
          <w:bCs/>
          <w:sz w:val="20"/>
          <w:szCs w:val="20"/>
          <w:lang w:val="en-US"/>
        </w:rPr>
        <w:t xml:space="preserve"> </w:t>
      </w:r>
      <w:r w:rsidR="00FA4CCF" w:rsidRPr="00B13673">
        <w:rPr>
          <w:rFonts w:cstheme="minorHAnsi"/>
          <w:b/>
          <w:bCs/>
          <w:sz w:val="20"/>
          <w:szCs w:val="20"/>
          <w:lang w:val="en-US"/>
        </w:rPr>
        <w:t>risk</w:t>
      </w:r>
    </w:p>
    <w:p w14:paraId="0FBC343F" w14:textId="77777777" w:rsidR="005C615C" w:rsidRDefault="005C615C" w:rsidP="00750815">
      <w:pPr>
        <w:pStyle w:val="ListParagraph"/>
        <w:snapToGrid w:val="0"/>
        <w:spacing w:after="0" w:line="240" w:lineRule="auto"/>
        <w:ind w:left="936"/>
        <w:contextualSpacing w:val="0"/>
        <w:rPr>
          <w:rFonts w:cstheme="minorHAnsi"/>
          <w:b/>
          <w:bCs/>
          <w:sz w:val="20"/>
          <w:szCs w:val="20"/>
          <w:lang w:val="en-US"/>
        </w:rPr>
      </w:pPr>
    </w:p>
    <w:tbl>
      <w:tblPr>
        <w:tblStyle w:val="TableGrid"/>
        <w:tblW w:w="0" w:type="auto"/>
        <w:tblLook w:val="04A0" w:firstRow="1" w:lastRow="0" w:firstColumn="1" w:lastColumn="0" w:noHBand="0" w:noVBand="1"/>
      </w:tblPr>
      <w:tblGrid>
        <w:gridCol w:w="473"/>
        <w:gridCol w:w="7435"/>
        <w:gridCol w:w="7680"/>
      </w:tblGrid>
      <w:tr w:rsidR="00B13673" w14:paraId="726E1DC8" w14:textId="77777777" w:rsidTr="00B13673">
        <w:tc>
          <w:tcPr>
            <w:tcW w:w="0" w:type="auto"/>
            <w:shd w:val="clear" w:color="auto" w:fill="F2F2F2" w:themeFill="background1" w:themeFillShade="F2"/>
            <w:textDirection w:val="btLr"/>
          </w:tcPr>
          <w:p w14:paraId="2E4EEFE3" w14:textId="77777777" w:rsidR="00B13673" w:rsidRDefault="00B13673" w:rsidP="00B44FF7">
            <w:pPr>
              <w:pStyle w:val="ListParagraph"/>
              <w:snapToGrid w:val="0"/>
              <w:ind w:left="113" w:right="113"/>
              <w:contextualSpacing w:val="0"/>
              <w:jc w:val="center"/>
              <w:rPr>
                <w:rFonts w:cstheme="minorHAnsi"/>
                <w:b/>
                <w:bCs/>
                <w:sz w:val="20"/>
                <w:szCs w:val="20"/>
                <w:lang w:val="en-US"/>
              </w:rPr>
            </w:pPr>
          </w:p>
        </w:tc>
        <w:tc>
          <w:tcPr>
            <w:tcW w:w="7435" w:type="dxa"/>
            <w:shd w:val="clear" w:color="auto" w:fill="auto"/>
          </w:tcPr>
          <w:p w14:paraId="2555ACBC" w14:textId="25BEC537" w:rsidR="00B13673" w:rsidRPr="009C3C08" w:rsidRDefault="005606AE" w:rsidP="00AC63B4">
            <w:pPr>
              <w:pStyle w:val="ListParagraph"/>
              <w:snapToGrid w:val="0"/>
              <w:ind w:left="360"/>
              <w:rPr>
                <w:rFonts w:cstheme="minorHAnsi"/>
                <w:b/>
                <w:bCs/>
                <w:sz w:val="20"/>
                <w:szCs w:val="20"/>
                <w:lang w:val="en-US"/>
              </w:rPr>
            </w:pPr>
            <w:r w:rsidRPr="009C3C08">
              <w:rPr>
                <w:rFonts w:cstheme="minorHAnsi"/>
                <w:b/>
                <w:bCs/>
                <w:sz w:val="20"/>
                <w:szCs w:val="20"/>
                <w:lang w:val="en-US"/>
              </w:rPr>
              <w:t>LEVERAGE</w:t>
            </w:r>
          </w:p>
        </w:tc>
        <w:tc>
          <w:tcPr>
            <w:tcW w:w="7680" w:type="dxa"/>
            <w:shd w:val="clear" w:color="auto" w:fill="auto"/>
          </w:tcPr>
          <w:p w14:paraId="62D076E5" w14:textId="41CFFFED" w:rsidR="00B13673" w:rsidRPr="009C3C08" w:rsidRDefault="005606AE" w:rsidP="00AC63B4">
            <w:pPr>
              <w:pStyle w:val="ListParagraph"/>
              <w:snapToGrid w:val="0"/>
              <w:ind w:left="360"/>
              <w:rPr>
                <w:rFonts w:cstheme="minorHAnsi"/>
                <w:b/>
                <w:bCs/>
                <w:sz w:val="20"/>
                <w:szCs w:val="20"/>
                <w:lang w:val="en-US"/>
              </w:rPr>
            </w:pPr>
            <w:r w:rsidRPr="009C3C08">
              <w:rPr>
                <w:rFonts w:cstheme="minorHAnsi"/>
                <w:b/>
                <w:bCs/>
                <w:sz w:val="20"/>
                <w:szCs w:val="20"/>
                <w:lang w:val="en-US"/>
              </w:rPr>
              <w:t>NON-LINEARITY</w:t>
            </w:r>
          </w:p>
        </w:tc>
      </w:tr>
      <w:tr w:rsidR="00B13673" w14:paraId="2215F455" w14:textId="77777777" w:rsidTr="00B13673">
        <w:tc>
          <w:tcPr>
            <w:tcW w:w="0" w:type="auto"/>
            <w:shd w:val="clear" w:color="auto" w:fill="F2F2F2" w:themeFill="background1" w:themeFillShade="F2"/>
            <w:textDirection w:val="btLr"/>
          </w:tcPr>
          <w:p w14:paraId="0A03F88F" w14:textId="0E83BF5A" w:rsidR="00B13673" w:rsidRPr="007306AF" w:rsidRDefault="00B13673" w:rsidP="00B44FF7">
            <w:pPr>
              <w:pStyle w:val="ListParagraph"/>
              <w:snapToGrid w:val="0"/>
              <w:ind w:left="113" w:right="113"/>
              <w:contextualSpacing w:val="0"/>
              <w:jc w:val="center"/>
              <w:rPr>
                <w:rFonts w:cstheme="minorHAnsi"/>
                <w:b/>
                <w:bCs/>
                <w:sz w:val="20"/>
                <w:szCs w:val="20"/>
                <w:lang w:val="en-US"/>
              </w:rPr>
            </w:pPr>
            <w:r>
              <w:rPr>
                <w:rFonts w:cstheme="minorHAnsi"/>
                <w:b/>
                <w:bCs/>
                <w:sz w:val="20"/>
                <w:szCs w:val="20"/>
                <w:lang w:val="en-US"/>
              </w:rPr>
              <w:t>HOME OR AUTO-MOBILE LOAN</w:t>
            </w:r>
          </w:p>
        </w:tc>
        <w:tc>
          <w:tcPr>
            <w:tcW w:w="7435" w:type="dxa"/>
            <w:shd w:val="clear" w:color="auto" w:fill="auto"/>
          </w:tcPr>
          <w:p w14:paraId="63B3364A" w14:textId="77777777" w:rsidR="00B13673" w:rsidRPr="00AC63B4" w:rsidRDefault="00B13673" w:rsidP="00AC63B4">
            <w:pPr>
              <w:pStyle w:val="ListParagraph"/>
              <w:snapToGrid w:val="0"/>
              <w:ind w:left="360"/>
              <w:rPr>
                <w:rFonts w:cstheme="minorHAnsi"/>
                <w:sz w:val="20"/>
                <w:szCs w:val="20"/>
                <w:lang w:val="en-US"/>
              </w:rPr>
            </w:pPr>
            <w:r w:rsidRPr="00AC63B4">
              <w:rPr>
                <w:rFonts w:cstheme="minorHAnsi"/>
                <w:sz w:val="20"/>
                <w:szCs w:val="20"/>
                <w:lang w:val="en-US"/>
              </w:rPr>
              <w:t>Interest rate:</w:t>
            </w:r>
          </w:p>
          <w:p w14:paraId="6D36A7D2" w14:textId="030B55A6" w:rsidR="00B13673" w:rsidRPr="00AC63B4" w:rsidRDefault="00B13673" w:rsidP="00AC63B4">
            <w:pPr>
              <w:pStyle w:val="ListParagraph"/>
              <w:snapToGrid w:val="0"/>
              <w:ind w:left="360"/>
              <w:rPr>
                <w:rFonts w:cstheme="minorHAnsi"/>
                <w:sz w:val="20"/>
                <w:szCs w:val="20"/>
                <w:lang w:val="en-US"/>
              </w:rPr>
            </w:pPr>
            <w:r w:rsidRPr="00AC63B4">
              <w:rPr>
                <w:rFonts w:cstheme="minorHAnsi"/>
                <w:sz w:val="20"/>
                <w:szCs w:val="20"/>
                <w:lang w:val="en-US"/>
              </w:rPr>
              <w:t xml:space="preserve">When you borrow money to buy a house </w:t>
            </w:r>
            <w:r w:rsidR="005606AE" w:rsidRPr="00AC63B4">
              <w:rPr>
                <w:rFonts w:cstheme="minorHAnsi"/>
                <w:sz w:val="20"/>
                <w:szCs w:val="20"/>
                <w:lang w:val="en-US"/>
              </w:rPr>
              <w:t>or car</w:t>
            </w:r>
            <w:r w:rsidRPr="00AC63B4">
              <w:rPr>
                <w:rFonts w:cstheme="minorHAnsi"/>
                <w:sz w:val="20"/>
                <w:szCs w:val="20"/>
                <w:lang w:val="en-US"/>
              </w:rPr>
              <w:t xml:space="preserve">, you usually have to pay interest on the loan. Leverage risk appears when lending interest rates are high. High interest rates can significantly increase financing costs, making home or car ownership more </w:t>
            </w:r>
            <w:r w:rsidR="005606AE" w:rsidRPr="00AC63B4">
              <w:rPr>
                <w:rFonts w:cstheme="minorHAnsi"/>
                <w:sz w:val="20"/>
                <w:szCs w:val="20"/>
                <w:lang w:val="en-US"/>
              </w:rPr>
              <w:t>expensive over</w:t>
            </w:r>
            <w:r w:rsidRPr="00AC63B4">
              <w:rPr>
                <w:rFonts w:cstheme="minorHAnsi"/>
                <w:sz w:val="20"/>
                <w:szCs w:val="20"/>
                <w:lang w:val="en-US"/>
              </w:rPr>
              <w:t xml:space="preserve"> time.</w:t>
            </w:r>
          </w:p>
          <w:p w14:paraId="64D1158E" w14:textId="77777777" w:rsidR="00B13673" w:rsidRPr="00AC63B4" w:rsidRDefault="00B13673" w:rsidP="00AC63B4">
            <w:pPr>
              <w:pStyle w:val="ListParagraph"/>
              <w:snapToGrid w:val="0"/>
              <w:ind w:left="360"/>
              <w:rPr>
                <w:rFonts w:cstheme="minorHAnsi"/>
                <w:sz w:val="20"/>
                <w:szCs w:val="20"/>
                <w:lang w:val="en-US"/>
              </w:rPr>
            </w:pPr>
          </w:p>
          <w:p w14:paraId="4434C293" w14:textId="77777777" w:rsidR="00B13673" w:rsidRPr="00AC63B4" w:rsidRDefault="00B13673" w:rsidP="00AC63B4">
            <w:pPr>
              <w:pStyle w:val="ListParagraph"/>
              <w:snapToGrid w:val="0"/>
              <w:ind w:left="360"/>
              <w:rPr>
                <w:rFonts w:cstheme="minorHAnsi"/>
                <w:sz w:val="20"/>
                <w:szCs w:val="20"/>
                <w:lang w:val="en-US"/>
              </w:rPr>
            </w:pPr>
            <w:r w:rsidRPr="00AC63B4">
              <w:rPr>
                <w:rFonts w:cstheme="minorHAnsi"/>
                <w:sz w:val="20"/>
                <w:szCs w:val="20"/>
                <w:lang w:val="en-US"/>
              </w:rPr>
              <w:t xml:space="preserve"> Monthly payment:</w:t>
            </w:r>
          </w:p>
          <w:p w14:paraId="37196103" w14:textId="36898282" w:rsidR="00B13673" w:rsidRPr="00AC63B4" w:rsidRDefault="00B13673" w:rsidP="00AC63B4">
            <w:pPr>
              <w:pStyle w:val="ListParagraph"/>
              <w:snapToGrid w:val="0"/>
              <w:ind w:left="360"/>
              <w:rPr>
                <w:rFonts w:cstheme="minorHAnsi"/>
                <w:sz w:val="20"/>
                <w:szCs w:val="20"/>
                <w:lang w:val="en-US"/>
              </w:rPr>
            </w:pPr>
            <w:r w:rsidRPr="00AC63B4">
              <w:rPr>
                <w:rFonts w:cstheme="minorHAnsi"/>
                <w:sz w:val="20"/>
                <w:szCs w:val="20"/>
                <w:lang w:val="en-US"/>
              </w:rPr>
              <w:t xml:space="preserve">Taking advantage of a home </w:t>
            </w:r>
            <w:r w:rsidR="005606AE" w:rsidRPr="00AC63B4">
              <w:rPr>
                <w:rFonts w:cstheme="minorHAnsi"/>
                <w:sz w:val="20"/>
                <w:szCs w:val="20"/>
                <w:lang w:val="en-US"/>
              </w:rPr>
              <w:t>or car</w:t>
            </w:r>
            <w:r w:rsidRPr="00AC63B4">
              <w:rPr>
                <w:rFonts w:cstheme="minorHAnsi"/>
                <w:sz w:val="20"/>
                <w:szCs w:val="20"/>
                <w:lang w:val="en-US"/>
              </w:rPr>
              <w:t xml:space="preserve"> purchase can result in higher monthly loan payments. If your financial situation changes, such as losing your </w:t>
            </w:r>
            <w:r w:rsidR="005606AE" w:rsidRPr="00AC63B4">
              <w:rPr>
                <w:rFonts w:cstheme="minorHAnsi"/>
                <w:sz w:val="20"/>
                <w:szCs w:val="20"/>
                <w:lang w:val="en-US"/>
              </w:rPr>
              <w:t>job or</w:t>
            </w:r>
            <w:r w:rsidRPr="00AC63B4">
              <w:rPr>
                <w:rFonts w:cstheme="minorHAnsi"/>
                <w:sz w:val="20"/>
                <w:szCs w:val="20"/>
                <w:lang w:val="en-US"/>
              </w:rPr>
              <w:t xml:space="preserve"> unexpected expenses, you may have difficulty meeting these monthly payments, which could lead to default or financial difficulties. Depreciation:</w:t>
            </w:r>
          </w:p>
          <w:p w14:paraId="63AB813C" w14:textId="77777777" w:rsidR="00B13673" w:rsidRPr="00AC63B4" w:rsidRDefault="00B13673" w:rsidP="00AC63B4">
            <w:pPr>
              <w:pStyle w:val="ListParagraph"/>
              <w:snapToGrid w:val="0"/>
              <w:ind w:left="360"/>
              <w:rPr>
                <w:rFonts w:cstheme="minorHAnsi"/>
                <w:sz w:val="20"/>
                <w:szCs w:val="20"/>
                <w:lang w:val="en-US"/>
              </w:rPr>
            </w:pPr>
            <w:r w:rsidRPr="00AC63B4">
              <w:rPr>
                <w:rFonts w:cstheme="minorHAnsi"/>
                <w:sz w:val="20"/>
                <w:szCs w:val="20"/>
                <w:lang w:val="en-US"/>
              </w:rPr>
              <w:t>Cars, in particular, tend to lose value over time. If you borrow a large amount of money to buy a car and its value depreciates rapidly, you may find yourself owing more on the loan than the car is worth. This is called being “underwater” on your loan, and it can pose a significant financial risk if you need to sell or trade in the vehicle.</w:t>
            </w:r>
          </w:p>
          <w:p w14:paraId="4589D022" w14:textId="77777777" w:rsidR="00B13673" w:rsidRPr="00AC63B4" w:rsidRDefault="00B13673" w:rsidP="00AC63B4">
            <w:pPr>
              <w:pStyle w:val="ListParagraph"/>
              <w:snapToGrid w:val="0"/>
              <w:ind w:left="360"/>
              <w:rPr>
                <w:rFonts w:cstheme="minorHAnsi"/>
                <w:sz w:val="20"/>
                <w:szCs w:val="20"/>
                <w:lang w:val="en-US"/>
              </w:rPr>
            </w:pPr>
          </w:p>
          <w:p w14:paraId="5302936C" w14:textId="77777777" w:rsidR="00B13673" w:rsidRPr="00AC63B4" w:rsidRDefault="00B13673" w:rsidP="00AC63B4">
            <w:pPr>
              <w:pStyle w:val="ListParagraph"/>
              <w:snapToGrid w:val="0"/>
              <w:ind w:left="360"/>
              <w:rPr>
                <w:rFonts w:cstheme="minorHAnsi"/>
                <w:sz w:val="20"/>
                <w:szCs w:val="20"/>
                <w:lang w:val="en-US"/>
              </w:rPr>
            </w:pPr>
            <w:r w:rsidRPr="00AC63B4">
              <w:rPr>
                <w:rFonts w:cstheme="minorHAnsi"/>
                <w:sz w:val="20"/>
                <w:szCs w:val="20"/>
                <w:lang w:val="en-US"/>
              </w:rPr>
              <w:t xml:space="preserve"> House value fluctuations: </w:t>
            </w:r>
          </w:p>
          <w:p w14:paraId="24DE85BB" w14:textId="77777777" w:rsidR="00B13673" w:rsidRPr="00AC63B4" w:rsidRDefault="00B13673" w:rsidP="00AC63B4">
            <w:pPr>
              <w:pStyle w:val="ListParagraph"/>
              <w:snapToGrid w:val="0"/>
              <w:ind w:left="360"/>
              <w:rPr>
                <w:rFonts w:cstheme="minorHAnsi"/>
                <w:sz w:val="20"/>
                <w:szCs w:val="20"/>
                <w:lang w:val="en-US"/>
              </w:rPr>
            </w:pPr>
            <w:r w:rsidRPr="00AC63B4">
              <w:rPr>
                <w:rFonts w:cstheme="minorHAnsi"/>
                <w:sz w:val="20"/>
                <w:szCs w:val="20"/>
                <w:lang w:val="en-US"/>
              </w:rPr>
              <w:t xml:space="preserve"> Home values ​​can also fluctuate. If you take out a mortgage to buy a home and the housing market declines, the value of your home could drop below the amount you owe on your mortgage. This can make it difficult to sell your home or refinance your mortgage.</w:t>
            </w:r>
          </w:p>
          <w:p w14:paraId="07BD1534" w14:textId="77777777" w:rsidR="00B13673" w:rsidRPr="00AC63B4" w:rsidRDefault="00B13673" w:rsidP="00AC63B4">
            <w:pPr>
              <w:pStyle w:val="ListParagraph"/>
              <w:snapToGrid w:val="0"/>
              <w:ind w:left="360"/>
              <w:rPr>
                <w:rFonts w:cstheme="minorHAnsi"/>
                <w:sz w:val="20"/>
                <w:szCs w:val="20"/>
                <w:lang w:val="en-US"/>
              </w:rPr>
            </w:pPr>
          </w:p>
          <w:p w14:paraId="7BE31D31" w14:textId="77777777" w:rsidR="00B13673" w:rsidRPr="00AC63B4" w:rsidRDefault="00B13673" w:rsidP="00AC63B4">
            <w:pPr>
              <w:pStyle w:val="ListParagraph"/>
              <w:snapToGrid w:val="0"/>
              <w:ind w:left="360"/>
              <w:rPr>
                <w:rFonts w:cstheme="minorHAnsi"/>
                <w:sz w:val="20"/>
                <w:szCs w:val="20"/>
                <w:lang w:val="en-US"/>
              </w:rPr>
            </w:pPr>
            <w:r w:rsidRPr="00AC63B4">
              <w:rPr>
                <w:rFonts w:cstheme="minorHAnsi"/>
                <w:sz w:val="20"/>
                <w:szCs w:val="20"/>
                <w:lang w:val="en-US"/>
              </w:rPr>
              <w:t xml:space="preserve"> Credit risk:</w:t>
            </w:r>
          </w:p>
          <w:p w14:paraId="52E3CE92" w14:textId="5ACB1C22" w:rsidR="00B13673" w:rsidRPr="00AC63B4" w:rsidRDefault="00B13673" w:rsidP="00AC63B4">
            <w:pPr>
              <w:pStyle w:val="ListParagraph"/>
              <w:snapToGrid w:val="0"/>
              <w:ind w:left="360"/>
              <w:rPr>
                <w:rFonts w:cstheme="minorHAnsi"/>
                <w:sz w:val="20"/>
                <w:szCs w:val="20"/>
                <w:lang w:val="en-US"/>
              </w:rPr>
            </w:pPr>
            <w:r w:rsidRPr="00AC63B4">
              <w:rPr>
                <w:rFonts w:cstheme="minorHAnsi"/>
                <w:sz w:val="20"/>
                <w:szCs w:val="20"/>
                <w:lang w:val="en-US"/>
              </w:rPr>
              <w:t>If you use leverage to finance a house or a car, you are taking on debt. Failure to make timely loan payments can negatively impact your credit score, making borrowing more difficult and expensive in the future.</w:t>
            </w:r>
          </w:p>
          <w:p w14:paraId="087894EE" w14:textId="77777777" w:rsidR="00B13673" w:rsidRPr="00AC63B4" w:rsidRDefault="00B13673" w:rsidP="00AC63B4">
            <w:pPr>
              <w:pStyle w:val="ListParagraph"/>
              <w:snapToGrid w:val="0"/>
              <w:ind w:left="360"/>
              <w:rPr>
                <w:rFonts w:cstheme="minorHAnsi"/>
                <w:sz w:val="20"/>
                <w:szCs w:val="20"/>
                <w:lang w:val="en-US"/>
              </w:rPr>
            </w:pPr>
          </w:p>
          <w:p w14:paraId="14F6126E" w14:textId="77777777" w:rsidR="00B13673" w:rsidRPr="00AC63B4" w:rsidRDefault="00B13673" w:rsidP="00AC63B4">
            <w:pPr>
              <w:pStyle w:val="ListParagraph"/>
              <w:snapToGrid w:val="0"/>
              <w:ind w:left="360"/>
              <w:rPr>
                <w:rFonts w:cstheme="minorHAnsi"/>
                <w:sz w:val="20"/>
                <w:szCs w:val="20"/>
                <w:lang w:val="en-US"/>
              </w:rPr>
            </w:pPr>
            <w:r w:rsidRPr="00AC63B4">
              <w:rPr>
                <w:rFonts w:cstheme="minorHAnsi"/>
                <w:sz w:val="20"/>
                <w:szCs w:val="20"/>
                <w:lang w:val="en-US"/>
              </w:rPr>
              <w:t xml:space="preserve"> Loan conditions:</w:t>
            </w:r>
          </w:p>
          <w:p w14:paraId="24E9D28B" w14:textId="3F44C5F6" w:rsidR="00B13673" w:rsidRPr="0090261E" w:rsidRDefault="00B13673" w:rsidP="00AC63B4">
            <w:pPr>
              <w:pStyle w:val="ListParagraph"/>
              <w:snapToGrid w:val="0"/>
              <w:ind w:left="360"/>
              <w:contextualSpacing w:val="0"/>
              <w:rPr>
                <w:rFonts w:cstheme="minorHAnsi"/>
                <w:sz w:val="20"/>
                <w:szCs w:val="20"/>
                <w:lang w:val="en-US"/>
              </w:rPr>
            </w:pPr>
            <w:r w:rsidRPr="00AC63B4">
              <w:rPr>
                <w:rFonts w:cstheme="minorHAnsi"/>
                <w:sz w:val="20"/>
                <w:szCs w:val="20"/>
                <w:lang w:val="en-US"/>
              </w:rPr>
              <w:t>Loan terms can also introduce leverage risk. For example, adjustable-rate mortgages (ARMs) may result in higher monthly payments if interest rates increase. Balloon payments, where you receive a large lump sum payment at the end of the loan term, can also be a form of leverage risk.</w:t>
            </w:r>
          </w:p>
        </w:tc>
        <w:tc>
          <w:tcPr>
            <w:tcW w:w="7680" w:type="dxa"/>
            <w:shd w:val="clear" w:color="auto" w:fill="auto"/>
          </w:tcPr>
          <w:p w14:paraId="63964B69" w14:textId="77777777" w:rsidR="00B13673" w:rsidRPr="00AC63B4" w:rsidRDefault="00B13673" w:rsidP="00AC63B4">
            <w:pPr>
              <w:pStyle w:val="ListParagraph"/>
              <w:snapToGrid w:val="0"/>
              <w:ind w:left="360"/>
              <w:rPr>
                <w:rFonts w:cstheme="minorHAnsi"/>
                <w:sz w:val="20"/>
                <w:szCs w:val="20"/>
                <w:lang w:val="en-US"/>
              </w:rPr>
            </w:pPr>
            <w:r w:rsidRPr="00AC63B4">
              <w:rPr>
                <w:rFonts w:cstheme="minorHAnsi"/>
                <w:sz w:val="20"/>
                <w:szCs w:val="20"/>
                <w:lang w:val="en-US"/>
              </w:rPr>
              <w:t>Interest rate:</w:t>
            </w:r>
          </w:p>
          <w:p w14:paraId="17D7EAB7" w14:textId="77777777" w:rsidR="00B13673" w:rsidRPr="00AC63B4" w:rsidRDefault="00B13673" w:rsidP="00AC63B4">
            <w:pPr>
              <w:pStyle w:val="ListParagraph"/>
              <w:snapToGrid w:val="0"/>
              <w:ind w:left="360"/>
              <w:rPr>
                <w:rFonts w:cstheme="minorHAnsi"/>
                <w:sz w:val="20"/>
                <w:szCs w:val="20"/>
                <w:lang w:val="en-US"/>
              </w:rPr>
            </w:pPr>
            <w:r w:rsidRPr="00AC63B4">
              <w:rPr>
                <w:rFonts w:cstheme="minorHAnsi"/>
                <w:sz w:val="20"/>
                <w:szCs w:val="20"/>
                <w:lang w:val="en-US"/>
              </w:rPr>
              <w:t>Non-linear risk can be especially relevant when it comes to interest rates. Small changes in interest rates can have a significant impact on loan affordability. For example, a small increase in interest rates could cause some borrowers to default on their previous mortgage or auto loans, leading to higher default rates.</w:t>
            </w:r>
          </w:p>
          <w:p w14:paraId="515433B7" w14:textId="77777777" w:rsidR="00B13673" w:rsidRPr="00AC63B4" w:rsidRDefault="00B13673" w:rsidP="00AC63B4">
            <w:pPr>
              <w:pStyle w:val="ListParagraph"/>
              <w:snapToGrid w:val="0"/>
              <w:ind w:left="360"/>
              <w:rPr>
                <w:rFonts w:cstheme="minorHAnsi"/>
                <w:sz w:val="20"/>
                <w:szCs w:val="20"/>
                <w:lang w:val="en-US"/>
              </w:rPr>
            </w:pPr>
          </w:p>
          <w:p w14:paraId="2650C707" w14:textId="77777777" w:rsidR="00B13673" w:rsidRPr="00AC63B4" w:rsidRDefault="00B13673" w:rsidP="00AC63B4">
            <w:pPr>
              <w:pStyle w:val="ListParagraph"/>
              <w:snapToGrid w:val="0"/>
              <w:ind w:left="360"/>
              <w:rPr>
                <w:rFonts w:cstheme="minorHAnsi"/>
                <w:sz w:val="20"/>
                <w:szCs w:val="20"/>
                <w:lang w:val="en-US"/>
              </w:rPr>
            </w:pPr>
            <w:r w:rsidRPr="00AC63B4">
              <w:rPr>
                <w:rFonts w:cstheme="minorHAnsi"/>
                <w:sz w:val="20"/>
                <w:szCs w:val="20"/>
                <w:lang w:val="en-US"/>
              </w:rPr>
              <w:t xml:space="preserve"> Real estate and automobile market:</w:t>
            </w:r>
          </w:p>
          <w:p w14:paraId="03F01F54" w14:textId="77777777" w:rsidR="00B13673" w:rsidRPr="00AC63B4" w:rsidRDefault="00B13673" w:rsidP="00AC63B4">
            <w:pPr>
              <w:pStyle w:val="ListParagraph"/>
              <w:snapToGrid w:val="0"/>
              <w:ind w:left="360"/>
              <w:rPr>
                <w:rFonts w:cstheme="minorHAnsi"/>
                <w:sz w:val="20"/>
                <w:szCs w:val="20"/>
                <w:lang w:val="en-US"/>
              </w:rPr>
            </w:pPr>
            <w:r w:rsidRPr="00AC63B4">
              <w:rPr>
                <w:rFonts w:cstheme="minorHAnsi"/>
                <w:sz w:val="20"/>
                <w:szCs w:val="20"/>
                <w:lang w:val="en-US"/>
              </w:rPr>
              <w:t>Nonlinearity can also apply to the real estate and auto markets themselves. In a rapidly rising market, borrowers may assume that the value of their home or car will continue to rise, leaving them with more debt than they can handle. However, if the market changes suddenly, the value of these assets could decline, leaving the borrower with a loan larger than the value of the underlying collateral.</w:t>
            </w:r>
          </w:p>
          <w:p w14:paraId="2DEE8D71" w14:textId="77777777" w:rsidR="00B13673" w:rsidRPr="00AC63B4" w:rsidRDefault="00B13673" w:rsidP="00AC63B4">
            <w:pPr>
              <w:pStyle w:val="ListParagraph"/>
              <w:snapToGrid w:val="0"/>
              <w:ind w:left="360"/>
              <w:rPr>
                <w:rFonts w:cstheme="minorHAnsi"/>
                <w:sz w:val="20"/>
                <w:szCs w:val="20"/>
                <w:lang w:val="en-US"/>
              </w:rPr>
            </w:pPr>
          </w:p>
          <w:p w14:paraId="33B4FD2C" w14:textId="77777777" w:rsidR="00B13673" w:rsidRPr="00AC63B4" w:rsidRDefault="00B13673" w:rsidP="00AC63B4">
            <w:pPr>
              <w:pStyle w:val="ListParagraph"/>
              <w:snapToGrid w:val="0"/>
              <w:ind w:left="360"/>
              <w:rPr>
                <w:rFonts w:cstheme="minorHAnsi"/>
                <w:sz w:val="20"/>
                <w:szCs w:val="20"/>
                <w:lang w:val="en-US"/>
              </w:rPr>
            </w:pPr>
            <w:r w:rsidRPr="00AC63B4">
              <w:rPr>
                <w:rFonts w:cstheme="minorHAnsi"/>
                <w:sz w:val="20"/>
                <w:szCs w:val="20"/>
                <w:lang w:val="en-US"/>
              </w:rPr>
              <w:t xml:space="preserve"> Lending practices:</w:t>
            </w:r>
          </w:p>
          <w:p w14:paraId="416141A6" w14:textId="77777777" w:rsidR="00B13673" w:rsidRPr="00AC63B4" w:rsidRDefault="00B13673" w:rsidP="00AC63B4">
            <w:pPr>
              <w:pStyle w:val="ListParagraph"/>
              <w:snapToGrid w:val="0"/>
              <w:ind w:left="360"/>
              <w:rPr>
                <w:rFonts w:cstheme="minorHAnsi"/>
                <w:sz w:val="20"/>
                <w:szCs w:val="20"/>
                <w:lang w:val="en-US"/>
              </w:rPr>
            </w:pPr>
            <w:r w:rsidRPr="00AC63B4">
              <w:rPr>
                <w:rFonts w:cstheme="minorHAnsi"/>
                <w:sz w:val="20"/>
                <w:szCs w:val="20"/>
                <w:lang w:val="en-US"/>
              </w:rPr>
              <w:t>Lenders can also contribute to non-linear risk by offering loans with variable interest rates or loans that only allow interest payments over a certain period of time. These features may initially make loans  more affordable, but can result in much higher payments as interest rates increase or principal payments take effect.</w:t>
            </w:r>
          </w:p>
          <w:p w14:paraId="4B204DC7" w14:textId="77777777" w:rsidR="00B13673" w:rsidRPr="00AC63B4" w:rsidRDefault="00B13673" w:rsidP="00AC63B4">
            <w:pPr>
              <w:pStyle w:val="ListParagraph"/>
              <w:snapToGrid w:val="0"/>
              <w:ind w:left="360"/>
              <w:rPr>
                <w:rFonts w:cstheme="minorHAnsi"/>
                <w:sz w:val="20"/>
                <w:szCs w:val="20"/>
                <w:lang w:val="en-US"/>
              </w:rPr>
            </w:pPr>
          </w:p>
          <w:p w14:paraId="3154A848" w14:textId="77777777" w:rsidR="00B13673" w:rsidRPr="00AC63B4" w:rsidRDefault="00B13673" w:rsidP="00AC63B4">
            <w:pPr>
              <w:pStyle w:val="ListParagraph"/>
              <w:snapToGrid w:val="0"/>
              <w:ind w:left="360"/>
              <w:rPr>
                <w:rFonts w:cstheme="minorHAnsi"/>
                <w:sz w:val="20"/>
                <w:szCs w:val="20"/>
                <w:lang w:val="en-US"/>
              </w:rPr>
            </w:pPr>
            <w:r w:rsidRPr="00AC63B4">
              <w:rPr>
                <w:rFonts w:cstheme="minorHAnsi"/>
                <w:sz w:val="20"/>
                <w:szCs w:val="20"/>
                <w:lang w:val="en-US"/>
              </w:rPr>
              <w:t xml:space="preserve"> Economic factors:</w:t>
            </w:r>
          </w:p>
          <w:p w14:paraId="17C89598" w14:textId="5745A83C" w:rsidR="00B13673" w:rsidRPr="00AC63B4" w:rsidRDefault="00B13673" w:rsidP="00AC63B4">
            <w:pPr>
              <w:pStyle w:val="ListParagraph"/>
              <w:snapToGrid w:val="0"/>
              <w:ind w:left="360"/>
              <w:rPr>
                <w:rFonts w:cstheme="minorHAnsi"/>
                <w:sz w:val="20"/>
                <w:szCs w:val="20"/>
                <w:lang w:val="en-US"/>
              </w:rPr>
            </w:pPr>
            <w:r w:rsidRPr="00AC63B4">
              <w:rPr>
                <w:rFonts w:cstheme="minorHAnsi"/>
                <w:sz w:val="20"/>
                <w:szCs w:val="20"/>
                <w:lang w:val="en-US"/>
              </w:rPr>
              <w:t>Non-linearity risks may become more severe during economic downturns. For example, during a recession, job losses can have a disproportionate impact on a borrower's ability to repay debt. This could lead to a greater increase in defaults than would be predicted by a simple linear model.</w:t>
            </w:r>
          </w:p>
          <w:p w14:paraId="051FADFB" w14:textId="77777777" w:rsidR="00B13673" w:rsidRPr="00AC63B4" w:rsidRDefault="00B13673" w:rsidP="00AC63B4">
            <w:pPr>
              <w:pStyle w:val="ListParagraph"/>
              <w:snapToGrid w:val="0"/>
              <w:ind w:left="360"/>
              <w:rPr>
                <w:rFonts w:cstheme="minorHAnsi"/>
                <w:sz w:val="20"/>
                <w:szCs w:val="20"/>
                <w:lang w:val="en-US"/>
              </w:rPr>
            </w:pPr>
          </w:p>
          <w:p w14:paraId="2B622DC8" w14:textId="77777777" w:rsidR="00B13673" w:rsidRPr="00AC63B4" w:rsidRDefault="00B13673" w:rsidP="00AC63B4">
            <w:pPr>
              <w:pStyle w:val="ListParagraph"/>
              <w:snapToGrid w:val="0"/>
              <w:ind w:left="360"/>
              <w:rPr>
                <w:rFonts w:cstheme="minorHAnsi"/>
                <w:sz w:val="20"/>
                <w:szCs w:val="20"/>
                <w:lang w:val="en-US"/>
              </w:rPr>
            </w:pPr>
            <w:r w:rsidRPr="00AC63B4">
              <w:rPr>
                <w:rFonts w:cstheme="minorHAnsi"/>
                <w:sz w:val="20"/>
                <w:szCs w:val="20"/>
                <w:lang w:val="en-US"/>
              </w:rPr>
              <w:t xml:space="preserve"> Regulation changes:</w:t>
            </w:r>
          </w:p>
          <w:p w14:paraId="708322F3" w14:textId="77777777" w:rsidR="00B13673" w:rsidRPr="00AC63B4" w:rsidRDefault="00B13673" w:rsidP="00AC63B4">
            <w:pPr>
              <w:pStyle w:val="ListParagraph"/>
              <w:snapToGrid w:val="0"/>
              <w:ind w:left="360"/>
              <w:rPr>
                <w:rFonts w:cstheme="minorHAnsi"/>
                <w:sz w:val="20"/>
                <w:szCs w:val="20"/>
                <w:lang w:val="en-US"/>
              </w:rPr>
            </w:pPr>
            <w:r w:rsidRPr="00AC63B4">
              <w:rPr>
                <w:rFonts w:cstheme="minorHAnsi"/>
                <w:sz w:val="20"/>
                <w:szCs w:val="20"/>
                <w:lang w:val="en-US"/>
              </w:rPr>
              <w:t>Changes in regulations related to lending activities can also create non-linear risks. For example, new regulations restricting certain lending activities or requiring stricter underwriting standards could suddenly limit borrowers' access to credit, leading to changes surprise in lending efficiency.</w:t>
            </w:r>
          </w:p>
          <w:p w14:paraId="71E0C78D" w14:textId="77777777" w:rsidR="00B13673" w:rsidRPr="00AC63B4" w:rsidRDefault="00B13673" w:rsidP="00AC63B4">
            <w:pPr>
              <w:pStyle w:val="ListParagraph"/>
              <w:snapToGrid w:val="0"/>
              <w:ind w:left="360"/>
              <w:rPr>
                <w:rFonts w:cstheme="minorHAnsi"/>
                <w:sz w:val="20"/>
                <w:szCs w:val="20"/>
                <w:lang w:val="en-US"/>
              </w:rPr>
            </w:pPr>
          </w:p>
          <w:p w14:paraId="57544F0D" w14:textId="77777777" w:rsidR="00B13673" w:rsidRPr="00AC63B4" w:rsidRDefault="00B13673" w:rsidP="00AC63B4">
            <w:pPr>
              <w:pStyle w:val="ListParagraph"/>
              <w:snapToGrid w:val="0"/>
              <w:ind w:left="360"/>
              <w:rPr>
                <w:rFonts w:cstheme="minorHAnsi"/>
                <w:sz w:val="20"/>
                <w:szCs w:val="20"/>
                <w:lang w:val="en-US"/>
              </w:rPr>
            </w:pPr>
            <w:r w:rsidRPr="00AC63B4">
              <w:rPr>
                <w:rFonts w:cstheme="minorHAnsi"/>
                <w:sz w:val="20"/>
                <w:szCs w:val="20"/>
                <w:lang w:val="en-US"/>
              </w:rPr>
              <w:t xml:space="preserve"> Behavioral factors:</w:t>
            </w:r>
          </w:p>
          <w:p w14:paraId="788504CC" w14:textId="5869960A" w:rsidR="00B13673" w:rsidRPr="008C068C" w:rsidRDefault="00B13673" w:rsidP="00AC63B4">
            <w:pPr>
              <w:pStyle w:val="ListParagraph"/>
              <w:snapToGrid w:val="0"/>
              <w:ind w:left="360"/>
              <w:contextualSpacing w:val="0"/>
              <w:rPr>
                <w:rFonts w:cstheme="minorHAnsi"/>
                <w:sz w:val="20"/>
                <w:szCs w:val="20"/>
                <w:lang w:val="en-US"/>
              </w:rPr>
            </w:pPr>
            <w:r w:rsidRPr="00AC63B4">
              <w:rPr>
                <w:rFonts w:cstheme="minorHAnsi"/>
                <w:sz w:val="20"/>
                <w:szCs w:val="20"/>
                <w:lang w:val="en-US"/>
              </w:rPr>
              <w:t>Human behavior can also cause non-linear risk. Borrowers may make financial decisions based on their emotions or speculative beliefs about the housing or auto markets, which can lead to non-linear outcomes.</w:t>
            </w:r>
          </w:p>
        </w:tc>
      </w:tr>
    </w:tbl>
    <w:p w14:paraId="422D07C3" w14:textId="77777777" w:rsidR="005C615C" w:rsidRDefault="005C615C" w:rsidP="00750815">
      <w:pPr>
        <w:pStyle w:val="ListParagraph"/>
        <w:snapToGrid w:val="0"/>
        <w:spacing w:after="0" w:line="240" w:lineRule="auto"/>
        <w:ind w:left="936"/>
        <w:contextualSpacing w:val="0"/>
        <w:rPr>
          <w:rFonts w:cstheme="minorHAnsi"/>
          <w:b/>
          <w:bCs/>
          <w:sz w:val="20"/>
          <w:szCs w:val="20"/>
          <w:lang w:val="en-US"/>
        </w:rPr>
      </w:pPr>
    </w:p>
    <w:p w14:paraId="567FA98B" w14:textId="77777777" w:rsidR="002F4043" w:rsidRPr="002F4043" w:rsidRDefault="00B44FF7" w:rsidP="00750815">
      <w:pPr>
        <w:pStyle w:val="ListParagraph"/>
        <w:numPr>
          <w:ilvl w:val="1"/>
          <w:numId w:val="1"/>
        </w:numPr>
        <w:snapToGrid w:val="0"/>
        <w:spacing w:after="0" w:line="240" w:lineRule="auto"/>
        <w:contextualSpacing w:val="0"/>
        <w:rPr>
          <w:rFonts w:cstheme="minorHAnsi"/>
          <w:b/>
          <w:bCs/>
          <w:sz w:val="20"/>
          <w:szCs w:val="20"/>
          <w:lang w:val="en-US"/>
        </w:rPr>
      </w:pPr>
      <w:r w:rsidRPr="002F4043">
        <w:rPr>
          <w:rFonts w:cstheme="minorHAnsi"/>
          <w:b/>
          <w:bCs/>
          <w:sz w:val="20"/>
          <w:szCs w:val="20"/>
          <w:lang w:val="en-US"/>
        </w:rPr>
        <w:lastRenderedPageBreak/>
        <w:t>Student:</w:t>
      </w:r>
      <w:r w:rsidRPr="002F4043">
        <w:rPr>
          <w:rFonts w:cstheme="minorHAnsi"/>
          <w:b/>
          <w:bCs/>
          <w:sz w:val="20"/>
          <w:szCs w:val="20"/>
        </w:rPr>
        <w:t xml:space="preserve"> </w:t>
      </w:r>
      <w:r w:rsidRPr="002F4043">
        <w:rPr>
          <w:rFonts w:cstheme="minorHAnsi"/>
          <w:b/>
          <w:bCs/>
          <w:sz w:val="20"/>
          <w:szCs w:val="20"/>
          <w:lang w:val="en-US"/>
        </w:rPr>
        <w:t xml:space="preserve">Ebenezer Construction Business loan at fixed rate </w:t>
      </w:r>
      <w:r w:rsidR="00FA4CCF">
        <w:rPr>
          <w:rFonts w:cstheme="minorHAnsi"/>
          <w:b/>
          <w:bCs/>
          <w:sz w:val="20"/>
          <w:szCs w:val="20"/>
          <w:lang w:val="en-US"/>
        </w:rPr>
        <w:t>Risk</w:t>
      </w:r>
    </w:p>
    <w:p w14:paraId="7A981907" w14:textId="77777777" w:rsidR="002F4043" w:rsidRDefault="002F4043" w:rsidP="00750815">
      <w:pPr>
        <w:pStyle w:val="ListParagraph"/>
        <w:snapToGrid w:val="0"/>
        <w:spacing w:after="0" w:line="240" w:lineRule="auto"/>
        <w:ind w:left="936"/>
        <w:contextualSpacing w:val="0"/>
        <w:rPr>
          <w:rFonts w:cstheme="minorHAnsi"/>
          <w:b/>
          <w:bCs/>
          <w:sz w:val="20"/>
          <w:szCs w:val="20"/>
          <w:lang w:val="en-US"/>
        </w:rPr>
      </w:pPr>
    </w:p>
    <w:tbl>
      <w:tblPr>
        <w:tblStyle w:val="TableGrid"/>
        <w:tblW w:w="0" w:type="auto"/>
        <w:tblLook w:val="04A0" w:firstRow="1" w:lastRow="0" w:firstColumn="1" w:lastColumn="0" w:noHBand="0" w:noVBand="1"/>
      </w:tblPr>
      <w:tblGrid>
        <w:gridCol w:w="473"/>
        <w:gridCol w:w="318"/>
        <w:gridCol w:w="1255"/>
        <w:gridCol w:w="6612"/>
        <w:gridCol w:w="6750"/>
      </w:tblGrid>
      <w:tr w:rsidR="00F617BE" w14:paraId="4BC83DF0" w14:textId="77777777" w:rsidTr="00FB7443">
        <w:tc>
          <w:tcPr>
            <w:tcW w:w="2046" w:type="dxa"/>
            <w:gridSpan w:val="3"/>
            <w:vMerge w:val="restart"/>
            <w:shd w:val="clear" w:color="auto" w:fill="F2F2F2" w:themeFill="background1" w:themeFillShade="F2"/>
            <w:vAlign w:val="center"/>
          </w:tcPr>
          <w:p w14:paraId="7450C0EA" w14:textId="77777777" w:rsidR="00F617BE" w:rsidRPr="007306AF" w:rsidRDefault="00F617BE" w:rsidP="00FB7443">
            <w:pPr>
              <w:pStyle w:val="ListParagraph"/>
              <w:snapToGrid w:val="0"/>
              <w:ind w:left="0"/>
              <w:contextualSpacing w:val="0"/>
              <w:jc w:val="center"/>
              <w:rPr>
                <w:rFonts w:cstheme="minorHAnsi"/>
                <w:b/>
                <w:bCs/>
                <w:sz w:val="20"/>
                <w:szCs w:val="20"/>
                <w:lang w:val="en-US"/>
              </w:rPr>
            </w:pPr>
            <w:r w:rsidRPr="007306AF">
              <w:rPr>
                <w:rFonts w:cstheme="minorHAnsi"/>
                <w:b/>
                <w:bCs/>
                <w:sz w:val="20"/>
                <w:szCs w:val="20"/>
                <w:lang w:val="en-US"/>
              </w:rPr>
              <w:t>Table 1</w:t>
            </w:r>
          </w:p>
        </w:tc>
        <w:tc>
          <w:tcPr>
            <w:tcW w:w="13362" w:type="dxa"/>
            <w:gridSpan w:val="2"/>
            <w:shd w:val="clear" w:color="auto" w:fill="F2F2F2" w:themeFill="background1" w:themeFillShade="F2"/>
            <w:vAlign w:val="center"/>
          </w:tcPr>
          <w:p w14:paraId="5905BA48" w14:textId="77777777" w:rsidR="00F617BE" w:rsidRPr="007306AF" w:rsidRDefault="00F617BE" w:rsidP="00FB7443">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Magnifying</w:t>
            </w:r>
            <w:r w:rsidRPr="007306AF">
              <w:rPr>
                <w:rFonts w:cstheme="minorHAnsi"/>
                <w:b/>
                <w:bCs/>
                <w:sz w:val="20"/>
                <w:szCs w:val="20"/>
                <w:lang w:val="en-US"/>
              </w:rPr>
              <w:t xml:space="preserve"> Risk</w:t>
            </w:r>
          </w:p>
        </w:tc>
      </w:tr>
      <w:tr w:rsidR="00F617BE" w14:paraId="41A4E850" w14:textId="77777777" w:rsidTr="00FB7443">
        <w:tc>
          <w:tcPr>
            <w:tcW w:w="2046" w:type="dxa"/>
            <w:gridSpan w:val="3"/>
            <w:vMerge/>
            <w:shd w:val="clear" w:color="auto" w:fill="F2F2F2" w:themeFill="background1" w:themeFillShade="F2"/>
          </w:tcPr>
          <w:p w14:paraId="7A06EA29" w14:textId="77777777" w:rsidR="00F617BE" w:rsidRPr="007306AF" w:rsidRDefault="00F617BE" w:rsidP="00FB7443">
            <w:pPr>
              <w:pStyle w:val="ListParagraph"/>
              <w:snapToGrid w:val="0"/>
              <w:ind w:left="0"/>
              <w:contextualSpacing w:val="0"/>
              <w:jc w:val="center"/>
              <w:rPr>
                <w:rFonts w:cstheme="minorHAnsi"/>
                <w:b/>
                <w:bCs/>
                <w:sz w:val="20"/>
                <w:szCs w:val="20"/>
                <w:lang w:val="en-US"/>
              </w:rPr>
            </w:pPr>
          </w:p>
        </w:tc>
        <w:tc>
          <w:tcPr>
            <w:tcW w:w="6612" w:type="dxa"/>
            <w:shd w:val="clear" w:color="auto" w:fill="F2F2F2" w:themeFill="background1" w:themeFillShade="F2"/>
          </w:tcPr>
          <w:p w14:paraId="76520E84" w14:textId="77777777" w:rsidR="00F617BE" w:rsidRPr="003A65F8" w:rsidRDefault="00F617BE" w:rsidP="00FB7443">
            <w:pPr>
              <w:pStyle w:val="ListParagraph"/>
              <w:snapToGrid w:val="0"/>
              <w:ind w:left="0"/>
              <w:contextualSpacing w:val="0"/>
              <w:jc w:val="center"/>
              <w:rPr>
                <w:rFonts w:cstheme="minorHAnsi"/>
                <w:b/>
                <w:bCs/>
                <w:sz w:val="20"/>
                <w:szCs w:val="20"/>
                <w:lang w:val="en-US"/>
              </w:rPr>
            </w:pPr>
            <w:r w:rsidRPr="003A65F8">
              <w:rPr>
                <w:b/>
                <w:bCs/>
              </w:rPr>
              <w:t>Leverage Challenges</w:t>
            </w:r>
          </w:p>
        </w:tc>
        <w:tc>
          <w:tcPr>
            <w:tcW w:w="6750" w:type="dxa"/>
            <w:shd w:val="clear" w:color="auto" w:fill="F2F2F2" w:themeFill="background1" w:themeFillShade="F2"/>
            <w:vAlign w:val="center"/>
          </w:tcPr>
          <w:p w14:paraId="4503E63F" w14:textId="77777777" w:rsidR="00F617BE" w:rsidRPr="007306AF" w:rsidRDefault="00F617BE" w:rsidP="00FB7443">
            <w:pPr>
              <w:pStyle w:val="ListParagraph"/>
              <w:snapToGrid w:val="0"/>
              <w:ind w:left="0"/>
              <w:contextualSpacing w:val="0"/>
              <w:jc w:val="center"/>
              <w:rPr>
                <w:rFonts w:cstheme="minorHAnsi"/>
                <w:b/>
                <w:bCs/>
                <w:sz w:val="20"/>
                <w:szCs w:val="20"/>
                <w:lang w:val="en-US"/>
              </w:rPr>
            </w:pPr>
            <w:r w:rsidRPr="003A65F8">
              <w:rPr>
                <w:rFonts w:cstheme="minorHAnsi"/>
                <w:b/>
                <w:bCs/>
                <w:sz w:val="20"/>
                <w:szCs w:val="20"/>
                <w:lang w:val="en-US"/>
              </w:rPr>
              <w:t>Non-linearity Challenges</w:t>
            </w:r>
          </w:p>
        </w:tc>
      </w:tr>
      <w:tr w:rsidR="00F617BE" w14:paraId="726C1882" w14:textId="77777777" w:rsidTr="00FB7443">
        <w:tc>
          <w:tcPr>
            <w:tcW w:w="0" w:type="auto"/>
            <w:shd w:val="clear" w:color="auto" w:fill="F2F2F2" w:themeFill="background1" w:themeFillShade="F2"/>
            <w:textDirection w:val="btLr"/>
          </w:tcPr>
          <w:p w14:paraId="6E710E57" w14:textId="77777777" w:rsidR="00F617BE" w:rsidRPr="007306AF" w:rsidRDefault="00F617BE" w:rsidP="00FB7443">
            <w:pPr>
              <w:pStyle w:val="ListParagraph"/>
              <w:snapToGrid w:val="0"/>
              <w:ind w:left="113" w:right="113"/>
              <w:contextualSpacing w:val="0"/>
              <w:jc w:val="center"/>
              <w:rPr>
                <w:rFonts w:cstheme="minorHAnsi"/>
                <w:b/>
                <w:bCs/>
                <w:sz w:val="20"/>
                <w:szCs w:val="20"/>
                <w:lang w:val="en-US"/>
              </w:rPr>
            </w:pPr>
            <w:r w:rsidRPr="007306AF">
              <w:rPr>
                <w:rFonts w:cstheme="minorHAnsi"/>
                <w:b/>
                <w:bCs/>
                <w:sz w:val="20"/>
                <w:szCs w:val="20"/>
                <w:lang w:val="en-US"/>
              </w:rPr>
              <w:t>Scenario</w:t>
            </w:r>
          </w:p>
        </w:tc>
        <w:tc>
          <w:tcPr>
            <w:tcW w:w="0" w:type="auto"/>
            <w:shd w:val="clear" w:color="auto" w:fill="F2F2F2" w:themeFill="background1" w:themeFillShade="F2"/>
            <w:vAlign w:val="center"/>
          </w:tcPr>
          <w:p w14:paraId="0240122D" w14:textId="77777777" w:rsidR="00F617BE" w:rsidRPr="007306AF" w:rsidRDefault="00F617BE" w:rsidP="00FB7443">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3</w:t>
            </w:r>
          </w:p>
        </w:tc>
        <w:tc>
          <w:tcPr>
            <w:tcW w:w="1255" w:type="dxa"/>
            <w:shd w:val="clear" w:color="auto" w:fill="F2F2F2" w:themeFill="background1" w:themeFillShade="F2"/>
            <w:vAlign w:val="center"/>
          </w:tcPr>
          <w:p w14:paraId="6F05F17B" w14:textId="77777777" w:rsidR="00F617BE" w:rsidRPr="007306AF" w:rsidRDefault="00F617BE" w:rsidP="00FB7443">
            <w:pPr>
              <w:pStyle w:val="ListParagraph"/>
              <w:snapToGrid w:val="0"/>
              <w:ind w:left="0"/>
              <w:contextualSpacing w:val="0"/>
              <w:rPr>
                <w:rFonts w:cstheme="minorHAnsi"/>
                <w:b/>
                <w:bCs/>
                <w:sz w:val="20"/>
                <w:szCs w:val="20"/>
                <w:lang w:val="en-US"/>
              </w:rPr>
            </w:pPr>
            <w:r w:rsidRPr="003A65F8">
              <w:rPr>
                <w:rFonts w:cstheme="minorHAnsi"/>
                <w:b/>
                <w:bCs/>
                <w:sz w:val="20"/>
                <w:szCs w:val="20"/>
                <w:lang w:val="en-US"/>
              </w:rPr>
              <w:t xml:space="preserve">Money at a fixed rate for a business for a construction loan </w:t>
            </w:r>
          </w:p>
        </w:tc>
        <w:tc>
          <w:tcPr>
            <w:tcW w:w="6612" w:type="dxa"/>
            <w:shd w:val="clear" w:color="auto" w:fill="auto"/>
          </w:tcPr>
          <w:p w14:paraId="520DF12C" w14:textId="77777777" w:rsidR="00F617BE" w:rsidRDefault="00F617BE" w:rsidP="00FB7443">
            <w:pPr>
              <w:pStyle w:val="ListParagraph"/>
              <w:numPr>
                <w:ilvl w:val="0"/>
                <w:numId w:val="28"/>
              </w:numPr>
            </w:pPr>
            <w:r w:rsidRPr="003A65F8">
              <w:rPr>
                <w:b/>
                <w:bCs/>
              </w:rPr>
              <w:t>Interest Rate Risk</w:t>
            </w:r>
            <w:r w:rsidRPr="005131DA">
              <w:t xml:space="preserve">: If market interest rates </w:t>
            </w:r>
            <w:r>
              <w:t>decline</w:t>
            </w:r>
            <w:r w:rsidRPr="005131DA">
              <w:t xml:space="preserve"> significantly after taking the loan, the fixed-rate loan could become relatively more expensive compared to what the business could have secured at the prevailing market rates. This can affect the business's ability to meet its interest payment obligations.</w:t>
            </w:r>
          </w:p>
          <w:p w14:paraId="7BEA0EB4" w14:textId="77777777" w:rsidR="00F617BE" w:rsidRPr="003A65F8" w:rsidRDefault="00F617BE" w:rsidP="00FB7443">
            <w:pPr>
              <w:pStyle w:val="ListParagraph"/>
              <w:numPr>
                <w:ilvl w:val="0"/>
                <w:numId w:val="28"/>
              </w:numPr>
              <w:snapToGrid w:val="0"/>
            </w:pPr>
            <w:r w:rsidRPr="003A65F8">
              <w:rPr>
                <w:b/>
                <w:bCs/>
              </w:rPr>
              <w:t>Debt Servicing</w:t>
            </w:r>
            <w:r>
              <w:t xml:space="preserve">:  </w:t>
            </w:r>
            <w:r w:rsidRPr="00FE55C1">
              <w:t>The business must generate sufficient cash flow to cover both the principal and interest payments on the construction loan. Leverage can be challenging if the business's cash flow is insufficient to meet these debt service requirements, especially during the construction phase when revenue generation may be limited</w:t>
            </w:r>
          </w:p>
        </w:tc>
        <w:tc>
          <w:tcPr>
            <w:tcW w:w="6750" w:type="dxa"/>
            <w:shd w:val="clear" w:color="auto" w:fill="auto"/>
          </w:tcPr>
          <w:p w14:paraId="5D431AE8" w14:textId="77777777" w:rsidR="00F617BE" w:rsidRPr="008C068C" w:rsidRDefault="00F617BE" w:rsidP="00FB7443">
            <w:pPr>
              <w:pStyle w:val="ListParagraph"/>
              <w:numPr>
                <w:ilvl w:val="0"/>
                <w:numId w:val="28"/>
              </w:numPr>
              <w:snapToGrid w:val="0"/>
              <w:contextualSpacing w:val="0"/>
              <w:rPr>
                <w:rFonts w:cstheme="minorHAnsi"/>
                <w:sz w:val="20"/>
                <w:szCs w:val="20"/>
                <w:lang w:val="en-US"/>
              </w:rPr>
            </w:pPr>
            <w:r w:rsidRPr="003A65F8">
              <w:rPr>
                <w:rFonts w:cstheme="minorHAnsi"/>
                <w:b/>
                <w:bCs/>
                <w:sz w:val="20"/>
                <w:szCs w:val="20"/>
                <w:lang w:val="en-US"/>
              </w:rPr>
              <w:t>Unforeseen Contingencies</w:t>
            </w:r>
            <w:r w:rsidRPr="003A65F8">
              <w:rPr>
                <w:rFonts w:cstheme="minorHAnsi"/>
                <w:sz w:val="20"/>
                <w:szCs w:val="20"/>
                <w:lang w:val="en-US"/>
              </w:rPr>
              <w:t>: Non-linear challenges can also emerge from unforeseen contingencies, such as legal disputes, environmental issues, or supply chain disruptions. These contingencies can disrupt project timelines and escalate costs unexpectedly.</w:t>
            </w:r>
          </w:p>
        </w:tc>
      </w:tr>
    </w:tbl>
    <w:p w14:paraId="3593A93D" w14:textId="77777777" w:rsidR="00520261" w:rsidRDefault="00520261" w:rsidP="00750815">
      <w:pPr>
        <w:pStyle w:val="ListParagraph"/>
        <w:snapToGrid w:val="0"/>
        <w:spacing w:after="0" w:line="240" w:lineRule="auto"/>
        <w:ind w:left="936"/>
        <w:contextualSpacing w:val="0"/>
        <w:rPr>
          <w:rFonts w:cstheme="minorHAnsi"/>
          <w:b/>
          <w:bCs/>
          <w:sz w:val="20"/>
          <w:szCs w:val="20"/>
          <w:lang w:val="en-US"/>
        </w:rPr>
      </w:pPr>
    </w:p>
    <w:p w14:paraId="7CD05B6E" w14:textId="77777777" w:rsidR="00520261" w:rsidRDefault="00520261" w:rsidP="00750815">
      <w:pPr>
        <w:pStyle w:val="ListParagraph"/>
        <w:snapToGrid w:val="0"/>
        <w:spacing w:after="0" w:line="240" w:lineRule="auto"/>
        <w:ind w:left="936"/>
        <w:contextualSpacing w:val="0"/>
        <w:rPr>
          <w:rFonts w:cstheme="minorHAnsi"/>
          <w:b/>
          <w:bCs/>
          <w:sz w:val="20"/>
          <w:szCs w:val="20"/>
          <w:lang w:val="en-US"/>
        </w:rPr>
      </w:pPr>
    </w:p>
    <w:p w14:paraId="605075BB" w14:textId="77777777" w:rsidR="00520261" w:rsidRDefault="00520261" w:rsidP="00750815">
      <w:pPr>
        <w:pStyle w:val="ListParagraph"/>
        <w:snapToGrid w:val="0"/>
        <w:spacing w:after="0" w:line="240" w:lineRule="auto"/>
        <w:ind w:left="936"/>
        <w:contextualSpacing w:val="0"/>
        <w:rPr>
          <w:rFonts w:cstheme="minorHAnsi"/>
          <w:b/>
          <w:bCs/>
          <w:sz w:val="20"/>
          <w:szCs w:val="20"/>
          <w:lang w:val="en-US"/>
        </w:rPr>
      </w:pPr>
    </w:p>
    <w:p w14:paraId="09C180FF" w14:textId="77777777" w:rsidR="00520261" w:rsidRDefault="00520261" w:rsidP="00750815">
      <w:pPr>
        <w:pStyle w:val="ListParagraph"/>
        <w:snapToGrid w:val="0"/>
        <w:spacing w:after="0" w:line="240" w:lineRule="auto"/>
        <w:ind w:left="936"/>
        <w:contextualSpacing w:val="0"/>
        <w:rPr>
          <w:rFonts w:cstheme="minorHAnsi"/>
          <w:b/>
          <w:bCs/>
          <w:sz w:val="20"/>
          <w:szCs w:val="20"/>
          <w:lang w:val="en-US"/>
        </w:rPr>
      </w:pPr>
    </w:p>
    <w:p w14:paraId="513399C8" w14:textId="77777777" w:rsidR="00520261" w:rsidRDefault="00520261" w:rsidP="00F617BE">
      <w:pPr>
        <w:snapToGrid w:val="0"/>
        <w:spacing w:after="0" w:line="240" w:lineRule="auto"/>
        <w:rPr>
          <w:rFonts w:cstheme="minorHAnsi"/>
          <w:b/>
          <w:bCs/>
          <w:sz w:val="20"/>
          <w:szCs w:val="20"/>
          <w:lang w:val="en-US"/>
        </w:rPr>
      </w:pPr>
    </w:p>
    <w:p w14:paraId="49AA61A7" w14:textId="77777777" w:rsidR="00B13673" w:rsidRDefault="00B13673" w:rsidP="00F617BE">
      <w:pPr>
        <w:snapToGrid w:val="0"/>
        <w:spacing w:after="0" w:line="240" w:lineRule="auto"/>
        <w:rPr>
          <w:rFonts w:cstheme="minorHAnsi"/>
          <w:b/>
          <w:bCs/>
          <w:sz w:val="20"/>
          <w:szCs w:val="20"/>
          <w:lang w:val="en-US"/>
        </w:rPr>
      </w:pPr>
    </w:p>
    <w:p w14:paraId="198B131D" w14:textId="77777777" w:rsidR="00B13673" w:rsidRDefault="00B13673" w:rsidP="00F617BE">
      <w:pPr>
        <w:snapToGrid w:val="0"/>
        <w:spacing w:after="0" w:line="240" w:lineRule="auto"/>
        <w:rPr>
          <w:rFonts w:cstheme="minorHAnsi"/>
          <w:b/>
          <w:bCs/>
          <w:sz w:val="20"/>
          <w:szCs w:val="20"/>
          <w:lang w:val="en-US"/>
        </w:rPr>
      </w:pPr>
    </w:p>
    <w:p w14:paraId="60C6A5AF" w14:textId="77777777" w:rsidR="00B13673" w:rsidRDefault="00B13673" w:rsidP="00F617BE">
      <w:pPr>
        <w:snapToGrid w:val="0"/>
        <w:spacing w:after="0" w:line="240" w:lineRule="auto"/>
        <w:rPr>
          <w:rFonts w:cstheme="minorHAnsi"/>
          <w:b/>
          <w:bCs/>
          <w:sz w:val="20"/>
          <w:szCs w:val="20"/>
          <w:lang w:val="en-US"/>
        </w:rPr>
      </w:pPr>
    </w:p>
    <w:p w14:paraId="03900C31" w14:textId="77777777" w:rsidR="00B13673" w:rsidRDefault="00B13673" w:rsidP="00F617BE">
      <w:pPr>
        <w:snapToGrid w:val="0"/>
        <w:spacing w:after="0" w:line="240" w:lineRule="auto"/>
        <w:rPr>
          <w:rFonts w:cstheme="minorHAnsi"/>
          <w:b/>
          <w:bCs/>
          <w:sz w:val="20"/>
          <w:szCs w:val="20"/>
          <w:lang w:val="en-US"/>
        </w:rPr>
      </w:pPr>
    </w:p>
    <w:p w14:paraId="05CB6B63" w14:textId="77777777" w:rsidR="00B13673" w:rsidRDefault="00B13673" w:rsidP="00F617BE">
      <w:pPr>
        <w:snapToGrid w:val="0"/>
        <w:spacing w:after="0" w:line="240" w:lineRule="auto"/>
        <w:rPr>
          <w:rFonts w:cstheme="minorHAnsi"/>
          <w:b/>
          <w:bCs/>
          <w:sz w:val="20"/>
          <w:szCs w:val="20"/>
          <w:lang w:val="en-US"/>
        </w:rPr>
      </w:pPr>
    </w:p>
    <w:p w14:paraId="1CEAC90A" w14:textId="77777777" w:rsidR="00B13673" w:rsidRDefault="00B13673" w:rsidP="00F617BE">
      <w:pPr>
        <w:snapToGrid w:val="0"/>
        <w:spacing w:after="0" w:line="240" w:lineRule="auto"/>
        <w:rPr>
          <w:rFonts w:cstheme="minorHAnsi"/>
          <w:b/>
          <w:bCs/>
          <w:sz w:val="20"/>
          <w:szCs w:val="20"/>
          <w:lang w:val="en-US"/>
        </w:rPr>
      </w:pPr>
    </w:p>
    <w:p w14:paraId="10624F7D" w14:textId="77777777" w:rsidR="00B13673" w:rsidRDefault="00B13673" w:rsidP="00F617BE">
      <w:pPr>
        <w:snapToGrid w:val="0"/>
        <w:spacing w:after="0" w:line="240" w:lineRule="auto"/>
        <w:rPr>
          <w:rFonts w:cstheme="minorHAnsi"/>
          <w:b/>
          <w:bCs/>
          <w:sz w:val="20"/>
          <w:szCs w:val="20"/>
          <w:lang w:val="en-US"/>
        </w:rPr>
      </w:pPr>
    </w:p>
    <w:p w14:paraId="03458992" w14:textId="77777777" w:rsidR="00B13673" w:rsidRDefault="00B13673" w:rsidP="00F617BE">
      <w:pPr>
        <w:snapToGrid w:val="0"/>
        <w:spacing w:after="0" w:line="240" w:lineRule="auto"/>
        <w:rPr>
          <w:rFonts w:cstheme="minorHAnsi"/>
          <w:b/>
          <w:bCs/>
          <w:sz w:val="20"/>
          <w:szCs w:val="20"/>
          <w:lang w:val="en-US"/>
        </w:rPr>
      </w:pPr>
    </w:p>
    <w:p w14:paraId="379F6C0B" w14:textId="77777777" w:rsidR="00B13673" w:rsidRDefault="00B13673" w:rsidP="00F617BE">
      <w:pPr>
        <w:snapToGrid w:val="0"/>
        <w:spacing w:after="0" w:line="240" w:lineRule="auto"/>
        <w:rPr>
          <w:rFonts w:cstheme="minorHAnsi"/>
          <w:b/>
          <w:bCs/>
          <w:sz w:val="20"/>
          <w:szCs w:val="20"/>
          <w:lang w:val="en-US"/>
        </w:rPr>
      </w:pPr>
    </w:p>
    <w:p w14:paraId="05F9D789" w14:textId="77777777" w:rsidR="00B13673" w:rsidRDefault="00B13673" w:rsidP="00F617BE">
      <w:pPr>
        <w:snapToGrid w:val="0"/>
        <w:spacing w:after="0" w:line="240" w:lineRule="auto"/>
        <w:rPr>
          <w:rFonts w:cstheme="minorHAnsi"/>
          <w:b/>
          <w:bCs/>
          <w:sz w:val="20"/>
          <w:szCs w:val="20"/>
          <w:lang w:val="en-US"/>
        </w:rPr>
      </w:pPr>
    </w:p>
    <w:p w14:paraId="71C70C74" w14:textId="77777777" w:rsidR="00B13673" w:rsidRDefault="00B13673" w:rsidP="00F617BE">
      <w:pPr>
        <w:snapToGrid w:val="0"/>
        <w:spacing w:after="0" w:line="240" w:lineRule="auto"/>
        <w:rPr>
          <w:rFonts w:cstheme="minorHAnsi"/>
          <w:b/>
          <w:bCs/>
          <w:sz w:val="20"/>
          <w:szCs w:val="20"/>
          <w:lang w:val="en-US"/>
        </w:rPr>
      </w:pPr>
    </w:p>
    <w:p w14:paraId="34165041" w14:textId="77777777" w:rsidR="00B13673" w:rsidRDefault="00B13673" w:rsidP="00F617BE">
      <w:pPr>
        <w:snapToGrid w:val="0"/>
        <w:spacing w:after="0" w:line="240" w:lineRule="auto"/>
        <w:rPr>
          <w:rFonts w:cstheme="minorHAnsi"/>
          <w:b/>
          <w:bCs/>
          <w:sz w:val="20"/>
          <w:szCs w:val="20"/>
          <w:lang w:val="en-US"/>
        </w:rPr>
      </w:pPr>
    </w:p>
    <w:p w14:paraId="57134FB2" w14:textId="77777777" w:rsidR="00B13673" w:rsidRDefault="00B13673" w:rsidP="00F617BE">
      <w:pPr>
        <w:snapToGrid w:val="0"/>
        <w:spacing w:after="0" w:line="240" w:lineRule="auto"/>
        <w:rPr>
          <w:rFonts w:cstheme="minorHAnsi"/>
          <w:b/>
          <w:bCs/>
          <w:sz w:val="20"/>
          <w:szCs w:val="20"/>
          <w:lang w:val="en-US"/>
        </w:rPr>
      </w:pPr>
    </w:p>
    <w:p w14:paraId="139A5C2D" w14:textId="77777777" w:rsidR="005606AE" w:rsidRDefault="005606AE" w:rsidP="00F617BE">
      <w:pPr>
        <w:snapToGrid w:val="0"/>
        <w:spacing w:after="0" w:line="240" w:lineRule="auto"/>
        <w:rPr>
          <w:rFonts w:cstheme="minorHAnsi"/>
          <w:b/>
          <w:bCs/>
          <w:sz w:val="20"/>
          <w:szCs w:val="20"/>
          <w:lang w:val="en-US"/>
        </w:rPr>
      </w:pPr>
    </w:p>
    <w:p w14:paraId="6A45B438" w14:textId="77777777" w:rsidR="00B13673" w:rsidRPr="00F617BE" w:rsidRDefault="00B13673" w:rsidP="00F617BE">
      <w:pPr>
        <w:snapToGrid w:val="0"/>
        <w:spacing w:after="0" w:line="240" w:lineRule="auto"/>
        <w:rPr>
          <w:rFonts w:cstheme="minorHAnsi"/>
          <w:b/>
          <w:bCs/>
          <w:sz w:val="20"/>
          <w:szCs w:val="20"/>
          <w:lang w:val="en-US"/>
        </w:rPr>
      </w:pPr>
    </w:p>
    <w:p w14:paraId="439F7A27" w14:textId="77777777" w:rsidR="00520261" w:rsidRDefault="00520261" w:rsidP="00750815">
      <w:pPr>
        <w:pStyle w:val="ListParagraph"/>
        <w:snapToGrid w:val="0"/>
        <w:spacing w:after="0" w:line="240" w:lineRule="auto"/>
        <w:ind w:left="936"/>
        <w:contextualSpacing w:val="0"/>
        <w:rPr>
          <w:rFonts w:cstheme="minorHAnsi"/>
          <w:b/>
          <w:bCs/>
          <w:sz w:val="20"/>
          <w:szCs w:val="20"/>
          <w:lang w:val="en-US"/>
        </w:rPr>
      </w:pPr>
    </w:p>
    <w:p w14:paraId="581E049B" w14:textId="77777777" w:rsidR="00520261" w:rsidRDefault="00520261" w:rsidP="00750815">
      <w:pPr>
        <w:pStyle w:val="ListParagraph"/>
        <w:snapToGrid w:val="0"/>
        <w:spacing w:after="0" w:line="240" w:lineRule="auto"/>
        <w:ind w:left="936"/>
        <w:contextualSpacing w:val="0"/>
        <w:rPr>
          <w:rFonts w:cstheme="minorHAnsi"/>
          <w:b/>
          <w:bCs/>
          <w:sz w:val="20"/>
          <w:szCs w:val="20"/>
          <w:lang w:val="en-US"/>
        </w:rPr>
      </w:pPr>
    </w:p>
    <w:p w14:paraId="12A3915E" w14:textId="77777777" w:rsidR="00520261" w:rsidRDefault="00520261" w:rsidP="00750815">
      <w:pPr>
        <w:pStyle w:val="ListParagraph"/>
        <w:snapToGrid w:val="0"/>
        <w:spacing w:after="0" w:line="240" w:lineRule="auto"/>
        <w:ind w:left="936"/>
        <w:contextualSpacing w:val="0"/>
        <w:rPr>
          <w:rFonts w:cstheme="minorHAnsi"/>
          <w:b/>
          <w:bCs/>
          <w:sz w:val="20"/>
          <w:szCs w:val="20"/>
          <w:lang w:val="en-US"/>
        </w:rPr>
      </w:pPr>
    </w:p>
    <w:p w14:paraId="280C7B92" w14:textId="77777777" w:rsidR="006B5DDF" w:rsidRDefault="00B44FF7" w:rsidP="00750815">
      <w:pPr>
        <w:pStyle w:val="ListParagraph"/>
        <w:numPr>
          <w:ilvl w:val="1"/>
          <w:numId w:val="1"/>
        </w:numPr>
        <w:snapToGrid w:val="0"/>
        <w:spacing w:after="0" w:line="240" w:lineRule="auto"/>
        <w:contextualSpacing w:val="0"/>
        <w:rPr>
          <w:rFonts w:cstheme="minorHAnsi"/>
          <w:b/>
          <w:bCs/>
          <w:sz w:val="20"/>
          <w:szCs w:val="20"/>
          <w:lang w:val="en-US"/>
        </w:rPr>
      </w:pPr>
      <w:r w:rsidRPr="007306AF">
        <w:rPr>
          <w:rFonts w:cstheme="minorHAnsi"/>
          <w:b/>
          <w:bCs/>
          <w:sz w:val="20"/>
          <w:szCs w:val="20"/>
          <w:lang w:val="en-US"/>
        </w:rPr>
        <w:lastRenderedPageBreak/>
        <w:t>Student: Yhasreen</w:t>
      </w:r>
      <w:r w:rsidR="00093E26">
        <w:rPr>
          <w:rFonts w:cstheme="minorHAnsi"/>
          <w:b/>
          <w:bCs/>
          <w:sz w:val="20"/>
          <w:szCs w:val="20"/>
          <w:lang w:val="en-US"/>
        </w:rPr>
        <w:t xml:space="preserve"> for bond and equity</w:t>
      </w:r>
      <w:r w:rsidR="00F25FB2">
        <w:rPr>
          <w:rFonts w:cstheme="minorHAnsi"/>
          <w:b/>
          <w:bCs/>
          <w:sz w:val="20"/>
          <w:szCs w:val="20"/>
          <w:lang w:val="en-US"/>
        </w:rPr>
        <w:t xml:space="preserve"> </w:t>
      </w:r>
      <w:r w:rsidR="00966C51">
        <w:rPr>
          <w:rFonts w:cstheme="minorHAnsi"/>
          <w:b/>
          <w:bCs/>
          <w:sz w:val="20"/>
          <w:szCs w:val="20"/>
          <w:lang w:val="en-US"/>
        </w:rPr>
        <w:t xml:space="preserve">magnifying </w:t>
      </w:r>
      <w:r w:rsidR="00F25FB2">
        <w:rPr>
          <w:rFonts w:cstheme="minorHAnsi"/>
          <w:b/>
          <w:bCs/>
          <w:sz w:val="20"/>
          <w:szCs w:val="20"/>
          <w:lang w:val="en-US"/>
        </w:rPr>
        <w:t>risk.</w:t>
      </w:r>
    </w:p>
    <w:tbl>
      <w:tblPr>
        <w:tblStyle w:val="TableGrid"/>
        <w:tblW w:w="0" w:type="auto"/>
        <w:tblLook w:val="04A0" w:firstRow="1" w:lastRow="0" w:firstColumn="1" w:lastColumn="0" w:noHBand="0" w:noVBand="1"/>
      </w:tblPr>
      <w:tblGrid>
        <w:gridCol w:w="473"/>
        <w:gridCol w:w="318"/>
        <w:gridCol w:w="1278"/>
        <w:gridCol w:w="6566"/>
        <w:gridCol w:w="6753"/>
      </w:tblGrid>
      <w:tr w:rsidR="00FD43CB" w14:paraId="7AA53A1B" w14:textId="77777777" w:rsidTr="00520261">
        <w:tc>
          <w:tcPr>
            <w:tcW w:w="2069" w:type="dxa"/>
            <w:gridSpan w:val="3"/>
            <w:vMerge w:val="restart"/>
            <w:shd w:val="clear" w:color="auto" w:fill="F2F2F2" w:themeFill="background1" w:themeFillShade="F2"/>
            <w:vAlign w:val="center"/>
          </w:tcPr>
          <w:p w14:paraId="01ED6144" w14:textId="77777777" w:rsidR="00B32380" w:rsidRPr="007306AF" w:rsidRDefault="00B44FF7" w:rsidP="00750815">
            <w:pPr>
              <w:pStyle w:val="ListParagraph"/>
              <w:snapToGrid w:val="0"/>
              <w:ind w:left="0"/>
              <w:contextualSpacing w:val="0"/>
              <w:jc w:val="center"/>
              <w:rPr>
                <w:rFonts w:cstheme="minorHAnsi"/>
                <w:b/>
                <w:bCs/>
                <w:sz w:val="20"/>
                <w:szCs w:val="20"/>
                <w:lang w:val="en-US"/>
              </w:rPr>
            </w:pPr>
            <w:r w:rsidRPr="007306AF">
              <w:rPr>
                <w:rFonts w:cstheme="minorHAnsi"/>
                <w:b/>
                <w:bCs/>
                <w:sz w:val="20"/>
                <w:szCs w:val="20"/>
                <w:lang w:val="en-US"/>
              </w:rPr>
              <w:t>Table 1</w:t>
            </w:r>
          </w:p>
        </w:tc>
        <w:tc>
          <w:tcPr>
            <w:tcW w:w="13319" w:type="dxa"/>
            <w:gridSpan w:val="2"/>
            <w:shd w:val="clear" w:color="auto" w:fill="F2F2F2" w:themeFill="background1" w:themeFillShade="F2"/>
            <w:vAlign w:val="center"/>
          </w:tcPr>
          <w:p w14:paraId="0AB91D49" w14:textId="77777777" w:rsidR="00B32380" w:rsidRPr="007306AF" w:rsidRDefault="00B44FF7" w:rsidP="00750815">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Magnifying</w:t>
            </w:r>
            <w:r w:rsidRPr="007306AF">
              <w:rPr>
                <w:rFonts w:cstheme="minorHAnsi"/>
                <w:b/>
                <w:bCs/>
                <w:sz w:val="20"/>
                <w:szCs w:val="20"/>
                <w:lang w:val="en-US"/>
              </w:rPr>
              <w:t xml:space="preserve"> Risk</w:t>
            </w:r>
          </w:p>
        </w:tc>
      </w:tr>
      <w:tr w:rsidR="00FD43CB" w14:paraId="1CE8EDC1" w14:textId="77777777" w:rsidTr="00520261">
        <w:tc>
          <w:tcPr>
            <w:tcW w:w="2069" w:type="dxa"/>
            <w:gridSpan w:val="3"/>
            <w:vMerge/>
            <w:shd w:val="clear" w:color="auto" w:fill="F2F2F2" w:themeFill="background1" w:themeFillShade="F2"/>
          </w:tcPr>
          <w:p w14:paraId="2FB324AC" w14:textId="77777777" w:rsidR="00B32380" w:rsidRPr="007306AF" w:rsidRDefault="00B32380" w:rsidP="00750815">
            <w:pPr>
              <w:pStyle w:val="ListParagraph"/>
              <w:snapToGrid w:val="0"/>
              <w:ind w:left="0"/>
              <w:contextualSpacing w:val="0"/>
              <w:jc w:val="center"/>
              <w:rPr>
                <w:rFonts w:cstheme="minorHAnsi"/>
                <w:b/>
                <w:bCs/>
                <w:sz w:val="20"/>
                <w:szCs w:val="20"/>
                <w:lang w:val="en-US"/>
              </w:rPr>
            </w:pPr>
          </w:p>
        </w:tc>
        <w:tc>
          <w:tcPr>
            <w:tcW w:w="6566" w:type="dxa"/>
            <w:shd w:val="clear" w:color="auto" w:fill="F2F2F2" w:themeFill="background1" w:themeFillShade="F2"/>
            <w:vAlign w:val="center"/>
          </w:tcPr>
          <w:p w14:paraId="0692A365" w14:textId="77777777" w:rsidR="00B32380" w:rsidRPr="007306AF" w:rsidRDefault="00B44FF7" w:rsidP="00750815">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Investing</w:t>
            </w:r>
            <w:r w:rsidRPr="007306AF">
              <w:rPr>
                <w:rFonts w:cstheme="minorHAnsi"/>
                <w:b/>
                <w:bCs/>
                <w:sz w:val="20"/>
                <w:szCs w:val="20"/>
                <w:lang w:val="en-US"/>
              </w:rPr>
              <w:t>’s Consideration</w:t>
            </w:r>
          </w:p>
        </w:tc>
        <w:tc>
          <w:tcPr>
            <w:tcW w:w="6753" w:type="dxa"/>
            <w:shd w:val="clear" w:color="auto" w:fill="F2F2F2" w:themeFill="background1" w:themeFillShade="F2"/>
            <w:vAlign w:val="center"/>
          </w:tcPr>
          <w:p w14:paraId="4293030D" w14:textId="77777777" w:rsidR="00B32380" w:rsidRPr="007306AF" w:rsidRDefault="00B44FF7" w:rsidP="00750815">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Investing</w:t>
            </w:r>
            <w:r w:rsidRPr="007306AF">
              <w:rPr>
                <w:rFonts w:cstheme="minorHAnsi"/>
                <w:b/>
                <w:bCs/>
                <w:sz w:val="20"/>
                <w:szCs w:val="20"/>
                <w:lang w:val="en-US"/>
              </w:rPr>
              <w:t xml:space="preserve"> Consideration</w:t>
            </w:r>
          </w:p>
        </w:tc>
      </w:tr>
      <w:tr w:rsidR="00FD43CB" w14:paraId="2D777172" w14:textId="77777777" w:rsidTr="00520261">
        <w:tc>
          <w:tcPr>
            <w:tcW w:w="2069" w:type="dxa"/>
            <w:gridSpan w:val="3"/>
            <w:vMerge/>
            <w:shd w:val="clear" w:color="auto" w:fill="F2F2F2" w:themeFill="background1" w:themeFillShade="F2"/>
          </w:tcPr>
          <w:p w14:paraId="2EF5CB66" w14:textId="77777777" w:rsidR="00B32380" w:rsidRPr="007306AF" w:rsidRDefault="00B32380" w:rsidP="00750815">
            <w:pPr>
              <w:pStyle w:val="ListParagraph"/>
              <w:snapToGrid w:val="0"/>
              <w:ind w:left="0"/>
              <w:contextualSpacing w:val="0"/>
              <w:jc w:val="center"/>
              <w:rPr>
                <w:rFonts w:cstheme="minorHAnsi"/>
                <w:b/>
                <w:bCs/>
                <w:sz w:val="20"/>
                <w:szCs w:val="20"/>
                <w:lang w:val="en-US"/>
              </w:rPr>
            </w:pPr>
          </w:p>
        </w:tc>
        <w:tc>
          <w:tcPr>
            <w:tcW w:w="6566" w:type="dxa"/>
            <w:shd w:val="clear" w:color="auto" w:fill="F2F2F2" w:themeFill="background1" w:themeFillShade="F2"/>
            <w:vAlign w:val="center"/>
          </w:tcPr>
          <w:p w14:paraId="2688CA12" w14:textId="77777777" w:rsidR="00B32380" w:rsidRPr="007306AF" w:rsidRDefault="00B44FF7" w:rsidP="00750815">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Leverage</w:t>
            </w:r>
            <w:r w:rsidRPr="007306AF">
              <w:rPr>
                <w:rFonts w:cstheme="minorHAnsi"/>
                <w:b/>
                <w:bCs/>
                <w:sz w:val="20"/>
                <w:szCs w:val="20"/>
                <w:lang w:val="en-US"/>
              </w:rPr>
              <w:t xml:space="preserve"> Risk</w:t>
            </w:r>
          </w:p>
        </w:tc>
        <w:tc>
          <w:tcPr>
            <w:tcW w:w="6753" w:type="dxa"/>
            <w:shd w:val="clear" w:color="auto" w:fill="F2F2F2" w:themeFill="background1" w:themeFillShade="F2"/>
            <w:vAlign w:val="center"/>
          </w:tcPr>
          <w:p w14:paraId="68BCC8FD" w14:textId="77777777" w:rsidR="00B32380" w:rsidRPr="007306AF" w:rsidRDefault="00B44FF7" w:rsidP="00750815">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Non-Linearity</w:t>
            </w:r>
            <w:r w:rsidRPr="007306AF">
              <w:rPr>
                <w:rFonts w:cstheme="minorHAnsi"/>
                <w:b/>
                <w:bCs/>
                <w:sz w:val="20"/>
                <w:szCs w:val="20"/>
                <w:lang w:val="en-US"/>
              </w:rPr>
              <w:t xml:space="preserve"> Risk</w:t>
            </w:r>
          </w:p>
        </w:tc>
      </w:tr>
      <w:tr w:rsidR="00FD43CB" w14:paraId="666E868D" w14:textId="77777777" w:rsidTr="000D3C42">
        <w:tc>
          <w:tcPr>
            <w:tcW w:w="0" w:type="auto"/>
            <w:shd w:val="clear" w:color="auto" w:fill="F2F2F2" w:themeFill="background1" w:themeFillShade="F2"/>
            <w:textDirection w:val="btLr"/>
          </w:tcPr>
          <w:p w14:paraId="5A47EC97" w14:textId="77777777" w:rsidR="00541BB7" w:rsidRPr="007306AF" w:rsidRDefault="00B44FF7" w:rsidP="00750815">
            <w:pPr>
              <w:pStyle w:val="ListParagraph"/>
              <w:snapToGrid w:val="0"/>
              <w:ind w:left="113" w:right="113"/>
              <w:contextualSpacing w:val="0"/>
              <w:jc w:val="center"/>
              <w:rPr>
                <w:rFonts w:cstheme="minorHAnsi"/>
                <w:b/>
                <w:bCs/>
                <w:sz w:val="20"/>
                <w:szCs w:val="20"/>
                <w:lang w:val="en-US"/>
              </w:rPr>
            </w:pPr>
            <w:r w:rsidRPr="007306AF">
              <w:rPr>
                <w:rFonts w:cstheme="minorHAnsi"/>
                <w:b/>
                <w:bCs/>
                <w:sz w:val="20"/>
                <w:szCs w:val="20"/>
                <w:lang w:val="en-US"/>
              </w:rPr>
              <w:t xml:space="preserve">Security </w:t>
            </w:r>
            <w:r w:rsidR="006F53DC" w:rsidRPr="007306AF">
              <w:rPr>
                <w:rFonts w:cstheme="minorHAnsi"/>
                <w:b/>
                <w:bCs/>
                <w:sz w:val="20"/>
                <w:szCs w:val="20"/>
                <w:lang w:val="en-US"/>
              </w:rPr>
              <w:t>L</w:t>
            </w:r>
            <w:r w:rsidRPr="007306AF">
              <w:rPr>
                <w:rFonts w:cstheme="minorHAnsi"/>
                <w:b/>
                <w:bCs/>
                <w:sz w:val="20"/>
                <w:szCs w:val="20"/>
                <w:lang w:val="en-US"/>
              </w:rPr>
              <w:t xml:space="preserve">ending </w:t>
            </w:r>
            <w:r w:rsidR="006F53DC" w:rsidRPr="007306AF">
              <w:rPr>
                <w:rFonts w:cstheme="minorHAnsi"/>
                <w:b/>
                <w:bCs/>
                <w:sz w:val="20"/>
                <w:szCs w:val="20"/>
                <w:lang w:val="en-US"/>
              </w:rPr>
              <w:t>S</w:t>
            </w:r>
            <w:r w:rsidRPr="007306AF">
              <w:rPr>
                <w:rFonts w:cstheme="minorHAnsi"/>
                <w:b/>
                <w:bCs/>
                <w:sz w:val="20"/>
                <w:szCs w:val="20"/>
                <w:lang w:val="en-US"/>
              </w:rPr>
              <w:t>cenarios</w:t>
            </w:r>
          </w:p>
        </w:tc>
        <w:tc>
          <w:tcPr>
            <w:tcW w:w="0" w:type="auto"/>
            <w:shd w:val="clear" w:color="auto" w:fill="F2F2F2" w:themeFill="background1" w:themeFillShade="F2"/>
            <w:vAlign w:val="center"/>
          </w:tcPr>
          <w:p w14:paraId="144C5651" w14:textId="77777777" w:rsidR="00541BB7" w:rsidRPr="007306AF" w:rsidRDefault="00B44FF7" w:rsidP="00750815">
            <w:pPr>
              <w:pStyle w:val="ListParagraph"/>
              <w:snapToGrid w:val="0"/>
              <w:ind w:left="0"/>
              <w:contextualSpacing w:val="0"/>
              <w:jc w:val="center"/>
              <w:rPr>
                <w:rFonts w:cstheme="minorHAnsi"/>
                <w:b/>
                <w:bCs/>
                <w:sz w:val="20"/>
                <w:szCs w:val="20"/>
                <w:lang w:val="en-US"/>
              </w:rPr>
            </w:pPr>
            <w:r w:rsidRPr="007306AF">
              <w:rPr>
                <w:rFonts w:cstheme="minorHAnsi"/>
                <w:b/>
                <w:bCs/>
                <w:sz w:val="20"/>
                <w:szCs w:val="20"/>
                <w:lang w:val="en-US"/>
              </w:rPr>
              <w:t>4</w:t>
            </w:r>
          </w:p>
        </w:tc>
        <w:tc>
          <w:tcPr>
            <w:tcW w:w="1278" w:type="dxa"/>
            <w:shd w:val="clear" w:color="auto" w:fill="F2F2F2" w:themeFill="background1" w:themeFillShade="F2"/>
            <w:vAlign w:val="center"/>
          </w:tcPr>
          <w:p w14:paraId="4F9825C2" w14:textId="77777777" w:rsidR="00007109" w:rsidRPr="007306AF" w:rsidRDefault="00B44FF7" w:rsidP="00750815">
            <w:pPr>
              <w:pStyle w:val="ListParagraph"/>
              <w:snapToGrid w:val="0"/>
              <w:ind w:left="0"/>
              <w:contextualSpacing w:val="0"/>
              <w:rPr>
                <w:rFonts w:cstheme="minorHAnsi"/>
                <w:b/>
                <w:bCs/>
                <w:sz w:val="20"/>
                <w:szCs w:val="20"/>
                <w:lang w:val="en-US"/>
              </w:rPr>
            </w:pPr>
            <w:r w:rsidRPr="007306AF">
              <w:rPr>
                <w:rFonts w:cstheme="minorHAnsi"/>
                <w:b/>
                <w:bCs/>
                <w:sz w:val="20"/>
                <w:szCs w:val="20"/>
                <w:lang w:val="en-US"/>
              </w:rPr>
              <w:t>AAPL</w:t>
            </w:r>
          </w:p>
          <w:p w14:paraId="1AED767E" w14:textId="77777777" w:rsidR="00541BB7" w:rsidRPr="007306AF" w:rsidRDefault="00B44FF7" w:rsidP="00750815">
            <w:pPr>
              <w:pStyle w:val="ListParagraph"/>
              <w:snapToGrid w:val="0"/>
              <w:ind w:left="0"/>
              <w:contextualSpacing w:val="0"/>
              <w:rPr>
                <w:rFonts w:cstheme="minorHAnsi"/>
                <w:b/>
                <w:bCs/>
                <w:sz w:val="20"/>
                <w:szCs w:val="20"/>
                <w:lang w:val="en-US"/>
              </w:rPr>
            </w:pPr>
            <w:r w:rsidRPr="007306AF">
              <w:rPr>
                <w:rFonts w:cstheme="minorHAnsi"/>
                <w:b/>
                <w:bCs/>
                <w:sz w:val="20"/>
                <w:szCs w:val="20"/>
                <w:lang w:val="en-US"/>
              </w:rPr>
              <w:t>Equity Investment</w:t>
            </w:r>
          </w:p>
          <w:p w14:paraId="22E792A5" w14:textId="77777777" w:rsidR="00541BB7" w:rsidRPr="007306AF" w:rsidRDefault="00541BB7" w:rsidP="00750815">
            <w:pPr>
              <w:pStyle w:val="ListParagraph"/>
              <w:snapToGrid w:val="0"/>
              <w:ind w:left="0"/>
              <w:contextualSpacing w:val="0"/>
              <w:rPr>
                <w:rFonts w:cstheme="minorHAnsi"/>
                <w:b/>
                <w:bCs/>
                <w:sz w:val="20"/>
                <w:szCs w:val="20"/>
                <w:lang w:val="en-US"/>
              </w:rPr>
            </w:pPr>
          </w:p>
        </w:tc>
        <w:tc>
          <w:tcPr>
            <w:tcW w:w="6566" w:type="dxa"/>
            <w:shd w:val="clear" w:color="auto" w:fill="auto"/>
          </w:tcPr>
          <w:p w14:paraId="28F199BC" w14:textId="77777777" w:rsidR="009777D9" w:rsidRPr="007225D8" w:rsidRDefault="00B44FF7" w:rsidP="00750815">
            <w:pPr>
              <w:pStyle w:val="ListParagraph"/>
              <w:numPr>
                <w:ilvl w:val="0"/>
                <w:numId w:val="2"/>
              </w:numPr>
              <w:snapToGrid w:val="0"/>
              <w:contextualSpacing w:val="0"/>
              <w:rPr>
                <w:rFonts w:cstheme="minorHAnsi"/>
                <w:sz w:val="20"/>
                <w:szCs w:val="20"/>
                <w:lang w:val="en-US"/>
              </w:rPr>
            </w:pPr>
            <w:r w:rsidRPr="007225D8">
              <w:rPr>
                <w:rFonts w:cstheme="minorHAnsi"/>
                <w:b/>
                <w:bCs/>
                <w:sz w:val="20"/>
                <w:szCs w:val="20"/>
                <w:lang w:val="en-US"/>
              </w:rPr>
              <w:t>Compounded</w:t>
            </w:r>
            <w:r w:rsidR="00546D06" w:rsidRPr="007225D8">
              <w:rPr>
                <w:rFonts w:cstheme="minorHAnsi"/>
                <w:b/>
                <w:bCs/>
                <w:sz w:val="20"/>
                <w:szCs w:val="20"/>
                <w:lang w:val="en-US"/>
              </w:rPr>
              <w:t xml:space="preserve"> </w:t>
            </w:r>
            <w:r w:rsidR="007225D8" w:rsidRPr="007225D8">
              <w:rPr>
                <w:rFonts w:cstheme="minorHAnsi"/>
                <w:b/>
                <w:bCs/>
                <w:sz w:val="20"/>
                <w:szCs w:val="20"/>
                <w:lang w:val="en-US"/>
              </w:rPr>
              <w:t>Losses:</w:t>
            </w:r>
            <w:r w:rsidRPr="007225D8">
              <w:rPr>
                <w:rFonts w:cstheme="minorHAnsi"/>
                <w:sz w:val="20"/>
                <w:szCs w:val="20"/>
                <w:lang w:val="en-US"/>
              </w:rPr>
              <w:t xml:space="preserve"> Leveraging investments involves borrowing money to invest more than what one can afford with just their capital. </w:t>
            </w:r>
            <w:r w:rsidR="007225D8" w:rsidRPr="007225D8">
              <w:rPr>
                <w:rFonts w:cstheme="minorHAnsi"/>
                <w:sz w:val="20"/>
                <w:szCs w:val="20"/>
                <w:lang w:val="en-US"/>
              </w:rPr>
              <w:t>Leverage to invest amplifies their potential returns and losses</w:t>
            </w:r>
            <w:r w:rsidR="007225D8">
              <w:rPr>
                <w:rFonts w:cstheme="minorHAnsi"/>
                <w:sz w:val="20"/>
                <w:szCs w:val="20"/>
                <w:lang w:val="en-US"/>
              </w:rPr>
              <w:t xml:space="preserve">. </w:t>
            </w:r>
            <w:r w:rsidRPr="007225D8">
              <w:rPr>
                <w:rFonts w:cstheme="minorHAnsi"/>
                <w:sz w:val="20"/>
                <w:szCs w:val="20"/>
                <w:lang w:val="en-US"/>
              </w:rPr>
              <w:t xml:space="preserve">If an investor uses 2:1 leverage </w:t>
            </w:r>
            <w:r w:rsidR="001672FD" w:rsidRPr="007225D8">
              <w:rPr>
                <w:rFonts w:cstheme="minorHAnsi"/>
                <w:sz w:val="20"/>
                <w:szCs w:val="20"/>
                <w:lang w:val="en-US"/>
              </w:rPr>
              <w:t xml:space="preserve">by </w:t>
            </w:r>
            <w:r w:rsidRPr="007225D8">
              <w:rPr>
                <w:rFonts w:cstheme="minorHAnsi"/>
                <w:sz w:val="20"/>
                <w:szCs w:val="20"/>
                <w:lang w:val="en-US"/>
              </w:rPr>
              <w:t xml:space="preserve">borrowing an equal amount to what they are investing and the stock price falls by 10%, the investor loses 20%, </w:t>
            </w:r>
            <w:r w:rsidR="00546D06" w:rsidRPr="007225D8">
              <w:rPr>
                <w:rFonts w:cstheme="minorHAnsi"/>
                <w:sz w:val="20"/>
                <w:szCs w:val="20"/>
                <w:lang w:val="en-US"/>
              </w:rPr>
              <w:t>ex</w:t>
            </w:r>
            <w:r w:rsidRPr="007225D8">
              <w:rPr>
                <w:rFonts w:cstheme="minorHAnsi"/>
                <w:sz w:val="20"/>
                <w:szCs w:val="20"/>
                <w:lang w:val="en-US"/>
              </w:rPr>
              <w:t xml:space="preserve">cluding borrowing costs. The actual amount of equity in the investment can decrease rapidly. </w:t>
            </w:r>
            <w:r w:rsidR="00966C51" w:rsidRPr="007225D8">
              <w:rPr>
                <w:rFonts w:cstheme="minorHAnsi"/>
                <w:sz w:val="20"/>
                <w:szCs w:val="20"/>
                <w:lang w:val="en-US"/>
              </w:rPr>
              <w:t>Compounded</w:t>
            </w:r>
            <w:r w:rsidRPr="007225D8">
              <w:rPr>
                <w:rFonts w:cstheme="minorHAnsi"/>
                <w:sz w:val="20"/>
                <w:szCs w:val="20"/>
                <w:lang w:val="en-US"/>
              </w:rPr>
              <w:t xml:space="preserve"> losses can quickly erode the investor's capital.</w:t>
            </w:r>
          </w:p>
          <w:p w14:paraId="57A39A50" w14:textId="2E513F86" w:rsidR="001E546A" w:rsidRDefault="00B44FF7" w:rsidP="00750815">
            <w:pPr>
              <w:pStyle w:val="ListParagraph"/>
              <w:numPr>
                <w:ilvl w:val="0"/>
                <w:numId w:val="2"/>
              </w:numPr>
              <w:snapToGrid w:val="0"/>
              <w:contextualSpacing w:val="0"/>
              <w:rPr>
                <w:rFonts w:cstheme="minorHAnsi"/>
                <w:sz w:val="20"/>
                <w:szCs w:val="20"/>
                <w:lang w:val="en-US"/>
              </w:rPr>
            </w:pPr>
            <w:r w:rsidRPr="001E546A">
              <w:rPr>
                <w:rFonts w:cstheme="minorHAnsi"/>
                <w:b/>
                <w:bCs/>
                <w:sz w:val="20"/>
                <w:szCs w:val="20"/>
                <w:lang w:val="en-US"/>
              </w:rPr>
              <w:t>Margin Calls:</w:t>
            </w:r>
            <w:r w:rsidRPr="001E546A">
              <w:rPr>
                <w:rFonts w:cstheme="minorHAnsi"/>
                <w:sz w:val="20"/>
                <w:szCs w:val="20"/>
                <w:lang w:val="en-US"/>
              </w:rPr>
              <w:t xml:space="preserve"> If the equity value in the leveraged account falls below a certain threshold </w:t>
            </w:r>
            <w:r w:rsidR="00546D06">
              <w:rPr>
                <w:rFonts w:cstheme="minorHAnsi"/>
                <w:sz w:val="20"/>
                <w:szCs w:val="20"/>
                <w:lang w:val="en-US"/>
              </w:rPr>
              <w:t xml:space="preserve">of </w:t>
            </w:r>
            <w:r w:rsidRPr="001E546A">
              <w:rPr>
                <w:rFonts w:cstheme="minorHAnsi"/>
                <w:sz w:val="20"/>
                <w:szCs w:val="20"/>
                <w:lang w:val="en-US"/>
              </w:rPr>
              <w:t xml:space="preserve">maintenance margin, the broker can issue a margin call, requiring the investor to deposit more money or sell assets to cover the deficit. </w:t>
            </w:r>
            <w:r w:rsidRPr="001710FF">
              <w:rPr>
                <w:rFonts w:cstheme="minorHAnsi"/>
                <w:b/>
                <w:bCs/>
                <w:color w:val="00B050"/>
                <w:sz w:val="20"/>
                <w:szCs w:val="20"/>
                <w:lang w:val="en-US"/>
              </w:rPr>
              <w:t>[</w:t>
            </w:r>
            <w:proofErr w:type="spellStart"/>
            <w:r w:rsidRPr="001710FF">
              <w:rPr>
                <w:rFonts w:cstheme="minorHAnsi"/>
                <w:b/>
                <w:bCs/>
                <w:color w:val="00B050"/>
                <w:sz w:val="20"/>
                <w:szCs w:val="20"/>
                <w:lang w:val="en-US"/>
              </w:rPr>
              <w:t>Tickeron</w:t>
            </w:r>
            <w:proofErr w:type="spellEnd"/>
            <w:r w:rsidRPr="001710FF">
              <w:rPr>
                <w:rFonts w:cstheme="minorHAnsi"/>
                <w:b/>
                <w:bCs/>
                <w:color w:val="00B050"/>
                <w:sz w:val="20"/>
                <w:szCs w:val="20"/>
                <w:lang w:val="en-US"/>
              </w:rPr>
              <w:t>]</w:t>
            </w:r>
            <w:r w:rsidRPr="001710FF">
              <w:rPr>
                <w:rFonts w:cstheme="minorHAnsi"/>
                <w:color w:val="00B050"/>
                <w:sz w:val="20"/>
                <w:szCs w:val="20"/>
                <w:lang w:val="en-US"/>
              </w:rPr>
              <w:t xml:space="preserve"> </w:t>
            </w:r>
            <w:r w:rsidRPr="001E546A">
              <w:rPr>
                <w:rFonts w:cstheme="minorHAnsi"/>
                <w:sz w:val="20"/>
                <w:szCs w:val="20"/>
                <w:lang w:val="en-US"/>
              </w:rPr>
              <w:t xml:space="preserve">If the investor fails to meet the margin requirement, the broker can sell the investor's assets at possibly </w:t>
            </w:r>
            <w:r w:rsidR="00B97C04" w:rsidRPr="001E546A">
              <w:rPr>
                <w:rFonts w:cstheme="minorHAnsi"/>
                <w:sz w:val="20"/>
                <w:szCs w:val="20"/>
                <w:lang w:val="en-US"/>
              </w:rPr>
              <w:t>unfavorable</w:t>
            </w:r>
            <w:r w:rsidRPr="001E546A">
              <w:rPr>
                <w:rFonts w:cstheme="minorHAnsi"/>
                <w:sz w:val="20"/>
                <w:szCs w:val="20"/>
                <w:lang w:val="en-US"/>
              </w:rPr>
              <w:t xml:space="preserve"> prices. </w:t>
            </w:r>
            <w:r w:rsidRPr="001710FF">
              <w:rPr>
                <w:rFonts w:cstheme="minorHAnsi"/>
                <w:b/>
                <w:bCs/>
                <w:color w:val="00B050"/>
                <w:sz w:val="20"/>
                <w:szCs w:val="20"/>
                <w:lang w:val="en-US"/>
              </w:rPr>
              <w:t>[</w:t>
            </w:r>
            <w:proofErr w:type="spellStart"/>
            <w:r w:rsidRPr="001710FF">
              <w:rPr>
                <w:rFonts w:cstheme="minorHAnsi"/>
                <w:b/>
                <w:bCs/>
                <w:color w:val="00B050"/>
                <w:sz w:val="20"/>
                <w:szCs w:val="20"/>
                <w:lang w:val="en-US"/>
              </w:rPr>
              <w:t>Fu</w:t>
            </w:r>
            <w:r w:rsidR="00DD35C7" w:rsidRPr="001710FF">
              <w:rPr>
                <w:rFonts w:cstheme="minorHAnsi"/>
                <w:b/>
                <w:bCs/>
                <w:color w:val="00B050"/>
                <w:sz w:val="20"/>
                <w:szCs w:val="20"/>
                <w:lang w:val="en-US"/>
              </w:rPr>
              <w:t>tu</w:t>
            </w:r>
            <w:r w:rsidRPr="001710FF">
              <w:rPr>
                <w:rFonts w:cstheme="minorHAnsi"/>
                <w:b/>
                <w:bCs/>
                <w:color w:val="00B050"/>
                <w:sz w:val="20"/>
                <w:szCs w:val="20"/>
                <w:lang w:val="en-US"/>
              </w:rPr>
              <w:t>nn</w:t>
            </w:r>
            <w:proofErr w:type="spellEnd"/>
            <w:r w:rsidRPr="001710FF">
              <w:rPr>
                <w:rFonts w:cstheme="minorHAnsi"/>
                <w:b/>
                <w:bCs/>
                <w:color w:val="00B050"/>
                <w:sz w:val="20"/>
                <w:szCs w:val="20"/>
                <w:lang w:val="en-US"/>
              </w:rPr>
              <w:t>]</w:t>
            </w:r>
          </w:p>
          <w:p w14:paraId="3A63C0CF" w14:textId="77777777" w:rsidR="001E546A" w:rsidRPr="001E546A" w:rsidRDefault="00B44FF7" w:rsidP="00750815">
            <w:pPr>
              <w:pStyle w:val="ListParagraph"/>
              <w:numPr>
                <w:ilvl w:val="0"/>
                <w:numId w:val="2"/>
              </w:numPr>
              <w:snapToGrid w:val="0"/>
              <w:contextualSpacing w:val="0"/>
              <w:rPr>
                <w:rFonts w:cstheme="minorHAnsi"/>
                <w:sz w:val="20"/>
                <w:szCs w:val="20"/>
                <w:lang w:val="en-US"/>
              </w:rPr>
            </w:pPr>
            <w:r w:rsidRPr="001E546A">
              <w:rPr>
                <w:rFonts w:cstheme="minorHAnsi"/>
                <w:b/>
                <w:bCs/>
                <w:sz w:val="20"/>
                <w:szCs w:val="20"/>
                <w:lang w:val="en-US"/>
              </w:rPr>
              <w:t>Higher Transaction Costs:</w:t>
            </w:r>
            <w:r w:rsidRPr="001E546A">
              <w:rPr>
                <w:rFonts w:cstheme="minorHAnsi"/>
                <w:sz w:val="20"/>
                <w:szCs w:val="20"/>
                <w:lang w:val="en-US"/>
              </w:rPr>
              <w:t xml:space="preserve"> Leveraged investments often involve higher transaction fees, interest expenses, and other costs, which can eat into the potential profits.</w:t>
            </w:r>
          </w:p>
          <w:p w14:paraId="1FE8A58F" w14:textId="77777777" w:rsidR="001E546A" w:rsidRPr="001E546A" w:rsidRDefault="00B44FF7" w:rsidP="00750815">
            <w:pPr>
              <w:pStyle w:val="ListParagraph"/>
              <w:numPr>
                <w:ilvl w:val="0"/>
                <w:numId w:val="2"/>
              </w:numPr>
              <w:snapToGrid w:val="0"/>
              <w:contextualSpacing w:val="0"/>
              <w:rPr>
                <w:rFonts w:cstheme="minorHAnsi"/>
                <w:sz w:val="20"/>
                <w:szCs w:val="20"/>
                <w:lang w:val="en-US"/>
              </w:rPr>
            </w:pPr>
            <w:r w:rsidRPr="001E546A">
              <w:rPr>
                <w:rFonts w:cstheme="minorHAnsi"/>
                <w:b/>
                <w:bCs/>
                <w:sz w:val="20"/>
                <w:szCs w:val="20"/>
                <w:lang w:val="en-US"/>
              </w:rPr>
              <w:t>Interest Rate Risk:</w:t>
            </w:r>
            <w:r w:rsidRPr="001E546A">
              <w:rPr>
                <w:rFonts w:cstheme="minorHAnsi"/>
                <w:sz w:val="20"/>
                <w:szCs w:val="20"/>
                <w:lang w:val="en-US"/>
              </w:rPr>
              <w:t xml:space="preserve"> The cost of borrowing can increase if interest rates rise. If an investor has a variable interest rate on borrowed funds, higher interest rates mean higher borrowing costs, which can reduce profitability or increase losses.</w:t>
            </w:r>
          </w:p>
          <w:p w14:paraId="3B24290E" w14:textId="77777777" w:rsidR="001E546A" w:rsidRPr="001E546A" w:rsidRDefault="00B44FF7" w:rsidP="00750815">
            <w:pPr>
              <w:pStyle w:val="ListParagraph"/>
              <w:numPr>
                <w:ilvl w:val="0"/>
                <w:numId w:val="2"/>
              </w:numPr>
              <w:snapToGrid w:val="0"/>
              <w:contextualSpacing w:val="0"/>
              <w:rPr>
                <w:rFonts w:cstheme="minorHAnsi"/>
                <w:sz w:val="20"/>
                <w:szCs w:val="20"/>
                <w:lang w:val="en-US"/>
              </w:rPr>
            </w:pPr>
            <w:r w:rsidRPr="001E546A">
              <w:rPr>
                <w:rFonts w:cstheme="minorHAnsi"/>
                <w:b/>
                <w:bCs/>
                <w:sz w:val="20"/>
                <w:szCs w:val="20"/>
                <w:lang w:val="en-US"/>
              </w:rPr>
              <w:t>Reduced Flexibility:</w:t>
            </w:r>
            <w:r w:rsidRPr="001E546A">
              <w:rPr>
                <w:rFonts w:cstheme="minorHAnsi"/>
                <w:sz w:val="20"/>
                <w:szCs w:val="20"/>
                <w:lang w:val="en-US"/>
              </w:rPr>
              <w:t xml:space="preserve"> Leveraged positions may prevent an investor from making portfolio adjustments when they want to, especially in volatile markets where rapid price changes can lead to quick margin calls.</w:t>
            </w:r>
          </w:p>
          <w:p w14:paraId="7547CA36" w14:textId="77777777" w:rsidR="001E546A" w:rsidRPr="001E546A" w:rsidRDefault="00B44FF7" w:rsidP="00750815">
            <w:pPr>
              <w:pStyle w:val="ListParagraph"/>
              <w:numPr>
                <w:ilvl w:val="0"/>
                <w:numId w:val="2"/>
              </w:numPr>
              <w:snapToGrid w:val="0"/>
              <w:contextualSpacing w:val="0"/>
              <w:rPr>
                <w:rFonts w:cstheme="minorHAnsi"/>
                <w:sz w:val="20"/>
                <w:szCs w:val="20"/>
                <w:lang w:val="en-US"/>
              </w:rPr>
            </w:pPr>
            <w:r w:rsidRPr="001E546A">
              <w:rPr>
                <w:rFonts w:cstheme="minorHAnsi"/>
                <w:b/>
                <w:bCs/>
                <w:sz w:val="20"/>
                <w:szCs w:val="20"/>
                <w:lang w:val="en-US"/>
              </w:rPr>
              <w:t>Emotional Pressure:</w:t>
            </w:r>
            <w:r w:rsidRPr="001E546A">
              <w:rPr>
                <w:rFonts w:cstheme="minorHAnsi"/>
                <w:sz w:val="20"/>
                <w:szCs w:val="20"/>
                <w:lang w:val="en-US"/>
              </w:rPr>
              <w:t xml:space="preserve"> Leveraged investments can increase emotional stress due to the increased financial risks. Stress leads to poor decision-making based on emotions like fear and greed rather than sound investment analysis.</w:t>
            </w:r>
            <w:r w:rsidR="00546D06">
              <w:rPr>
                <w:rFonts w:cstheme="minorHAnsi"/>
                <w:sz w:val="20"/>
                <w:szCs w:val="20"/>
                <w:lang w:val="en-US"/>
              </w:rPr>
              <w:t xml:space="preserve"> </w:t>
            </w:r>
          </w:p>
          <w:p w14:paraId="5E25686F" w14:textId="77777777" w:rsidR="007225D8" w:rsidRPr="00AD2805" w:rsidRDefault="00B44FF7" w:rsidP="00750815">
            <w:pPr>
              <w:pStyle w:val="ListParagraph"/>
              <w:numPr>
                <w:ilvl w:val="0"/>
                <w:numId w:val="2"/>
              </w:numPr>
              <w:snapToGrid w:val="0"/>
              <w:contextualSpacing w:val="0"/>
              <w:rPr>
                <w:rFonts w:cstheme="minorHAnsi"/>
                <w:sz w:val="20"/>
                <w:szCs w:val="20"/>
                <w:lang w:val="en-US"/>
              </w:rPr>
            </w:pPr>
            <w:r w:rsidRPr="00AD2805">
              <w:rPr>
                <w:rFonts w:cstheme="minorHAnsi"/>
                <w:b/>
                <w:bCs/>
                <w:sz w:val="20"/>
                <w:szCs w:val="20"/>
                <w:lang w:val="en-US"/>
              </w:rPr>
              <w:t xml:space="preserve">Currency </w:t>
            </w:r>
            <w:r w:rsidR="00AD2805">
              <w:rPr>
                <w:rFonts w:cstheme="minorHAnsi"/>
                <w:b/>
                <w:bCs/>
                <w:sz w:val="20"/>
                <w:szCs w:val="20"/>
                <w:lang w:val="en-US"/>
              </w:rPr>
              <w:t>exchange r</w:t>
            </w:r>
            <w:r w:rsidRPr="00AD2805">
              <w:rPr>
                <w:rFonts w:cstheme="minorHAnsi"/>
                <w:b/>
                <w:bCs/>
                <w:sz w:val="20"/>
                <w:szCs w:val="20"/>
                <w:lang w:val="en-US"/>
              </w:rPr>
              <w:t>isk</w:t>
            </w:r>
            <w:r w:rsidRPr="007225D8">
              <w:rPr>
                <w:rFonts w:cstheme="minorHAnsi"/>
                <w:sz w:val="20"/>
                <w:szCs w:val="20"/>
                <w:lang w:val="en-US"/>
              </w:rPr>
              <w:t xml:space="preserve"> if the investor’s base currency is not USD</w:t>
            </w:r>
            <w:r w:rsidR="00AD2805">
              <w:rPr>
                <w:rFonts w:cstheme="minorHAnsi"/>
                <w:sz w:val="20"/>
                <w:szCs w:val="20"/>
                <w:lang w:val="en-US"/>
              </w:rPr>
              <w:t>. The f</w:t>
            </w:r>
            <w:r w:rsidRPr="00AD2805">
              <w:rPr>
                <w:rFonts w:cstheme="minorHAnsi"/>
                <w:sz w:val="20"/>
                <w:szCs w:val="20"/>
                <w:lang w:val="en-US"/>
              </w:rPr>
              <w:t>luctuations in the USD exchange rate can affect the investment's value and the cost of debt in the investor's local currency.</w:t>
            </w:r>
          </w:p>
          <w:p w14:paraId="5C245D0A" w14:textId="70905410" w:rsidR="00022568" w:rsidRPr="0090261E" w:rsidRDefault="00B44FF7" w:rsidP="00750815">
            <w:pPr>
              <w:pStyle w:val="ListParagraph"/>
              <w:numPr>
                <w:ilvl w:val="0"/>
                <w:numId w:val="2"/>
              </w:numPr>
              <w:snapToGrid w:val="0"/>
              <w:contextualSpacing w:val="0"/>
              <w:rPr>
                <w:rFonts w:cstheme="minorHAnsi"/>
                <w:sz w:val="20"/>
                <w:szCs w:val="20"/>
                <w:lang w:val="en-US"/>
              </w:rPr>
            </w:pPr>
            <w:r w:rsidRPr="001E546A">
              <w:rPr>
                <w:rFonts w:cstheme="minorHAnsi"/>
                <w:b/>
                <w:bCs/>
                <w:sz w:val="20"/>
                <w:szCs w:val="20"/>
                <w:lang w:val="en-US"/>
              </w:rPr>
              <w:t>Liquidity Risk:</w:t>
            </w:r>
            <w:r w:rsidRPr="001E546A">
              <w:rPr>
                <w:rFonts w:cstheme="minorHAnsi"/>
                <w:sz w:val="20"/>
                <w:szCs w:val="20"/>
                <w:lang w:val="en-US"/>
              </w:rPr>
              <w:t xml:space="preserve"> In extreme market conditions, specific stocks might have reduced liquidity, making it harder to enter or exit positions. This risk can be more pronounced in a leveraged scenario, as investors are forced to liquidate positions at </w:t>
            </w:r>
            <w:r w:rsidR="00D82406" w:rsidRPr="001E546A">
              <w:rPr>
                <w:rFonts w:cstheme="minorHAnsi"/>
                <w:sz w:val="20"/>
                <w:szCs w:val="20"/>
                <w:lang w:val="en-US"/>
              </w:rPr>
              <w:t>unfavorable</w:t>
            </w:r>
            <w:r w:rsidRPr="001E546A">
              <w:rPr>
                <w:rFonts w:cstheme="minorHAnsi"/>
                <w:sz w:val="20"/>
                <w:szCs w:val="20"/>
                <w:lang w:val="en-US"/>
              </w:rPr>
              <w:t xml:space="preserve"> prices.</w:t>
            </w:r>
          </w:p>
        </w:tc>
        <w:tc>
          <w:tcPr>
            <w:tcW w:w="6753" w:type="dxa"/>
            <w:shd w:val="clear" w:color="auto" w:fill="auto"/>
          </w:tcPr>
          <w:p w14:paraId="7A1225FE" w14:textId="77777777" w:rsidR="001F0375" w:rsidRPr="001F0375" w:rsidRDefault="00B44FF7" w:rsidP="00750815">
            <w:pPr>
              <w:pStyle w:val="ListParagraph"/>
              <w:numPr>
                <w:ilvl w:val="0"/>
                <w:numId w:val="8"/>
              </w:numPr>
              <w:snapToGrid w:val="0"/>
              <w:contextualSpacing w:val="0"/>
              <w:rPr>
                <w:rFonts w:cstheme="minorHAnsi"/>
                <w:sz w:val="20"/>
                <w:szCs w:val="20"/>
                <w:lang w:val="en-US"/>
              </w:rPr>
            </w:pPr>
            <w:r w:rsidRPr="00ED2005">
              <w:rPr>
                <w:rFonts w:cstheme="minorHAnsi"/>
                <w:b/>
                <w:bCs/>
                <w:sz w:val="20"/>
                <w:szCs w:val="20"/>
                <w:lang w:val="en-US"/>
              </w:rPr>
              <w:t>Non-linearity risk</w:t>
            </w:r>
            <w:r w:rsidRPr="001F0375">
              <w:rPr>
                <w:rFonts w:cstheme="minorHAnsi"/>
                <w:sz w:val="20"/>
                <w:szCs w:val="20"/>
                <w:lang w:val="en-US"/>
              </w:rPr>
              <w:t xml:space="preserve"> </w:t>
            </w:r>
            <w:r w:rsidR="008C068C">
              <w:rPr>
                <w:rFonts w:cstheme="minorHAnsi"/>
                <w:sz w:val="20"/>
                <w:szCs w:val="20"/>
                <w:lang w:val="en-US"/>
              </w:rPr>
              <w:t xml:space="preserve">is </w:t>
            </w:r>
            <w:r w:rsidR="00ED2005">
              <w:rPr>
                <w:rFonts w:cstheme="minorHAnsi"/>
                <w:sz w:val="20"/>
                <w:szCs w:val="20"/>
                <w:lang w:val="en-US"/>
              </w:rPr>
              <w:t>r</w:t>
            </w:r>
            <w:r w:rsidRPr="001F0375">
              <w:rPr>
                <w:rFonts w:cstheme="minorHAnsi"/>
                <w:sz w:val="20"/>
                <w:szCs w:val="20"/>
                <w:lang w:val="en-US"/>
              </w:rPr>
              <w:t>isk associated with financial instruments or investment strategies where the relationship between variables is not linear. Non-linear risk means that a change in one variable does not result in a proportional change in another. Non-linearity emphasizes the importance of diversification.</w:t>
            </w:r>
          </w:p>
          <w:p w14:paraId="2548678D" w14:textId="77777777" w:rsidR="0090261E" w:rsidRDefault="00B44FF7" w:rsidP="00750815">
            <w:pPr>
              <w:pStyle w:val="ListParagraph"/>
              <w:numPr>
                <w:ilvl w:val="0"/>
                <w:numId w:val="8"/>
              </w:numPr>
              <w:snapToGrid w:val="0"/>
              <w:contextualSpacing w:val="0"/>
              <w:rPr>
                <w:rFonts w:cstheme="minorHAnsi"/>
                <w:sz w:val="20"/>
                <w:szCs w:val="20"/>
                <w:lang w:val="en-US"/>
              </w:rPr>
            </w:pPr>
            <w:r w:rsidRPr="0090261E">
              <w:rPr>
                <w:rFonts w:cstheme="minorHAnsi"/>
                <w:b/>
                <w:bCs/>
                <w:sz w:val="20"/>
                <w:szCs w:val="20"/>
                <w:lang w:val="en-US"/>
              </w:rPr>
              <w:t>Price Momentum:</w:t>
            </w:r>
            <w:r w:rsidRPr="0090261E">
              <w:rPr>
                <w:rFonts w:cstheme="minorHAnsi"/>
                <w:sz w:val="20"/>
                <w:szCs w:val="20"/>
                <w:lang w:val="en-US"/>
              </w:rPr>
              <w:t xml:space="preserve"> Stocks often do not move linearly. They can have periods of rapid appreciation followed by sharp corrections or stagnate for extended periods only to suddenly move sharply. Various factors can influence price movements,</w:t>
            </w:r>
            <w:r w:rsidR="005B52BE">
              <w:rPr>
                <w:rFonts w:cstheme="minorHAnsi"/>
                <w:sz w:val="20"/>
                <w:szCs w:val="20"/>
                <w:lang w:val="en-US"/>
              </w:rPr>
              <w:t xml:space="preserve"> including earnings surprise announcements,</w:t>
            </w:r>
            <w:r w:rsidRPr="0090261E">
              <w:rPr>
                <w:rFonts w:cstheme="minorHAnsi"/>
                <w:sz w:val="20"/>
                <w:szCs w:val="20"/>
                <w:lang w:val="en-US"/>
              </w:rPr>
              <w:t xml:space="preserve"> product launches, regulatory changes, and broader market dynamics.</w:t>
            </w:r>
          </w:p>
          <w:p w14:paraId="65B963D0" w14:textId="77777777" w:rsidR="001E19DA" w:rsidRPr="0090261E" w:rsidRDefault="001E19DA" w:rsidP="00750815">
            <w:pPr>
              <w:pStyle w:val="ListParagraph"/>
              <w:snapToGrid w:val="0"/>
              <w:ind w:left="360"/>
              <w:contextualSpacing w:val="0"/>
              <w:rPr>
                <w:rFonts w:cstheme="minorHAnsi"/>
                <w:sz w:val="20"/>
                <w:szCs w:val="20"/>
                <w:lang w:val="en-US"/>
              </w:rPr>
            </w:pPr>
          </w:p>
          <w:p w14:paraId="1437095E" w14:textId="77777777" w:rsidR="0090261E" w:rsidRPr="0090261E" w:rsidRDefault="00B44FF7" w:rsidP="00750815">
            <w:pPr>
              <w:pStyle w:val="ListParagraph"/>
              <w:numPr>
                <w:ilvl w:val="0"/>
                <w:numId w:val="8"/>
              </w:numPr>
              <w:snapToGrid w:val="0"/>
              <w:contextualSpacing w:val="0"/>
              <w:rPr>
                <w:rFonts w:cstheme="minorHAnsi"/>
                <w:sz w:val="20"/>
                <w:szCs w:val="20"/>
                <w:lang w:val="en-US"/>
              </w:rPr>
            </w:pPr>
            <w:r w:rsidRPr="0090261E">
              <w:rPr>
                <w:rFonts w:cstheme="minorHAnsi"/>
                <w:b/>
                <w:bCs/>
                <w:sz w:val="20"/>
                <w:szCs w:val="20"/>
                <w:lang w:val="en-US"/>
              </w:rPr>
              <w:t>Earnings Reactions:</w:t>
            </w:r>
            <w:r w:rsidRPr="0090261E">
              <w:rPr>
                <w:rFonts w:cstheme="minorHAnsi"/>
                <w:sz w:val="20"/>
                <w:szCs w:val="20"/>
                <w:lang w:val="en-US"/>
              </w:rPr>
              <w:t xml:space="preserve"> The relationship between a company's earnings surprise (the difference between expected and reported earnings) and its stock price change is often non-linear. A significant earnings miss might lead to a disproportionately large drop in stock price, while a slight earnings beat might not result in any appreciable price change.</w:t>
            </w:r>
          </w:p>
          <w:p w14:paraId="1E6F16B8" w14:textId="77777777" w:rsidR="0090261E" w:rsidRDefault="00B44FF7" w:rsidP="00750815">
            <w:pPr>
              <w:pStyle w:val="ListParagraph"/>
              <w:numPr>
                <w:ilvl w:val="0"/>
                <w:numId w:val="8"/>
              </w:numPr>
              <w:snapToGrid w:val="0"/>
              <w:contextualSpacing w:val="0"/>
              <w:rPr>
                <w:rFonts w:cstheme="minorHAnsi"/>
                <w:sz w:val="20"/>
                <w:szCs w:val="20"/>
                <w:lang w:val="en-US"/>
              </w:rPr>
            </w:pPr>
            <w:r w:rsidRPr="0090261E">
              <w:rPr>
                <w:rFonts w:cstheme="minorHAnsi"/>
                <w:b/>
                <w:bCs/>
                <w:sz w:val="20"/>
                <w:szCs w:val="20"/>
                <w:lang w:val="en-US"/>
              </w:rPr>
              <w:t>Macroeconomic Sensitivities:</w:t>
            </w:r>
            <w:r w:rsidRPr="0090261E">
              <w:rPr>
                <w:rFonts w:cstheme="minorHAnsi"/>
                <w:sz w:val="20"/>
                <w:szCs w:val="20"/>
                <w:lang w:val="en-US"/>
              </w:rPr>
              <w:t xml:space="preserve"> The stock's sensitivity to broader economic changes, such as interest rate movements or commodity price fluctuations, may not be linear. For instance, a minor increase in interest rates might have a negligible effect on a stock. In contrast, a substantial increase might have a significant impact due to concerns about borrowing costs</w:t>
            </w:r>
            <w:r w:rsidR="008C068C">
              <w:rPr>
                <w:rFonts w:cstheme="minorHAnsi"/>
                <w:sz w:val="20"/>
                <w:szCs w:val="20"/>
                <w:lang w:val="en-US"/>
              </w:rPr>
              <w:t xml:space="preserve"> and</w:t>
            </w:r>
            <w:r w:rsidRPr="0090261E">
              <w:rPr>
                <w:rFonts w:cstheme="minorHAnsi"/>
                <w:sz w:val="20"/>
                <w:szCs w:val="20"/>
                <w:lang w:val="en-US"/>
              </w:rPr>
              <w:t xml:space="preserve"> consumer spending.</w:t>
            </w:r>
          </w:p>
          <w:p w14:paraId="26C753D5" w14:textId="77777777" w:rsidR="001E19DA" w:rsidRPr="0090261E" w:rsidRDefault="001E19DA" w:rsidP="00750815">
            <w:pPr>
              <w:pStyle w:val="ListParagraph"/>
              <w:snapToGrid w:val="0"/>
              <w:ind w:left="360"/>
              <w:contextualSpacing w:val="0"/>
              <w:rPr>
                <w:rFonts w:cstheme="minorHAnsi"/>
                <w:sz w:val="20"/>
                <w:szCs w:val="20"/>
                <w:lang w:val="en-US"/>
              </w:rPr>
            </w:pPr>
          </w:p>
          <w:p w14:paraId="47E7D4B1" w14:textId="77777777" w:rsidR="0090261E" w:rsidRPr="0090261E" w:rsidRDefault="00B44FF7" w:rsidP="00750815">
            <w:pPr>
              <w:pStyle w:val="ListParagraph"/>
              <w:numPr>
                <w:ilvl w:val="0"/>
                <w:numId w:val="8"/>
              </w:numPr>
              <w:snapToGrid w:val="0"/>
              <w:contextualSpacing w:val="0"/>
              <w:rPr>
                <w:rFonts w:cstheme="minorHAnsi"/>
                <w:sz w:val="20"/>
                <w:szCs w:val="20"/>
                <w:lang w:val="en-US"/>
              </w:rPr>
            </w:pPr>
            <w:r w:rsidRPr="0090261E">
              <w:rPr>
                <w:rFonts w:cstheme="minorHAnsi"/>
                <w:b/>
                <w:bCs/>
                <w:sz w:val="20"/>
                <w:szCs w:val="20"/>
                <w:lang w:val="en-US"/>
              </w:rPr>
              <w:t>Liquidity Effects:</w:t>
            </w:r>
            <w:r w:rsidRPr="0090261E">
              <w:rPr>
                <w:rFonts w:cstheme="minorHAnsi"/>
                <w:sz w:val="20"/>
                <w:szCs w:val="20"/>
                <w:lang w:val="en-US"/>
              </w:rPr>
              <w:t xml:space="preserve"> In times of market stress or volatility, the liquidity of major stocks like AAPL can change. The relationship between order size (trading volume) and price impact can be non-linear. Large orders might disproportionately move the stock price during less liquid periods.</w:t>
            </w:r>
          </w:p>
          <w:p w14:paraId="23D75AA0" w14:textId="3D53952F" w:rsidR="0090261E" w:rsidRDefault="00D82406" w:rsidP="00750815">
            <w:pPr>
              <w:pStyle w:val="ListParagraph"/>
              <w:numPr>
                <w:ilvl w:val="0"/>
                <w:numId w:val="8"/>
              </w:numPr>
              <w:snapToGrid w:val="0"/>
              <w:contextualSpacing w:val="0"/>
              <w:rPr>
                <w:rFonts w:cstheme="minorHAnsi"/>
                <w:sz w:val="20"/>
                <w:szCs w:val="20"/>
                <w:lang w:val="en-US"/>
              </w:rPr>
            </w:pPr>
            <w:r w:rsidRPr="0090261E">
              <w:rPr>
                <w:rFonts w:cstheme="minorHAnsi"/>
                <w:b/>
                <w:bCs/>
                <w:sz w:val="20"/>
                <w:szCs w:val="20"/>
                <w:lang w:val="en-US"/>
              </w:rPr>
              <w:t>Behavioral</w:t>
            </w:r>
            <w:r w:rsidR="00B44FF7" w:rsidRPr="0090261E">
              <w:rPr>
                <w:rFonts w:cstheme="minorHAnsi"/>
                <w:b/>
                <w:bCs/>
                <w:sz w:val="20"/>
                <w:szCs w:val="20"/>
                <w:lang w:val="en-US"/>
              </w:rPr>
              <w:t xml:space="preserve"> Factors:</w:t>
            </w:r>
            <w:r w:rsidR="00B44FF7" w:rsidRPr="0090261E">
              <w:rPr>
                <w:rFonts w:cstheme="minorHAnsi"/>
                <w:sz w:val="20"/>
                <w:szCs w:val="20"/>
                <w:lang w:val="en-US"/>
              </w:rPr>
              <w:t xml:space="preserve"> Investor sentiment, psychological biases, and herd </w:t>
            </w:r>
            <w:r w:rsidRPr="0090261E">
              <w:rPr>
                <w:rFonts w:cstheme="minorHAnsi"/>
                <w:sz w:val="20"/>
                <w:szCs w:val="20"/>
                <w:lang w:val="en-US"/>
              </w:rPr>
              <w:t>behavior</w:t>
            </w:r>
            <w:r w:rsidR="00B44FF7" w:rsidRPr="0090261E">
              <w:rPr>
                <w:rFonts w:cstheme="minorHAnsi"/>
                <w:sz w:val="20"/>
                <w:szCs w:val="20"/>
                <w:lang w:val="en-US"/>
              </w:rPr>
              <w:t xml:space="preserve"> can introduce non-linearities in stock price movements. For instance, panic selling or FOMO </w:t>
            </w:r>
            <w:r w:rsidR="008C068C">
              <w:rPr>
                <w:rFonts w:cstheme="minorHAnsi"/>
                <w:sz w:val="20"/>
                <w:szCs w:val="20"/>
                <w:lang w:val="en-US"/>
              </w:rPr>
              <w:t>f</w:t>
            </w:r>
            <w:r w:rsidR="00B44FF7" w:rsidRPr="0090261E">
              <w:rPr>
                <w:rFonts w:cstheme="minorHAnsi"/>
                <w:sz w:val="20"/>
                <w:szCs w:val="20"/>
                <w:lang w:val="en-US"/>
              </w:rPr>
              <w:t>ear of missing out on a buying</w:t>
            </w:r>
            <w:r w:rsidR="008C068C">
              <w:rPr>
                <w:rFonts w:cstheme="minorHAnsi"/>
                <w:sz w:val="20"/>
                <w:szCs w:val="20"/>
                <w:lang w:val="en-US"/>
              </w:rPr>
              <w:t xml:space="preserve"> frenzy</w:t>
            </w:r>
            <w:r w:rsidR="00B44FF7" w:rsidRPr="0090261E">
              <w:rPr>
                <w:rFonts w:cstheme="minorHAnsi"/>
                <w:sz w:val="20"/>
                <w:szCs w:val="20"/>
                <w:lang w:val="en-US"/>
              </w:rPr>
              <w:t xml:space="preserve"> can drive prices not based on fundamental valuations.</w:t>
            </w:r>
            <w:r w:rsidR="001710FF">
              <w:rPr>
                <w:rFonts w:cstheme="minorHAnsi"/>
                <w:sz w:val="20"/>
                <w:szCs w:val="20"/>
                <w:lang w:val="en-US"/>
              </w:rPr>
              <w:t xml:space="preserve"> </w:t>
            </w:r>
            <w:r w:rsidR="001710FF" w:rsidRPr="001710FF">
              <w:rPr>
                <w:rFonts w:cstheme="minorHAnsi"/>
                <w:b/>
                <w:bCs/>
                <w:color w:val="00B050"/>
                <w:sz w:val="20"/>
                <w:szCs w:val="20"/>
                <w:lang w:val="en-US"/>
              </w:rPr>
              <w:t>[</w:t>
            </w:r>
            <w:proofErr w:type="spellStart"/>
            <w:r w:rsidR="001710FF" w:rsidRPr="001710FF">
              <w:rPr>
                <w:rFonts w:cstheme="minorHAnsi"/>
                <w:b/>
                <w:bCs/>
                <w:color w:val="00B050"/>
                <w:sz w:val="20"/>
                <w:szCs w:val="20"/>
                <w:lang w:val="en-US"/>
              </w:rPr>
              <w:t>yahoofnance</w:t>
            </w:r>
            <w:proofErr w:type="spellEnd"/>
            <w:r w:rsidR="001710FF" w:rsidRPr="001710FF">
              <w:rPr>
                <w:rFonts w:cstheme="minorHAnsi"/>
                <w:b/>
                <w:bCs/>
                <w:color w:val="00B050"/>
                <w:sz w:val="20"/>
                <w:szCs w:val="20"/>
                <w:lang w:val="en-US"/>
              </w:rPr>
              <w:t>]</w:t>
            </w:r>
          </w:p>
          <w:p w14:paraId="17BC7B2D" w14:textId="77777777" w:rsidR="001E19DA" w:rsidRDefault="001E19DA" w:rsidP="00750815">
            <w:pPr>
              <w:pStyle w:val="ListParagraph"/>
              <w:snapToGrid w:val="0"/>
              <w:ind w:left="360"/>
              <w:contextualSpacing w:val="0"/>
              <w:rPr>
                <w:rFonts w:cstheme="minorHAnsi"/>
                <w:sz w:val="20"/>
                <w:szCs w:val="20"/>
                <w:lang w:val="en-US"/>
              </w:rPr>
            </w:pPr>
          </w:p>
          <w:p w14:paraId="34CE3907" w14:textId="77777777" w:rsidR="0079161F" w:rsidRPr="008C068C" w:rsidRDefault="00B44FF7" w:rsidP="00750815">
            <w:pPr>
              <w:pStyle w:val="ListParagraph"/>
              <w:numPr>
                <w:ilvl w:val="0"/>
                <w:numId w:val="8"/>
              </w:numPr>
              <w:snapToGrid w:val="0"/>
              <w:contextualSpacing w:val="0"/>
              <w:rPr>
                <w:rFonts w:cstheme="minorHAnsi"/>
                <w:sz w:val="20"/>
                <w:szCs w:val="20"/>
                <w:lang w:val="en-US"/>
              </w:rPr>
            </w:pPr>
            <w:r w:rsidRPr="0090261E">
              <w:rPr>
                <w:rFonts w:cstheme="minorHAnsi"/>
                <w:b/>
                <w:bCs/>
                <w:sz w:val="20"/>
                <w:szCs w:val="20"/>
                <w:lang w:val="en-US"/>
              </w:rPr>
              <w:t>Dividend Policy Reactions:</w:t>
            </w:r>
            <w:r w:rsidRPr="0090261E">
              <w:rPr>
                <w:rFonts w:cstheme="minorHAnsi"/>
                <w:sz w:val="20"/>
                <w:szCs w:val="20"/>
                <w:lang w:val="en-US"/>
              </w:rPr>
              <w:t xml:space="preserve"> The response of stock prices to changes in dividend policy can be non-linear. A company initiating a significantly changing dividend might see a disproportionate stock price reaction.</w:t>
            </w:r>
          </w:p>
        </w:tc>
      </w:tr>
    </w:tbl>
    <w:p w14:paraId="392CB43A" w14:textId="77777777" w:rsidR="0055380E" w:rsidRDefault="00B44FF7" w:rsidP="00750815">
      <w:pPr>
        <w:pStyle w:val="ListParagraph"/>
        <w:numPr>
          <w:ilvl w:val="1"/>
          <w:numId w:val="1"/>
        </w:numPr>
        <w:snapToGrid w:val="0"/>
        <w:spacing w:after="0" w:line="240" w:lineRule="auto"/>
        <w:contextualSpacing w:val="0"/>
        <w:rPr>
          <w:rFonts w:cstheme="minorHAnsi"/>
          <w:b/>
          <w:bCs/>
          <w:sz w:val="20"/>
          <w:szCs w:val="20"/>
          <w:lang w:val="en-US"/>
        </w:rPr>
      </w:pPr>
      <w:r w:rsidRPr="007306AF">
        <w:rPr>
          <w:rFonts w:cstheme="minorHAnsi"/>
          <w:b/>
          <w:bCs/>
          <w:sz w:val="20"/>
          <w:szCs w:val="20"/>
          <w:lang w:val="en-US"/>
        </w:rPr>
        <w:lastRenderedPageBreak/>
        <w:t>Student: Yhasreen</w:t>
      </w:r>
      <w:r>
        <w:rPr>
          <w:rFonts w:cstheme="minorHAnsi"/>
          <w:b/>
          <w:bCs/>
          <w:sz w:val="20"/>
          <w:szCs w:val="20"/>
          <w:lang w:val="en-US"/>
        </w:rPr>
        <w:t xml:space="preserve"> for bond and equity</w:t>
      </w:r>
      <w:r w:rsidR="00966C51">
        <w:rPr>
          <w:rFonts w:cstheme="minorHAnsi"/>
          <w:b/>
          <w:bCs/>
          <w:sz w:val="20"/>
          <w:szCs w:val="20"/>
          <w:lang w:val="en-US"/>
        </w:rPr>
        <w:t xml:space="preserve"> magnifying</w:t>
      </w:r>
      <w:r w:rsidR="00F25FB2">
        <w:rPr>
          <w:rFonts w:cstheme="minorHAnsi"/>
          <w:b/>
          <w:bCs/>
          <w:sz w:val="20"/>
          <w:szCs w:val="20"/>
          <w:lang w:val="en-US"/>
        </w:rPr>
        <w:t xml:space="preserve"> risk</w:t>
      </w:r>
    </w:p>
    <w:tbl>
      <w:tblPr>
        <w:tblStyle w:val="TableGrid"/>
        <w:tblW w:w="0" w:type="auto"/>
        <w:tblLook w:val="04A0" w:firstRow="1" w:lastRow="0" w:firstColumn="1" w:lastColumn="0" w:noHBand="0" w:noVBand="1"/>
      </w:tblPr>
      <w:tblGrid>
        <w:gridCol w:w="473"/>
        <w:gridCol w:w="318"/>
        <w:gridCol w:w="1278"/>
        <w:gridCol w:w="6566"/>
        <w:gridCol w:w="6753"/>
      </w:tblGrid>
      <w:tr w:rsidR="00FD43CB" w14:paraId="5BBBB720" w14:textId="77777777" w:rsidTr="00520261">
        <w:tc>
          <w:tcPr>
            <w:tcW w:w="2069" w:type="dxa"/>
            <w:gridSpan w:val="3"/>
            <w:vMerge w:val="restart"/>
            <w:shd w:val="clear" w:color="auto" w:fill="F2F2F2" w:themeFill="background1" w:themeFillShade="F2"/>
            <w:vAlign w:val="center"/>
          </w:tcPr>
          <w:p w14:paraId="030AE938" w14:textId="77777777" w:rsidR="00B32380" w:rsidRPr="007306AF" w:rsidRDefault="00B44FF7" w:rsidP="00750815">
            <w:pPr>
              <w:pStyle w:val="ListParagraph"/>
              <w:snapToGrid w:val="0"/>
              <w:ind w:left="0"/>
              <w:contextualSpacing w:val="0"/>
              <w:jc w:val="center"/>
              <w:rPr>
                <w:rFonts w:cstheme="minorHAnsi"/>
                <w:b/>
                <w:bCs/>
                <w:sz w:val="20"/>
                <w:szCs w:val="20"/>
                <w:lang w:val="en-US"/>
              </w:rPr>
            </w:pPr>
            <w:r w:rsidRPr="007306AF">
              <w:rPr>
                <w:rFonts w:cstheme="minorHAnsi"/>
                <w:b/>
                <w:bCs/>
                <w:sz w:val="20"/>
                <w:szCs w:val="20"/>
                <w:lang w:val="en-US"/>
              </w:rPr>
              <w:t>Table 1</w:t>
            </w:r>
          </w:p>
        </w:tc>
        <w:tc>
          <w:tcPr>
            <w:tcW w:w="13319" w:type="dxa"/>
            <w:gridSpan w:val="2"/>
            <w:shd w:val="clear" w:color="auto" w:fill="F2F2F2" w:themeFill="background1" w:themeFillShade="F2"/>
            <w:vAlign w:val="center"/>
          </w:tcPr>
          <w:p w14:paraId="54A1BC25" w14:textId="77777777" w:rsidR="00B32380" w:rsidRPr="007306AF" w:rsidRDefault="00B44FF7" w:rsidP="00750815">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Magnifying</w:t>
            </w:r>
            <w:r w:rsidRPr="007306AF">
              <w:rPr>
                <w:rFonts w:cstheme="minorHAnsi"/>
                <w:b/>
                <w:bCs/>
                <w:sz w:val="20"/>
                <w:szCs w:val="20"/>
                <w:lang w:val="en-US"/>
              </w:rPr>
              <w:t xml:space="preserve"> Risk</w:t>
            </w:r>
          </w:p>
        </w:tc>
      </w:tr>
      <w:tr w:rsidR="00FD43CB" w14:paraId="0F69CF83" w14:textId="77777777" w:rsidTr="00520261">
        <w:tc>
          <w:tcPr>
            <w:tcW w:w="2069" w:type="dxa"/>
            <w:gridSpan w:val="3"/>
            <w:vMerge/>
            <w:shd w:val="clear" w:color="auto" w:fill="F2F2F2" w:themeFill="background1" w:themeFillShade="F2"/>
          </w:tcPr>
          <w:p w14:paraId="4B6D35BE" w14:textId="77777777" w:rsidR="00B32380" w:rsidRPr="007306AF" w:rsidRDefault="00B32380" w:rsidP="00750815">
            <w:pPr>
              <w:pStyle w:val="ListParagraph"/>
              <w:snapToGrid w:val="0"/>
              <w:ind w:left="0"/>
              <w:contextualSpacing w:val="0"/>
              <w:jc w:val="center"/>
              <w:rPr>
                <w:rFonts w:cstheme="minorHAnsi"/>
                <w:b/>
                <w:bCs/>
                <w:sz w:val="20"/>
                <w:szCs w:val="20"/>
                <w:lang w:val="en-US"/>
              </w:rPr>
            </w:pPr>
          </w:p>
        </w:tc>
        <w:tc>
          <w:tcPr>
            <w:tcW w:w="6566" w:type="dxa"/>
            <w:shd w:val="clear" w:color="auto" w:fill="F2F2F2" w:themeFill="background1" w:themeFillShade="F2"/>
            <w:vAlign w:val="center"/>
          </w:tcPr>
          <w:p w14:paraId="37B3A22D" w14:textId="77777777" w:rsidR="00B32380" w:rsidRPr="007306AF" w:rsidRDefault="00B44FF7" w:rsidP="00750815">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Invest</w:t>
            </w:r>
            <w:r w:rsidR="0048467B">
              <w:rPr>
                <w:rFonts w:cstheme="minorHAnsi"/>
                <w:b/>
                <w:bCs/>
                <w:sz w:val="20"/>
                <w:szCs w:val="20"/>
                <w:lang w:val="en-US"/>
              </w:rPr>
              <w:t>or</w:t>
            </w:r>
            <w:r w:rsidRPr="007306AF">
              <w:rPr>
                <w:rFonts w:cstheme="minorHAnsi"/>
                <w:b/>
                <w:bCs/>
                <w:sz w:val="20"/>
                <w:szCs w:val="20"/>
                <w:lang w:val="en-US"/>
              </w:rPr>
              <w:t>’s Consideration</w:t>
            </w:r>
          </w:p>
        </w:tc>
        <w:tc>
          <w:tcPr>
            <w:tcW w:w="6753" w:type="dxa"/>
            <w:shd w:val="clear" w:color="auto" w:fill="F2F2F2" w:themeFill="background1" w:themeFillShade="F2"/>
            <w:vAlign w:val="center"/>
          </w:tcPr>
          <w:p w14:paraId="01615E43" w14:textId="77777777" w:rsidR="00B32380" w:rsidRPr="007306AF" w:rsidRDefault="00B44FF7" w:rsidP="00750815">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Invest</w:t>
            </w:r>
            <w:r w:rsidR="0048467B">
              <w:rPr>
                <w:rFonts w:cstheme="minorHAnsi"/>
                <w:b/>
                <w:bCs/>
                <w:sz w:val="20"/>
                <w:szCs w:val="20"/>
                <w:lang w:val="en-US"/>
              </w:rPr>
              <w:t>or</w:t>
            </w:r>
            <w:r w:rsidRPr="007306AF">
              <w:rPr>
                <w:rFonts w:cstheme="minorHAnsi"/>
                <w:b/>
                <w:bCs/>
                <w:sz w:val="20"/>
                <w:szCs w:val="20"/>
                <w:lang w:val="en-US"/>
              </w:rPr>
              <w:t>’</w:t>
            </w:r>
            <w:r w:rsidR="0048467B">
              <w:rPr>
                <w:rFonts w:cstheme="minorHAnsi"/>
                <w:b/>
                <w:bCs/>
                <w:sz w:val="20"/>
                <w:szCs w:val="20"/>
                <w:lang w:val="en-US"/>
              </w:rPr>
              <w:t>s</w:t>
            </w:r>
            <w:r w:rsidRPr="007306AF">
              <w:rPr>
                <w:rFonts w:cstheme="minorHAnsi"/>
                <w:b/>
                <w:bCs/>
                <w:sz w:val="20"/>
                <w:szCs w:val="20"/>
                <w:lang w:val="en-US"/>
              </w:rPr>
              <w:t xml:space="preserve"> Consideration</w:t>
            </w:r>
          </w:p>
        </w:tc>
      </w:tr>
      <w:tr w:rsidR="00FD43CB" w14:paraId="6603749C" w14:textId="77777777" w:rsidTr="00520261">
        <w:tc>
          <w:tcPr>
            <w:tcW w:w="2069" w:type="dxa"/>
            <w:gridSpan w:val="3"/>
            <w:vMerge/>
            <w:shd w:val="clear" w:color="auto" w:fill="F2F2F2" w:themeFill="background1" w:themeFillShade="F2"/>
          </w:tcPr>
          <w:p w14:paraId="694A9DA5" w14:textId="77777777" w:rsidR="00B32380" w:rsidRPr="007306AF" w:rsidRDefault="00B32380" w:rsidP="00750815">
            <w:pPr>
              <w:pStyle w:val="ListParagraph"/>
              <w:snapToGrid w:val="0"/>
              <w:ind w:left="0"/>
              <w:contextualSpacing w:val="0"/>
              <w:jc w:val="center"/>
              <w:rPr>
                <w:rFonts w:cstheme="minorHAnsi"/>
                <w:b/>
                <w:bCs/>
                <w:sz w:val="20"/>
                <w:szCs w:val="20"/>
                <w:lang w:val="en-US"/>
              </w:rPr>
            </w:pPr>
          </w:p>
        </w:tc>
        <w:tc>
          <w:tcPr>
            <w:tcW w:w="6566" w:type="dxa"/>
            <w:shd w:val="clear" w:color="auto" w:fill="F2F2F2" w:themeFill="background1" w:themeFillShade="F2"/>
            <w:vAlign w:val="center"/>
          </w:tcPr>
          <w:p w14:paraId="6E8EAC1A" w14:textId="77777777" w:rsidR="00B32380" w:rsidRPr="007306AF" w:rsidRDefault="00B44FF7" w:rsidP="00750815">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Leverage</w:t>
            </w:r>
            <w:r w:rsidRPr="007306AF">
              <w:rPr>
                <w:rFonts w:cstheme="minorHAnsi"/>
                <w:b/>
                <w:bCs/>
                <w:sz w:val="20"/>
                <w:szCs w:val="20"/>
                <w:lang w:val="en-US"/>
              </w:rPr>
              <w:t xml:space="preserve"> Risk</w:t>
            </w:r>
          </w:p>
        </w:tc>
        <w:tc>
          <w:tcPr>
            <w:tcW w:w="6753" w:type="dxa"/>
            <w:shd w:val="clear" w:color="auto" w:fill="F2F2F2" w:themeFill="background1" w:themeFillShade="F2"/>
            <w:vAlign w:val="center"/>
          </w:tcPr>
          <w:p w14:paraId="726D4BD7" w14:textId="77777777" w:rsidR="00B32380" w:rsidRPr="007306AF" w:rsidRDefault="00B44FF7" w:rsidP="00750815">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Non-Linearity</w:t>
            </w:r>
            <w:r w:rsidRPr="007306AF">
              <w:rPr>
                <w:rFonts w:cstheme="minorHAnsi"/>
                <w:b/>
                <w:bCs/>
                <w:sz w:val="20"/>
                <w:szCs w:val="20"/>
                <w:lang w:val="en-US"/>
              </w:rPr>
              <w:t xml:space="preserve"> Risk</w:t>
            </w:r>
          </w:p>
        </w:tc>
      </w:tr>
      <w:tr w:rsidR="00FD43CB" w14:paraId="2F790058" w14:textId="77777777" w:rsidTr="000D3C42">
        <w:trPr>
          <w:cantSplit/>
          <w:trHeight w:val="1134"/>
        </w:trPr>
        <w:tc>
          <w:tcPr>
            <w:tcW w:w="0" w:type="auto"/>
            <w:shd w:val="clear" w:color="auto" w:fill="F2F2F2" w:themeFill="background1" w:themeFillShade="F2"/>
            <w:textDirection w:val="btLr"/>
          </w:tcPr>
          <w:p w14:paraId="2D9D681A" w14:textId="77777777" w:rsidR="00B32380" w:rsidRPr="007306AF" w:rsidRDefault="00B44FF7" w:rsidP="00750815">
            <w:pPr>
              <w:pStyle w:val="ListParagraph"/>
              <w:snapToGrid w:val="0"/>
              <w:ind w:left="113" w:right="113"/>
              <w:contextualSpacing w:val="0"/>
              <w:jc w:val="center"/>
              <w:rPr>
                <w:rFonts w:cstheme="minorHAnsi"/>
                <w:b/>
                <w:bCs/>
                <w:sz w:val="20"/>
                <w:szCs w:val="20"/>
                <w:lang w:val="en-US"/>
              </w:rPr>
            </w:pPr>
            <w:r w:rsidRPr="007306AF">
              <w:rPr>
                <w:rFonts w:cstheme="minorHAnsi"/>
                <w:b/>
                <w:bCs/>
                <w:sz w:val="20"/>
                <w:szCs w:val="20"/>
                <w:lang w:val="en-US"/>
              </w:rPr>
              <w:t>Security Lending Scenarios</w:t>
            </w:r>
          </w:p>
        </w:tc>
        <w:tc>
          <w:tcPr>
            <w:tcW w:w="0" w:type="auto"/>
            <w:shd w:val="clear" w:color="auto" w:fill="F2F2F2" w:themeFill="background1" w:themeFillShade="F2"/>
            <w:vAlign w:val="center"/>
          </w:tcPr>
          <w:p w14:paraId="0AAF88B6" w14:textId="77777777" w:rsidR="00B32380" w:rsidRPr="007306AF" w:rsidRDefault="00B44FF7" w:rsidP="00750815">
            <w:pPr>
              <w:pStyle w:val="ListParagraph"/>
              <w:snapToGrid w:val="0"/>
              <w:ind w:left="0"/>
              <w:contextualSpacing w:val="0"/>
              <w:jc w:val="center"/>
              <w:rPr>
                <w:rFonts w:cstheme="minorHAnsi"/>
                <w:b/>
                <w:bCs/>
                <w:sz w:val="20"/>
                <w:szCs w:val="20"/>
                <w:lang w:val="en-US"/>
              </w:rPr>
            </w:pPr>
            <w:r w:rsidRPr="007306AF">
              <w:rPr>
                <w:rFonts w:cstheme="minorHAnsi"/>
                <w:b/>
                <w:bCs/>
                <w:sz w:val="20"/>
                <w:szCs w:val="20"/>
                <w:lang w:val="en-US"/>
              </w:rPr>
              <w:t>5</w:t>
            </w:r>
          </w:p>
        </w:tc>
        <w:tc>
          <w:tcPr>
            <w:tcW w:w="1278" w:type="dxa"/>
            <w:shd w:val="clear" w:color="auto" w:fill="F2F2F2" w:themeFill="background1" w:themeFillShade="F2"/>
            <w:vAlign w:val="center"/>
          </w:tcPr>
          <w:p w14:paraId="0B1C6ABD" w14:textId="77777777" w:rsidR="00B32380" w:rsidRPr="007306AF" w:rsidRDefault="00B44FF7" w:rsidP="00750815">
            <w:pPr>
              <w:pStyle w:val="ListParagraph"/>
              <w:snapToGrid w:val="0"/>
              <w:ind w:left="0"/>
              <w:contextualSpacing w:val="0"/>
              <w:rPr>
                <w:rFonts w:cstheme="minorHAnsi"/>
                <w:b/>
                <w:bCs/>
                <w:sz w:val="20"/>
                <w:szCs w:val="20"/>
                <w:lang w:val="en-US"/>
              </w:rPr>
            </w:pPr>
            <w:r w:rsidRPr="007306AF">
              <w:rPr>
                <w:rFonts w:cstheme="minorHAnsi"/>
                <w:b/>
                <w:bCs/>
                <w:sz w:val="20"/>
                <w:szCs w:val="20"/>
                <w:lang w:val="en-US"/>
              </w:rPr>
              <w:t xml:space="preserve">2-year Treasury </w:t>
            </w:r>
          </w:p>
          <w:p w14:paraId="5C37861D" w14:textId="77777777" w:rsidR="00B32380" w:rsidRPr="007306AF" w:rsidRDefault="00B44FF7" w:rsidP="00750815">
            <w:pPr>
              <w:pStyle w:val="ListParagraph"/>
              <w:snapToGrid w:val="0"/>
              <w:ind w:left="0"/>
              <w:contextualSpacing w:val="0"/>
              <w:rPr>
                <w:rFonts w:cstheme="minorHAnsi"/>
                <w:b/>
                <w:bCs/>
                <w:sz w:val="20"/>
                <w:szCs w:val="20"/>
                <w:lang w:val="en-US"/>
              </w:rPr>
            </w:pPr>
            <w:r w:rsidRPr="007306AF">
              <w:rPr>
                <w:rFonts w:cstheme="minorHAnsi"/>
                <w:b/>
                <w:bCs/>
                <w:sz w:val="20"/>
                <w:szCs w:val="20"/>
                <w:lang w:val="en-US"/>
              </w:rPr>
              <w:t>Bond Investment</w:t>
            </w:r>
          </w:p>
        </w:tc>
        <w:tc>
          <w:tcPr>
            <w:tcW w:w="6566" w:type="dxa"/>
            <w:shd w:val="clear" w:color="auto" w:fill="auto"/>
          </w:tcPr>
          <w:p w14:paraId="5920DBE1" w14:textId="77777777" w:rsidR="007D68BA" w:rsidRDefault="00B44FF7" w:rsidP="00750815">
            <w:pPr>
              <w:pStyle w:val="ListParagraph"/>
              <w:numPr>
                <w:ilvl w:val="0"/>
                <w:numId w:val="3"/>
              </w:numPr>
              <w:snapToGrid w:val="0"/>
              <w:contextualSpacing w:val="0"/>
              <w:rPr>
                <w:rFonts w:cstheme="minorHAnsi"/>
                <w:sz w:val="20"/>
                <w:szCs w:val="20"/>
                <w:lang w:val="en-US"/>
              </w:rPr>
            </w:pPr>
            <w:r w:rsidRPr="003F7FD2">
              <w:rPr>
                <w:rFonts w:cstheme="minorHAnsi"/>
                <w:b/>
                <w:bCs/>
                <w:sz w:val="20"/>
                <w:szCs w:val="20"/>
                <w:lang w:val="en-US"/>
              </w:rPr>
              <w:t>Opportunity Cost:</w:t>
            </w:r>
            <w:r w:rsidRPr="00787E94">
              <w:rPr>
                <w:rFonts w:cstheme="minorHAnsi"/>
                <w:sz w:val="20"/>
                <w:szCs w:val="20"/>
                <w:lang w:val="en-US"/>
              </w:rPr>
              <w:t xml:space="preserve"> The 2-year Treasury bonds are low-risk assets when held to maturity without leverage, but introducing leverage can significantly alter their risk profile. </w:t>
            </w:r>
            <w:r w:rsidRPr="007D68BA">
              <w:rPr>
                <w:rFonts w:cstheme="minorHAnsi"/>
                <w:sz w:val="20"/>
                <w:szCs w:val="20"/>
                <w:lang w:val="en-US"/>
              </w:rPr>
              <w:t>By committing more funds to a leveraged Treasury position, investors might benefit from other investment opportunities that offer better returns.</w:t>
            </w:r>
          </w:p>
          <w:p w14:paraId="5CA01C4E" w14:textId="77777777" w:rsidR="000D3C42" w:rsidRPr="007D68BA" w:rsidRDefault="000D3C42" w:rsidP="000D3C42">
            <w:pPr>
              <w:pStyle w:val="ListParagraph"/>
              <w:snapToGrid w:val="0"/>
              <w:ind w:left="360"/>
              <w:contextualSpacing w:val="0"/>
              <w:rPr>
                <w:rFonts w:cstheme="minorHAnsi"/>
                <w:sz w:val="20"/>
                <w:szCs w:val="20"/>
                <w:lang w:val="en-US"/>
              </w:rPr>
            </w:pPr>
          </w:p>
          <w:p w14:paraId="056AC6D0" w14:textId="77777777" w:rsidR="00787E94" w:rsidRPr="007D68BA" w:rsidRDefault="00B44FF7" w:rsidP="00750815">
            <w:pPr>
              <w:pStyle w:val="ListParagraph"/>
              <w:numPr>
                <w:ilvl w:val="0"/>
                <w:numId w:val="3"/>
              </w:numPr>
              <w:snapToGrid w:val="0"/>
              <w:contextualSpacing w:val="0"/>
              <w:rPr>
                <w:rFonts w:cstheme="minorHAnsi"/>
                <w:sz w:val="20"/>
                <w:szCs w:val="20"/>
                <w:lang w:val="en-US"/>
              </w:rPr>
            </w:pPr>
            <w:r w:rsidRPr="003F7FD2">
              <w:rPr>
                <w:rFonts w:cstheme="minorHAnsi"/>
                <w:b/>
                <w:bCs/>
                <w:sz w:val="20"/>
                <w:szCs w:val="20"/>
                <w:lang w:val="en-US"/>
              </w:rPr>
              <w:t>Amplified Interest Rate Risk:</w:t>
            </w:r>
            <w:r w:rsidRPr="00787E94">
              <w:rPr>
                <w:rFonts w:cstheme="minorHAnsi"/>
                <w:sz w:val="20"/>
                <w:szCs w:val="20"/>
                <w:lang w:val="en-US"/>
              </w:rPr>
              <w:t xml:space="preserve"> When investors use leverage to invest in 2-year Treasury bonds or any other fixed-income securities, they effectively borrow money to amplify their exposure to the asset. The leverage magnifies both potential returns and potential losses. </w:t>
            </w:r>
            <w:r w:rsidRPr="007D68BA">
              <w:rPr>
                <w:rFonts w:cstheme="minorHAnsi"/>
                <w:sz w:val="20"/>
                <w:szCs w:val="20"/>
                <w:lang w:val="en-US"/>
              </w:rPr>
              <w:t>The primary risk associated with Treasury bonds is interest rate risk. When interest rates rise, bond prices fall, and vice versa. By using leverage, investors amplify this risk. For instance, if rates rise and the bond's price drops by 1%, a 2:1 leveraged position would result in a 2% loss, not accounting for borrowing costs.</w:t>
            </w:r>
            <w:r>
              <w:rPr>
                <w:rFonts w:cstheme="minorHAnsi"/>
                <w:sz w:val="20"/>
                <w:szCs w:val="20"/>
                <w:lang w:val="en-US"/>
              </w:rPr>
              <w:t xml:space="preserve"> </w:t>
            </w:r>
          </w:p>
          <w:p w14:paraId="6C59D14F" w14:textId="77777777" w:rsidR="00787E94" w:rsidRPr="00787E94" w:rsidRDefault="00B44FF7" w:rsidP="00750815">
            <w:pPr>
              <w:pStyle w:val="ListParagraph"/>
              <w:numPr>
                <w:ilvl w:val="0"/>
                <w:numId w:val="3"/>
              </w:numPr>
              <w:snapToGrid w:val="0"/>
              <w:contextualSpacing w:val="0"/>
              <w:rPr>
                <w:rFonts w:cstheme="minorHAnsi"/>
                <w:sz w:val="20"/>
                <w:szCs w:val="20"/>
                <w:lang w:val="en-US"/>
              </w:rPr>
            </w:pPr>
            <w:r w:rsidRPr="003F7FD2">
              <w:rPr>
                <w:rFonts w:cstheme="minorHAnsi"/>
                <w:b/>
                <w:bCs/>
                <w:sz w:val="20"/>
                <w:szCs w:val="20"/>
                <w:lang w:val="en-US"/>
              </w:rPr>
              <w:t>Margin Calls:</w:t>
            </w:r>
            <w:r w:rsidRPr="00787E94">
              <w:rPr>
                <w:rFonts w:cstheme="minorHAnsi"/>
                <w:sz w:val="20"/>
                <w:szCs w:val="20"/>
                <w:lang w:val="en-US"/>
              </w:rPr>
              <w:t xml:space="preserve"> If the value of the leveraged Treasury bond position falls below the broker's maintenance margin requirement, the investor may face a margin call. Margin maintenance requires the investor to deposit more funds or sell assets to cover the deficit.</w:t>
            </w:r>
          </w:p>
          <w:p w14:paraId="4CBFA2EF" w14:textId="77777777" w:rsidR="00787E94" w:rsidRPr="00787E94" w:rsidRDefault="00B44FF7" w:rsidP="00750815">
            <w:pPr>
              <w:pStyle w:val="ListParagraph"/>
              <w:numPr>
                <w:ilvl w:val="0"/>
                <w:numId w:val="3"/>
              </w:numPr>
              <w:snapToGrid w:val="0"/>
              <w:contextualSpacing w:val="0"/>
              <w:rPr>
                <w:rFonts w:cstheme="minorHAnsi"/>
                <w:sz w:val="20"/>
                <w:szCs w:val="20"/>
                <w:lang w:val="en-US"/>
              </w:rPr>
            </w:pPr>
            <w:r w:rsidRPr="003F7FD2">
              <w:rPr>
                <w:rFonts w:cstheme="minorHAnsi"/>
                <w:b/>
                <w:bCs/>
                <w:sz w:val="20"/>
                <w:szCs w:val="20"/>
                <w:lang w:val="en-US"/>
              </w:rPr>
              <w:t>Higher Costs:</w:t>
            </w:r>
            <w:r w:rsidRPr="00787E94">
              <w:rPr>
                <w:rFonts w:cstheme="minorHAnsi"/>
                <w:sz w:val="20"/>
                <w:szCs w:val="20"/>
                <w:lang w:val="en-US"/>
              </w:rPr>
              <w:t xml:space="preserve"> Leveraging involves costs, including interest on borrowed funds. These borrowing costs can erode potential returns, especially if the yield on the Treasury bond is low.</w:t>
            </w:r>
          </w:p>
          <w:p w14:paraId="6EDA7F91" w14:textId="77777777" w:rsidR="00787E94" w:rsidRPr="00787E94" w:rsidRDefault="00B44FF7" w:rsidP="00750815">
            <w:pPr>
              <w:pStyle w:val="ListParagraph"/>
              <w:numPr>
                <w:ilvl w:val="0"/>
                <w:numId w:val="3"/>
              </w:numPr>
              <w:snapToGrid w:val="0"/>
              <w:contextualSpacing w:val="0"/>
              <w:rPr>
                <w:rFonts w:cstheme="minorHAnsi"/>
                <w:sz w:val="20"/>
                <w:szCs w:val="20"/>
                <w:lang w:val="en-US"/>
              </w:rPr>
            </w:pPr>
            <w:r w:rsidRPr="003F7FD2">
              <w:rPr>
                <w:rFonts w:cstheme="minorHAnsi"/>
                <w:b/>
                <w:bCs/>
                <w:sz w:val="20"/>
                <w:szCs w:val="20"/>
                <w:lang w:val="en-US"/>
              </w:rPr>
              <w:t>Liquidity Risk:</w:t>
            </w:r>
            <w:r w:rsidRPr="00787E94">
              <w:rPr>
                <w:rFonts w:cstheme="minorHAnsi"/>
                <w:sz w:val="20"/>
                <w:szCs w:val="20"/>
                <w:lang w:val="en-US"/>
              </w:rPr>
              <w:t xml:space="preserve"> While 2-year Treasury bonds are highly liquid, there can be moments of reduced liquidity in stressed market conditions. Reduction in liquidity makes it easier to sell the position if it incurs a significant price impact, especially for prominent leveraged positions.</w:t>
            </w:r>
            <w:r w:rsidR="007D68BA">
              <w:rPr>
                <w:rFonts w:cstheme="minorHAnsi"/>
                <w:sz w:val="20"/>
                <w:szCs w:val="20"/>
                <w:lang w:val="en-US"/>
              </w:rPr>
              <w:t xml:space="preserve"> </w:t>
            </w:r>
          </w:p>
          <w:p w14:paraId="4F5CC839" w14:textId="77777777" w:rsidR="00787E94" w:rsidRPr="00787E94" w:rsidRDefault="00B44FF7" w:rsidP="00750815">
            <w:pPr>
              <w:pStyle w:val="ListParagraph"/>
              <w:numPr>
                <w:ilvl w:val="0"/>
                <w:numId w:val="3"/>
              </w:numPr>
              <w:snapToGrid w:val="0"/>
              <w:contextualSpacing w:val="0"/>
              <w:rPr>
                <w:rFonts w:cstheme="minorHAnsi"/>
                <w:sz w:val="20"/>
                <w:szCs w:val="20"/>
                <w:lang w:val="en-US"/>
              </w:rPr>
            </w:pPr>
            <w:r w:rsidRPr="003F7FD2">
              <w:rPr>
                <w:rFonts w:cstheme="minorHAnsi"/>
                <w:b/>
                <w:bCs/>
                <w:sz w:val="20"/>
                <w:szCs w:val="20"/>
                <w:lang w:val="en-US"/>
              </w:rPr>
              <w:t>Potential for Faster Capital Erosion:</w:t>
            </w:r>
            <w:r w:rsidRPr="00787E94">
              <w:rPr>
                <w:rFonts w:cstheme="minorHAnsi"/>
                <w:sz w:val="20"/>
                <w:szCs w:val="20"/>
                <w:lang w:val="en-US"/>
              </w:rPr>
              <w:t xml:space="preserve"> Given the generally lower volatility and yield of 2-year Treasury bonds than equities, capital erosion due to borrowing costs can be more pronounced, mainly if bond yields are near historic lows.</w:t>
            </w:r>
          </w:p>
          <w:p w14:paraId="357A17F0" w14:textId="77777777" w:rsidR="00B32380" w:rsidRPr="007D68BA" w:rsidRDefault="00B44FF7" w:rsidP="00750815">
            <w:pPr>
              <w:pStyle w:val="ListParagraph"/>
              <w:numPr>
                <w:ilvl w:val="0"/>
                <w:numId w:val="3"/>
              </w:numPr>
              <w:snapToGrid w:val="0"/>
              <w:contextualSpacing w:val="0"/>
              <w:rPr>
                <w:rFonts w:cstheme="minorHAnsi"/>
                <w:sz w:val="20"/>
                <w:szCs w:val="20"/>
                <w:lang w:val="en-US"/>
              </w:rPr>
            </w:pPr>
            <w:r w:rsidRPr="003F7FD2">
              <w:rPr>
                <w:rFonts w:cstheme="minorHAnsi"/>
                <w:b/>
                <w:bCs/>
                <w:sz w:val="20"/>
                <w:szCs w:val="20"/>
                <w:lang w:val="en-US"/>
              </w:rPr>
              <w:t>Leverage Resets:</w:t>
            </w:r>
            <w:r w:rsidRPr="00787E94">
              <w:rPr>
                <w:rFonts w:cstheme="minorHAnsi"/>
                <w:sz w:val="20"/>
                <w:szCs w:val="20"/>
                <w:lang w:val="en-US"/>
              </w:rPr>
              <w:t xml:space="preserve"> If an investor uses financial products that employ daily leverage resets like certain leveraged ETFs, compounding can lead to returns that deviate significantly from the expected 2x leveraged returns over extended periods.</w:t>
            </w:r>
            <w:r w:rsidR="00705AD2">
              <w:rPr>
                <w:rFonts w:cstheme="minorHAnsi"/>
                <w:sz w:val="20"/>
                <w:szCs w:val="20"/>
                <w:lang w:val="en-US"/>
              </w:rPr>
              <w:t xml:space="preserve"> </w:t>
            </w:r>
            <w:r w:rsidR="00705AD2" w:rsidRPr="00705AD2">
              <w:rPr>
                <w:rFonts w:cstheme="minorHAnsi"/>
                <w:b/>
                <w:bCs/>
                <w:color w:val="00B050"/>
                <w:sz w:val="20"/>
                <w:szCs w:val="20"/>
                <w:lang w:val="en-US"/>
              </w:rPr>
              <w:t>[</w:t>
            </w:r>
            <w:proofErr w:type="spellStart"/>
            <w:r w:rsidR="00705AD2" w:rsidRPr="00705AD2">
              <w:rPr>
                <w:rFonts w:cstheme="minorHAnsi"/>
                <w:b/>
                <w:bCs/>
                <w:color w:val="00B050"/>
                <w:sz w:val="20"/>
                <w:szCs w:val="20"/>
                <w:lang w:val="en-US"/>
              </w:rPr>
              <w:t>Linkedin</w:t>
            </w:r>
            <w:proofErr w:type="spellEnd"/>
            <w:r w:rsidR="00705AD2" w:rsidRPr="00705AD2">
              <w:rPr>
                <w:rFonts w:cstheme="minorHAnsi"/>
                <w:b/>
                <w:bCs/>
                <w:color w:val="00B050"/>
                <w:sz w:val="20"/>
                <w:szCs w:val="20"/>
                <w:lang w:val="en-US"/>
              </w:rPr>
              <w:t>]</w:t>
            </w:r>
          </w:p>
        </w:tc>
        <w:tc>
          <w:tcPr>
            <w:tcW w:w="6753" w:type="dxa"/>
            <w:shd w:val="clear" w:color="auto" w:fill="auto"/>
          </w:tcPr>
          <w:p w14:paraId="27F514E0" w14:textId="77777777" w:rsidR="007D68BA" w:rsidRDefault="00B44FF7" w:rsidP="00750815">
            <w:pPr>
              <w:pStyle w:val="ListParagraph"/>
              <w:numPr>
                <w:ilvl w:val="0"/>
                <w:numId w:val="4"/>
              </w:numPr>
              <w:snapToGrid w:val="0"/>
              <w:contextualSpacing w:val="0"/>
              <w:rPr>
                <w:rFonts w:cstheme="minorHAnsi"/>
                <w:sz w:val="20"/>
                <w:szCs w:val="20"/>
                <w:lang w:val="en-US"/>
              </w:rPr>
            </w:pPr>
            <w:r w:rsidRPr="007D68BA">
              <w:rPr>
                <w:rFonts w:cstheme="minorHAnsi"/>
                <w:sz w:val="20"/>
                <w:szCs w:val="20"/>
                <w:lang w:val="en-US"/>
              </w:rPr>
              <w:t xml:space="preserve">Non-linearity risk in the context of a 2-year Treasury bond pertains to the potential for disproportionate or unexpected changes in the bond's price in response to various influencing factors. </w:t>
            </w:r>
          </w:p>
          <w:p w14:paraId="002EA22E" w14:textId="77777777" w:rsidR="00514D1B" w:rsidRPr="007D68BA" w:rsidRDefault="00514D1B" w:rsidP="00514D1B">
            <w:pPr>
              <w:pStyle w:val="ListParagraph"/>
              <w:snapToGrid w:val="0"/>
              <w:ind w:left="360"/>
              <w:contextualSpacing w:val="0"/>
              <w:rPr>
                <w:rFonts w:cstheme="minorHAnsi"/>
                <w:sz w:val="20"/>
                <w:szCs w:val="20"/>
                <w:lang w:val="en-US"/>
              </w:rPr>
            </w:pPr>
          </w:p>
          <w:p w14:paraId="18107928" w14:textId="77777777" w:rsidR="007D68BA" w:rsidRPr="007D68BA" w:rsidRDefault="00B44FF7" w:rsidP="00750815">
            <w:pPr>
              <w:pStyle w:val="ListParagraph"/>
              <w:numPr>
                <w:ilvl w:val="0"/>
                <w:numId w:val="4"/>
              </w:numPr>
              <w:snapToGrid w:val="0"/>
              <w:contextualSpacing w:val="0"/>
              <w:rPr>
                <w:rFonts w:cstheme="minorHAnsi"/>
                <w:sz w:val="20"/>
                <w:szCs w:val="20"/>
                <w:lang w:val="en-US"/>
              </w:rPr>
            </w:pPr>
            <w:r w:rsidRPr="002747A9">
              <w:rPr>
                <w:rFonts w:cstheme="minorHAnsi"/>
                <w:b/>
                <w:bCs/>
                <w:sz w:val="20"/>
                <w:szCs w:val="20"/>
                <w:lang w:val="en-US"/>
              </w:rPr>
              <w:t>Interest Rate Risk:</w:t>
            </w:r>
            <w:r w:rsidRPr="007D68BA">
              <w:rPr>
                <w:rFonts w:cstheme="minorHAnsi"/>
                <w:sz w:val="20"/>
                <w:szCs w:val="20"/>
                <w:lang w:val="en-US"/>
              </w:rPr>
              <w:t xml:space="preserve"> While interest rate movements impact all bonds, the relationship might not always be linear, especially with short-term fluctuations. A sizeable sudden move in interest rates might cause a disproportionate price change in the bond compared to a series of more minor rate changes that sum up to the exact total change.</w:t>
            </w:r>
          </w:p>
          <w:p w14:paraId="4B04C115" w14:textId="51643B07" w:rsidR="007D68BA" w:rsidRPr="007D68BA" w:rsidRDefault="00B44FF7" w:rsidP="00750815">
            <w:pPr>
              <w:pStyle w:val="ListParagraph"/>
              <w:numPr>
                <w:ilvl w:val="0"/>
                <w:numId w:val="4"/>
              </w:numPr>
              <w:snapToGrid w:val="0"/>
              <w:contextualSpacing w:val="0"/>
              <w:rPr>
                <w:rFonts w:cstheme="minorHAnsi"/>
                <w:sz w:val="20"/>
                <w:szCs w:val="20"/>
                <w:lang w:val="en-US"/>
              </w:rPr>
            </w:pPr>
            <w:r w:rsidRPr="002747A9">
              <w:rPr>
                <w:rFonts w:cstheme="minorHAnsi"/>
                <w:b/>
                <w:bCs/>
                <w:sz w:val="20"/>
                <w:szCs w:val="20"/>
                <w:lang w:val="en-US"/>
              </w:rPr>
              <w:t>Convexity</w:t>
            </w:r>
            <w:r w:rsidRPr="007D68BA">
              <w:rPr>
                <w:rFonts w:cstheme="minorHAnsi"/>
                <w:sz w:val="20"/>
                <w:szCs w:val="20"/>
                <w:lang w:val="en-US"/>
              </w:rPr>
              <w:t xml:space="preserve"> measures the curvature in the relationship between bond prices and bond yields. It describes how the duration of a bond changes as interest rates change. For Treasury bonds, positive convexity means that as interest rates decrease, bond prices rise at an increasing rate, and as rates increase, bond prices fall but at a decreasing rate. This non-linear relationship can impact the returns and risks for investors.</w:t>
            </w:r>
            <w:r w:rsidR="006F23A7">
              <w:rPr>
                <w:rFonts w:cstheme="minorHAnsi"/>
                <w:sz w:val="20"/>
                <w:szCs w:val="20"/>
                <w:lang w:val="en-US"/>
              </w:rPr>
              <w:t xml:space="preserve"> </w:t>
            </w:r>
            <w:r w:rsidR="006F23A7" w:rsidRPr="006F23A7">
              <w:rPr>
                <w:rFonts w:cstheme="minorHAnsi"/>
                <w:b/>
                <w:bCs/>
                <w:color w:val="00B050"/>
                <w:sz w:val="20"/>
                <w:szCs w:val="20"/>
                <w:lang w:val="en-US"/>
              </w:rPr>
              <w:t>[</w:t>
            </w:r>
            <w:proofErr w:type="spellStart"/>
            <w:r w:rsidR="006F23A7" w:rsidRPr="006F23A7">
              <w:rPr>
                <w:rFonts w:cstheme="minorHAnsi"/>
                <w:b/>
                <w:bCs/>
                <w:color w:val="00B050"/>
                <w:sz w:val="20"/>
                <w:szCs w:val="20"/>
                <w:lang w:val="en-US"/>
              </w:rPr>
              <w:t>financestrategist</w:t>
            </w:r>
            <w:proofErr w:type="spellEnd"/>
            <w:r w:rsidR="006F23A7" w:rsidRPr="006F23A7">
              <w:rPr>
                <w:rFonts w:cstheme="minorHAnsi"/>
                <w:b/>
                <w:bCs/>
                <w:color w:val="00B050"/>
                <w:sz w:val="20"/>
                <w:szCs w:val="20"/>
                <w:lang w:val="en-US"/>
              </w:rPr>
              <w:t>]</w:t>
            </w:r>
          </w:p>
          <w:p w14:paraId="10702AC4" w14:textId="77777777" w:rsidR="007D68BA" w:rsidRDefault="00B44FF7" w:rsidP="00750815">
            <w:pPr>
              <w:pStyle w:val="ListParagraph"/>
              <w:numPr>
                <w:ilvl w:val="0"/>
                <w:numId w:val="4"/>
              </w:numPr>
              <w:snapToGrid w:val="0"/>
              <w:contextualSpacing w:val="0"/>
              <w:rPr>
                <w:rFonts w:cstheme="minorHAnsi"/>
                <w:sz w:val="20"/>
                <w:szCs w:val="20"/>
                <w:lang w:val="en-US"/>
              </w:rPr>
            </w:pPr>
            <w:r w:rsidRPr="002747A9">
              <w:rPr>
                <w:rFonts w:cstheme="minorHAnsi"/>
                <w:b/>
                <w:bCs/>
                <w:sz w:val="20"/>
                <w:szCs w:val="20"/>
                <w:lang w:val="en-US"/>
              </w:rPr>
              <w:t>Liquidity Dynamics:</w:t>
            </w:r>
            <w:r w:rsidRPr="007D68BA">
              <w:rPr>
                <w:rFonts w:cstheme="minorHAnsi"/>
                <w:sz w:val="20"/>
                <w:szCs w:val="20"/>
                <w:lang w:val="en-US"/>
              </w:rPr>
              <w:t xml:space="preserve"> 2-year Treasury bonds are among the most liquid securities. The relationship between trade size and price impact can become non-linear in extreme market stress or dislocation. Larger trades affect prices disproportionately compared to smaller trades.</w:t>
            </w:r>
          </w:p>
          <w:p w14:paraId="3A25489E" w14:textId="77777777" w:rsidR="005F6D6C" w:rsidRPr="007D68BA" w:rsidRDefault="005F6D6C" w:rsidP="005F6D6C">
            <w:pPr>
              <w:pStyle w:val="ListParagraph"/>
              <w:snapToGrid w:val="0"/>
              <w:ind w:left="360"/>
              <w:contextualSpacing w:val="0"/>
              <w:rPr>
                <w:rFonts w:cstheme="minorHAnsi"/>
                <w:sz w:val="20"/>
                <w:szCs w:val="20"/>
                <w:lang w:val="en-US"/>
              </w:rPr>
            </w:pPr>
          </w:p>
          <w:p w14:paraId="435F9DB4" w14:textId="77777777" w:rsidR="000B7F25" w:rsidRDefault="00B44FF7" w:rsidP="00750815">
            <w:pPr>
              <w:pStyle w:val="ListParagraph"/>
              <w:numPr>
                <w:ilvl w:val="0"/>
                <w:numId w:val="4"/>
              </w:numPr>
              <w:snapToGrid w:val="0"/>
              <w:contextualSpacing w:val="0"/>
              <w:rPr>
                <w:rFonts w:cstheme="minorHAnsi"/>
                <w:sz w:val="20"/>
                <w:szCs w:val="20"/>
                <w:lang w:val="en-US"/>
              </w:rPr>
            </w:pPr>
            <w:r>
              <w:rPr>
                <w:rFonts w:cstheme="minorHAnsi"/>
                <w:b/>
                <w:bCs/>
                <w:sz w:val="20"/>
                <w:szCs w:val="20"/>
                <w:lang w:val="en-US"/>
              </w:rPr>
              <w:t>Seek safer investment</w:t>
            </w:r>
            <w:r w:rsidRPr="002747A9">
              <w:rPr>
                <w:rFonts w:cstheme="minorHAnsi"/>
                <w:b/>
                <w:bCs/>
                <w:sz w:val="20"/>
                <w:szCs w:val="20"/>
                <w:lang w:val="en-US"/>
              </w:rPr>
              <w:t>:</w:t>
            </w:r>
            <w:r w:rsidRPr="007D68BA">
              <w:rPr>
                <w:rFonts w:cstheme="minorHAnsi"/>
                <w:sz w:val="20"/>
                <w:szCs w:val="20"/>
                <w:lang w:val="en-US"/>
              </w:rPr>
              <w:t xml:space="preserve"> During periods of market stress, there is often a "flight-to-quality" where investors seek out safe-haven assets like U.S. Treasury bonds. The sudden shift to bonds can lead to non-linear price movements in Treasury bonds, with prices rising quickly due to increased demand.</w:t>
            </w:r>
            <w:r w:rsidR="00DD35C7">
              <w:rPr>
                <w:rFonts w:cstheme="minorHAnsi"/>
                <w:sz w:val="20"/>
                <w:szCs w:val="20"/>
                <w:lang w:val="en-US"/>
              </w:rPr>
              <w:t xml:space="preserve"> </w:t>
            </w:r>
            <w:r w:rsidRPr="00DD35C7">
              <w:rPr>
                <w:rFonts w:cstheme="minorHAnsi"/>
                <w:sz w:val="20"/>
                <w:szCs w:val="20"/>
                <w:lang w:val="en-US"/>
              </w:rPr>
              <w:t>The dynamic shifts in demand between short-term and long-term bonds can introduce non-linear price dynamics. For instance, if there is a sudden surge in demand for short-term bonds relative to long-term ones, the 2-year bond might experience a non-proportional price increase.</w:t>
            </w:r>
          </w:p>
          <w:p w14:paraId="4631E718" w14:textId="77777777" w:rsidR="007D68BA" w:rsidRPr="007D68BA" w:rsidRDefault="00B44FF7" w:rsidP="00750815">
            <w:pPr>
              <w:pStyle w:val="ListParagraph"/>
              <w:numPr>
                <w:ilvl w:val="0"/>
                <w:numId w:val="4"/>
              </w:numPr>
              <w:snapToGrid w:val="0"/>
              <w:contextualSpacing w:val="0"/>
              <w:rPr>
                <w:rFonts w:cstheme="minorHAnsi"/>
                <w:sz w:val="20"/>
                <w:szCs w:val="20"/>
                <w:lang w:val="en-US"/>
              </w:rPr>
            </w:pPr>
            <w:r w:rsidRPr="000B133C">
              <w:rPr>
                <w:rFonts w:cstheme="minorHAnsi"/>
                <w:b/>
                <w:bCs/>
                <w:sz w:val="20"/>
                <w:szCs w:val="20"/>
                <w:lang w:val="en-US"/>
              </w:rPr>
              <w:t>Unexpected geopolitical events</w:t>
            </w:r>
            <w:r w:rsidR="000B133C" w:rsidRPr="000B133C">
              <w:rPr>
                <w:rFonts w:cstheme="minorHAnsi"/>
                <w:b/>
                <w:bCs/>
                <w:sz w:val="20"/>
                <w:szCs w:val="20"/>
                <w:lang w:val="en-US"/>
              </w:rPr>
              <w:t>:</w:t>
            </w:r>
            <w:r w:rsidR="000B133C">
              <w:rPr>
                <w:rFonts w:cstheme="minorHAnsi"/>
                <w:sz w:val="20"/>
                <w:szCs w:val="20"/>
                <w:lang w:val="en-US"/>
              </w:rPr>
              <w:t xml:space="preserve"> Foreign </w:t>
            </w:r>
            <w:r w:rsidRPr="007D68BA">
              <w:rPr>
                <w:rFonts w:cstheme="minorHAnsi"/>
                <w:sz w:val="20"/>
                <w:szCs w:val="20"/>
                <w:lang w:val="en-US"/>
              </w:rPr>
              <w:t>policy changes</w:t>
            </w:r>
            <w:r w:rsidR="000B133C">
              <w:rPr>
                <w:rFonts w:cstheme="minorHAnsi"/>
                <w:sz w:val="20"/>
                <w:szCs w:val="20"/>
                <w:lang w:val="en-US"/>
              </w:rPr>
              <w:t xml:space="preserve"> </w:t>
            </w:r>
            <w:r w:rsidRPr="007D68BA">
              <w:rPr>
                <w:rFonts w:cstheme="minorHAnsi"/>
                <w:sz w:val="20"/>
                <w:szCs w:val="20"/>
                <w:lang w:val="en-US"/>
              </w:rPr>
              <w:t>can cause sudden and non-linear price movements in Treasury bonds.</w:t>
            </w:r>
          </w:p>
          <w:p w14:paraId="037B625B" w14:textId="77777777" w:rsidR="00B32380" w:rsidRPr="002747A9" w:rsidRDefault="00B44FF7" w:rsidP="00750815">
            <w:pPr>
              <w:pStyle w:val="ListParagraph"/>
              <w:numPr>
                <w:ilvl w:val="0"/>
                <w:numId w:val="4"/>
              </w:numPr>
              <w:snapToGrid w:val="0"/>
              <w:contextualSpacing w:val="0"/>
              <w:rPr>
                <w:rFonts w:cstheme="minorHAnsi"/>
                <w:sz w:val="20"/>
                <w:szCs w:val="20"/>
                <w:lang w:val="en-US"/>
              </w:rPr>
            </w:pPr>
            <w:r w:rsidRPr="002747A9">
              <w:rPr>
                <w:rFonts w:cstheme="minorHAnsi"/>
                <w:b/>
                <w:bCs/>
                <w:sz w:val="20"/>
                <w:szCs w:val="20"/>
                <w:lang w:val="en-US"/>
              </w:rPr>
              <w:t>Leveraged Investments:</w:t>
            </w:r>
            <w:r w:rsidRPr="007D68BA">
              <w:rPr>
                <w:rFonts w:cstheme="minorHAnsi"/>
                <w:sz w:val="20"/>
                <w:szCs w:val="20"/>
                <w:lang w:val="en-US"/>
              </w:rPr>
              <w:t xml:space="preserve"> If an investor uses financial products with embedded leverage to invest in 2-year Treasury bonds, the returns and losses can become non-linear relative to the underlying bond's performance.</w:t>
            </w:r>
            <w:r w:rsidR="002A3AF9">
              <w:rPr>
                <w:rFonts w:cstheme="minorHAnsi"/>
                <w:sz w:val="20"/>
                <w:szCs w:val="20"/>
                <w:lang w:val="en-US"/>
              </w:rPr>
              <w:t xml:space="preserve"> </w:t>
            </w:r>
          </w:p>
        </w:tc>
      </w:tr>
    </w:tbl>
    <w:p w14:paraId="500F0E27" w14:textId="77777777" w:rsidR="00750815" w:rsidRDefault="00750815" w:rsidP="00750815">
      <w:pPr>
        <w:pStyle w:val="ListParagraph"/>
        <w:snapToGrid w:val="0"/>
        <w:spacing w:after="0" w:line="240" w:lineRule="auto"/>
        <w:ind w:left="936"/>
        <w:contextualSpacing w:val="0"/>
        <w:rPr>
          <w:rFonts w:cstheme="minorHAnsi"/>
          <w:b/>
          <w:bCs/>
          <w:sz w:val="20"/>
          <w:szCs w:val="20"/>
          <w:lang w:val="en-US"/>
        </w:rPr>
      </w:pPr>
    </w:p>
    <w:p w14:paraId="2F09507B" w14:textId="77777777" w:rsidR="00810D4B" w:rsidRPr="00B32380" w:rsidRDefault="00B44FF7" w:rsidP="00750815">
      <w:pPr>
        <w:pStyle w:val="ListParagraph"/>
        <w:numPr>
          <w:ilvl w:val="1"/>
          <w:numId w:val="1"/>
        </w:numPr>
        <w:snapToGrid w:val="0"/>
        <w:spacing w:after="0" w:line="240" w:lineRule="auto"/>
        <w:contextualSpacing w:val="0"/>
        <w:rPr>
          <w:rFonts w:cstheme="minorHAnsi"/>
          <w:b/>
          <w:bCs/>
          <w:sz w:val="20"/>
          <w:szCs w:val="20"/>
          <w:lang w:val="en-US"/>
        </w:rPr>
      </w:pPr>
      <w:r w:rsidRPr="00B32380">
        <w:rPr>
          <w:rFonts w:cstheme="minorHAnsi"/>
          <w:b/>
          <w:bCs/>
          <w:sz w:val="20"/>
          <w:szCs w:val="20"/>
          <w:lang w:val="en-US"/>
        </w:rPr>
        <w:lastRenderedPageBreak/>
        <w:t>Student:</w:t>
      </w:r>
      <w:r w:rsidRPr="00B32380">
        <w:rPr>
          <w:rFonts w:cstheme="minorHAnsi"/>
          <w:b/>
          <w:bCs/>
          <w:sz w:val="20"/>
          <w:szCs w:val="20"/>
        </w:rPr>
        <w:t xml:space="preserve"> </w:t>
      </w:r>
      <w:r w:rsidRPr="00B32380">
        <w:rPr>
          <w:rFonts w:cstheme="minorHAnsi"/>
          <w:b/>
          <w:bCs/>
          <w:sz w:val="20"/>
          <w:szCs w:val="20"/>
          <w:lang w:val="en-US"/>
        </w:rPr>
        <w:t>Ebenezer Illiquid Securit</w:t>
      </w:r>
      <w:r w:rsidR="00F25FB2">
        <w:rPr>
          <w:rFonts w:cstheme="minorHAnsi"/>
          <w:b/>
          <w:bCs/>
          <w:sz w:val="20"/>
          <w:szCs w:val="20"/>
          <w:lang w:val="en-US"/>
        </w:rPr>
        <w:t>y</w:t>
      </w:r>
      <w:r w:rsidRPr="00B32380">
        <w:rPr>
          <w:rFonts w:cstheme="minorHAnsi"/>
          <w:b/>
          <w:bCs/>
          <w:sz w:val="20"/>
          <w:szCs w:val="20"/>
          <w:lang w:val="en-US"/>
        </w:rPr>
        <w:t xml:space="preserve"> </w:t>
      </w:r>
      <w:r w:rsidR="00FA4CCF">
        <w:rPr>
          <w:rFonts w:cstheme="minorHAnsi"/>
          <w:b/>
          <w:bCs/>
          <w:sz w:val="20"/>
          <w:szCs w:val="20"/>
          <w:lang w:val="en-US"/>
        </w:rPr>
        <w:t>Risk</w:t>
      </w:r>
    </w:p>
    <w:p w14:paraId="136144F8" w14:textId="77777777" w:rsidR="00810D4B" w:rsidRDefault="00810D4B" w:rsidP="00750815">
      <w:pPr>
        <w:pStyle w:val="ListParagraph"/>
        <w:snapToGrid w:val="0"/>
        <w:spacing w:after="0" w:line="240" w:lineRule="auto"/>
        <w:ind w:left="936"/>
        <w:contextualSpacing w:val="0"/>
        <w:rPr>
          <w:rFonts w:cstheme="minorHAnsi"/>
          <w:sz w:val="20"/>
          <w:szCs w:val="20"/>
          <w:lang w:val="en-US"/>
        </w:rPr>
      </w:pPr>
    </w:p>
    <w:tbl>
      <w:tblPr>
        <w:tblStyle w:val="TableGrid"/>
        <w:tblW w:w="0" w:type="auto"/>
        <w:tblLook w:val="04A0" w:firstRow="1" w:lastRow="0" w:firstColumn="1" w:lastColumn="0" w:noHBand="0" w:noVBand="1"/>
      </w:tblPr>
      <w:tblGrid>
        <w:gridCol w:w="473"/>
        <w:gridCol w:w="318"/>
        <w:gridCol w:w="1200"/>
        <w:gridCol w:w="6667"/>
        <w:gridCol w:w="6750"/>
      </w:tblGrid>
      <w:tr w:rsidR="00F617BE" w14:paraId="1C5FCDB4" w14:textId="77777777" w:rsidTr="00FB7443">
        <w:tc>
          <w:tcPr>
            <w:tcW w:w="1991" w:type="dxa"/>
            <w:gridSpan w:val="3"/>
            <w:vMerge w:val="restart"/>
            <w:shd w:val="clear" w:color="auto" w:fill="F2F2F2" w:themeFill="background1" w:themeFillShade="F2"/>
            <w:vAlign w:val="center"/>
          </w:tcPr>
          <w:p w14:paraId="5B39DFB4" w14:textId="77777777" w:rsidR="00F617BE" w:rsidRPr="007306AF" w:rsidRDefault="00F617BE" w:rsidP="00FB7443">
            <w:pPr>
              <w:pStyle w:val="ListParagraph"/>
              <w:snapToGrid w:val="0"/>
              <w:ind w:left="0"/>
              <w:contextualSpacing w:val="0"/>
              <w:jc w:val="center"/>
              <w:rPr>
                <w:rFonts w:cstheme="minorHAnsi"/>
                <w:b/>
                <w:bCs/>
                <w:sz w:val="20"/>
                <w:szCs w:val="20"/>
                <w:lang w:val="en-US"/>
              </w:rPr>
            </w:pPr>
            <w:r w:rsidRPr="007306AF">
              <w:rPr>
                <w:rFonts w:cstheme="minorHAnsi"/>
                <w:b/>
                <w:bCs/>
                <w:sz w:val="20"/>
                <w:szCs w:val="20"/>
                <w:lang w:val="en-US"/>
              </w:rPr>
              <w:t>Table 1</w:t>
            </w:r>
          </w:p>
        </w:tc>
        <w:tc>
          <w:tcPr>
            <w:tcW w:w="13417" w:type="dxa"/>
            <w:gridSpan w:val="2"/>
            <w:shd w:val="clear" w:color="auto" w:fill="F2F2F2" w:themeFill="background1" w:themeFillShade="F2"/>
            <w:vAlign w:val="center"/>
          </w:tcPr>
          <w:p w14:paraId="5647D268" w14:textId="77777777" w:rsidR="00F617BE" w:rsidRPr="007306AF" w:rsidRDefault="00F617BE" w:rsidP="00FB7443">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Magnifying</w:t>
            </w:r>
            <w:r w:rsidRPr="007306AF">
              <w:rPr>
                <w:rFonts w:cstheme="minorHAnsi"/>
                <w:b/>
                <w:bCs/>
                <w:sz w:val="20"/>
                <w:szCs w:val="20"/>
                <w:lang w:val="en-US"/>
              </w:rPr>
              <w:t xml:space="preserve"> Risk</w:t>
            </w:r>
          </w:p>
        </w:tc>
      </w:tr>
      <w:tr w:rsidR="00F617BE" w14:paraId="55643B3D" w14:textId="77777777" w:rsidTr="00FB7443">
        <w:tc>
          <w:tcPr>
            <w:tcW w:w="1991" w:type="dxa"/>
            <w:gridSpan w:val="3"/>
            <w:vMerge/>
            <w:shd w:val="clear" w:color="auto" w:fill="F2F2F2" w:themeFill="background1" w:themeFillShade="F2"/>
          </w:tcPr>
          <w:p w14:paraId="426B9C21" w14:textId="77777777" w:rsidR="00F617BE" w:rsidRPr="007306AF" w:rsidRDefault="00F617BE" w:rsidP="00FB7443">
            <w:pPr>
              <w:pStyle w:val="ListParagraph"/>
              <w:snapToGrid w:val="0"/>
              <w:ind w:left="0"/>
              <w:contextualSpacing w:val="0"/>
              <w:jc w:val="center"/>
              <w:rPr>
                <w:rFonts w:cstheme="minorHAnsi"/>
                <w:b/>
                <w:bCs/>
                <w:sz w:val="20"/>
                <w:szCs w:val="20"/>
                <w:lang w:val="en-US"/>
              </w:rPr>
            </w:pPr>
          </w:p>
        </w:tc>
        <w:tc>
          <w:tcPr>
            <w:tcW w:w="6667" w:type="dxa"/>
            <w:shd w:val="clear" w:color="auto" w:fill="F2F2F2" w:themeFill="background1" w:themeFillShade="F2"/>
          </w:tcPr>
          <w:p w14:paraId="3551822B" w14:textId="77777777" w:rsidR="00F617BE" w:rsidRPr="003A65F8" w:rsidRDefault="00F617BE" w:rsidP="00FB7443">
            <w:pPr>
              <w:pStyle w:val="ListParagraph"/>
              <w:snapToGrid w:val="0"/>
              <w:ind w:left="0"/>
              <w:contextualSpacing w:val="0"/>
              <w:jc w:val="center"/>
              <w:rPr>
                <w:rFonts w:cstheme="minorHAnsi"/>
                <w:b/>
                <w:bCs/>
                <w:sz w:val="20"/>
                <w:szCs w:val="20"/>
                <w:lang w:val="en-US"/>
              </w:rPr>
            </w:pPr>
            <w:r w:rsidRPr="003A65F8">
              <w:rPr>
                <w:b/>
                <w:bCs/>
              </w:rPr>
              <w:t>Leverage Challenges</w:t>
            </w:r>
          </w:p>
        </w:tc>
        <w:tc>
          <w:tcPr>
            <w:tcW w:w="6750" w:type="dxa"/>
            <w:shd w:val="clear" w:color="auto" w:fill="F2F2F2" w:themeFill="background1" w:themeFillShade="F2"/>
            <w:vAlign w:val="center"/>
          </w:tcPr>
          <w:p w14:paraId="12FB7FD8" w14:textId="77777777" w:rsidR="00F617BE" w:rsidRPr="007306AF" w:rsidRDefault="00F617BE" w:rsidP="00FB7443">
            <w:pPr>
              <w:pStyle w:val="ListParagraph"/>
              <w:snapToGrid w:val="0"/>
              <w:ind w:left="0"/>
              <w:contextualSpacing w:val="0"/>
              <w:jc w:val="center"/>
              <w:rPr>
                <w:rFonts w:cstheme="minorHAnsi"/>
                <w:b/>
                <w:bCs/>
                <w:sz w:val="20"/>
                <w:szCs w:val="20"/>
                <w:lang w:val="en-US"/>
              </w:rPr>
            </w:pPr>
            <w:r w:rsidRPr="003A65F8">
              <w:rPr>
                <w:rFonts w:cstheme="minorHAnsi"/>
                <w:b/>
                <w:bCs/>
                <w:sz w:val="20"/>
                <w:szCs w:val="20"/>
                <w:lang w:val="en-US"/>
              </w:rPr>
              <w:t>Non-linearity Challenges</w:t>
            </w:r>
          </w:p>
        </w:tc>
      </w:tr>
      <w:tr w:rsidR="00F617BE" w14:paraId="597A5F18" w14:textId="77777777" w:rsidTr="00FB7443">
        <w:tc>
          <w:tcPr>
            <w:tcW w:w="0" w:type="auto"/>
            <w:shd w:val="clear" w:color="auto" w:fill="F2F2F2" w:themeFill="background1" w:themeFillShade="F2"/>
            <w:textDirection w:val="btLr"/>
          </w:tcPr>
          <w:p w14:paraId="01416EBA" w14:textId="77777777" w:rsidR="00F617BE" w:rsidRPr="007306AF" w:rsidRDefault="00F617BE" w:rsidP="00FB7443">
            <w:pPr>
              <w:pStyle w:val="ListParagraph"/>
              <w:snapToGrid w:val="0"/>
              <w:ind w:left="113" w:right="113"/>
              <w:contextualSpacing w:val="0"/>
              <w:jc w:val="center"/>
              <w:rPr>
                <w:rFonts w:cstheme="minorHAnsi"/>
                <w:b/>
                <w:bCs/>
                <w:sz w:val="20"/>
                <w:szCs w:val="20"/>
                <w:lang w:val="en-US"/>
              </w:rPr>
            </w:pPr>
            <w:r w:rsidRPr="007306AF">
              <w:rPr>
                <w:rFonts w:cstheme="minorHAnsi"/>
                <w:b/>
                <w:bCs/>
                <w:sz w:val="20"/>
                <w:szCs w:val="20"/>
                <w:lang w:val="en-US"/>
              </w:rPr>
              <w:t>Scenario</w:t>
            </w:r>
          </w:p>
        </w:tc>
        <w:tc>
          <w:tcPr>
            <w:tcW w:w="0" w:type="auto"/>
            <w:shd w:val="clear" w:color="auto" w:fill="F2F2F2" w:themeFill="background1" w:themeFillShade="F2"/>
            <w:vAlign w:val="center"/>
          </w:tcPr>
          <w:p w14:paraId="464187B3" w14:textId="77777777" w:rsidR="00F617BE" w:rsidRPr="007306AF" w:rsidRDefault="00F617BE" w:rsidP="00FB7443">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6</w:t>
            </w:r>
          </w:p>
        </w:tc>
        <w:tc>
          <w:tcPr>
            <w:tcW w:w="1200" w:type="dxa"/>
            <w:shd w:val="clear" w:color="auto" w:fill="F2F2F2" w:themeFill="background1" w:themeFillShade="F2"/>
            <w:vAlign w:val="center"/>
          </w:tcPr>
          <w:p w14:paraId="5AFFA55C" w14:textId="77777777" w:rsidR="00F617BE" w:rsidRPr="007306AF" w:rsidRDefault="00F617BE" w:rsidP="00FB7443">
            <w:pPr>
              <w:pStyle w:val="ListParagraph"/>
              <w:snapToGrid w:val="0"/>
              <w:ind w:left="0"/>
              <w:contextualSpacing w:val="0"/>
              <w:rPr>
                <w:rFonts w:cstheme="minorHAnsi"/>
                <w:b/>
                <w:bCs/>
                <w:sz w:val="20"/>
                <w:szCs w:val="20"/>
                <w:lang w:val="en-US"/>
              </w:rPr>
            </w:pPr>
            <w:r w:rsidRPr="00005F0B">
              <w:rPr>
                <w:rFonts w:cstheme="minorHAnsi"/>
                <w:b/>
                <w:bCs/>
                <w:sz w:val="20"/>
                <w:szCs w:val="20"/>
                <w:lang w:val="en-US"/>
              </w:rPr>
              <w:t>An illiquid security – Real Estate Investment</w:t>
            </w:r>
          </w:p>
        </w:tc>
        <w:tc>
          <w:tcPr>
            <w:tcW w:w="6667" w:type="dxa"/>
            <w:shd w:val="clear" w:color="auto" w:fill="auto"/>
          </w:tcPr>
          <w:p w14:paraId="1C779CBB" w14:textId="77777777" w:rsidR="00F617BE" w:rsidRPr="00005F0B" w:rsidRDefault="00F617BE" w:rsidP="00FB7443">
            <w:pPr>
              <w:pStyle w:val="ListParagraph"/>
              <w:numPr>
                <w:ilvl w:val="0"/>
                <w:numId w:val="28"/>
              </w:numPr>
              <w:rPr>
                <w:b/>
                <w:bCs/>
              </w:rPr>
            </w:pPr>
            <w:r w:rsidRPr="00005F0B">
              <w:rPr>
                <w:b/>
                <w:bCs/>
              </w:rPr>
              <w:t xml:space="preserve">Market Conditions: </w:t>
            </w:r>
            <w:r w:rsidRPr="00005F0B">
              <w:t>Real estate markets can be sensitive to economic conditions and can experience cycles of expansion and contraction. Illiquid real estate investments may not be easy to sell during market downturns, which can lead to challenges in repaying or refinancing loans if needed</w:t>
            </w:r>
            <w:r w:rsidRPr="00005F0B">
              <w:rPr>
                <w:b/>
                <w:bCs/>
              </w:rPr>
              <w:t>.</w:t>
            </w:r>
          </w:p>
          <w:p w14:paraId="33C47166" w14:textId="77777777" w:rsidR="00F617BE" w:rsidRPr="003A65F8" w:rsidRDefault="00F617BE" w:rsidP="00FB7443">
            <w:pPr>
              <w:pStyle w:val="ListParagraph"/>
              <w:numPr>
                <w:ilvl w:val="0"/>
                <w:numId w:val="28"/>
              </w:numPr>
              <w:snapToGrid w:val="0"/>
            </w:pPr>
            <w:r w:rsidRPr="00005F0B">
              <w:rPr>
                <w:b/>
                <w:bCs/>
              </w:rPr>
              <w:t xml:space="preserve">Limited Access to Financing: </w:t>
            </w:r>
            <w:r w:rsidRPr="00005F0B">
              <w:t>Real estate investments often require substantial capital, and obtaining financing for illiquid real estate assets can be challenging. Lenders may be hesitant to provide loans for assets that are difficult to sell quickly, which can limit the amount of leverage available.</w:t>
            </w:r>
          </w:p>
        </w:tc>
        <w:tc>
          <w:tcPr>
            <w:tcW w:w="6750" w:type="dxa"/>
            <w:shd w:val="clear" w:color="auto" w:fill="auto"/>
          </w:tcPr>
          <w:p w14:paraId="123F2A21" w14:textId="77777777" w:rsidR="00F617BE" w:rsidRPr="00005F0B" w:rsidRDefault="00F617BE" w:rsidP="00FB7443">
            <w:pPr>
              <w:pStyle w:val="ListParagraph"/>
              <w:numPr>
                <w:ilvl w:val="0"/>
                <w:numId w:val="28"/>
              </w:numPr>
              <w:snapToGrid w:val="0"/>
              <w:rPr>
                <w:rFonts w:cstheme="minorHAnsi"/>
                <w:sz w:val="20"/>
                <w:szCs w:val="20"/>
                <w:lang w:val="en-US"/>
              </w:rPr>
            </w:pPr>
            <w:r w:rsidRPr="00005F0B">
              <w:rPr>
                <w:rFonts w:cstheme="minorHAnsi"/>
                <w:b/>
                <w:bCs/>
                <w:sz w:val="20"/>
                <w:szCs w:val="20"/>
                <w:lang w:val="en-US"/>
              </w:rPr>
              <w:t>Operational Challenges</w:t>
            </w:r>
            <w:r w:rsidRPr="00005F0B">
              <w:rPr>
                <w:rFonts w:cstheme="minorHAnsi"/>
                <w:sz w:val="20"/>
                <w:szCs w:val="20"/>
                <w:lang w:val="en-US"/>
              </w:rPr>
              <w:t>: Real estate investments often involve property management and maintenance. Non-linearity can emerge if unexpected operational issues, such as major repairs or legal disputes with tenants, lead to significant expenses that were not initially anticipated.</w:t>
            </w:r>
          </w:p>
          <w:p w14:paraId="1C3FDFD3" w14:textId="77777777" w:rsidR="00F617BE" w:rsidRPr="008C068C" w:rsidRDefault="00F617BE" w:rsidP="00FB7443">
            <w:pPr>
              <w:pStyle w:val="ListParagraph"/>
              <w:numPr>
                <w:ilvl w:val="0"/>
                <w:numId w:val="28"/>
              </w:numPr>
              <w:snapToGrid w:val="0"/>
              <w:contextualSpacing w:val="0"/>
              <w:rPr>
                <w:rFonts w:cstheme="minorHAnsi"/>
                <w:sz w:val="20"/>
                <w:szCs w:val="20"/>
                <w:lang w:val="en-US"/>
              </w:rPr>
            </w:pPr>
            <w:r w:rsidRPr="00005F0B">
              <w:rPr>
                <w:rFonts w:cstheme="minorHAnsi"/>
                <w:b/>
                <w:bCs/>
                <w:sz w:val="20"/>
                <w:szCs w:val="20"/>
                <w:lang w:val="en-US"/>
              </w:rPr>
              <w:t xml:space="preserve">Development Risk: </w:t>
            </w:r>
            <w:r w:rsidRPr="00005F0B">
              <w:rPr>
                <w:rFonts w:cstheme="minorHAnsi"/>
                <w:sz w:val="20"/>
                <w:szCs w:val="20"/>
                <w:lang w:val="en-US"/>
              </w:rPr>
              <w:t>For real estate development projects, non-linearity can occur if construction costs or project timelines experience unexpected deviations. Delays or cost overruns can have cascading effects on project profitability.</w:t>
            </w:r>
          </w:p>
        </w:tc>
      </w:tr>
    </w:tbl>
    <w:p w14:paraId="27CE06A0" w14:textId="77777777" w:rsidR="00F4266C" w:rsidRPr="007306AF" w:rsidRDefault="00F4266C" w:rsidP="00750815">
      <w:pPr>
        <w:pStyle w:val="ListParagraph"/>
        <w:snapToGrid w:val="0"/>
        <w:spacing w:after="0" w:line="240" w:lineRule="auto"/>
        <w:ind w:left="792"/>
        <w:contextualSpacing w:val="0"/>
        <w:rPr>
          <w:rFonts w:cstheme="minorHAnsi"/>
          <w:sz w:val="20"/>
          <w:szCs w:val="20"/>
          <w:lang w:val="en-US"/>
        </w:rPr>
      </w:pPr>
    </w:p>
    <w:p w14:paraId="25E0E14C" w14:textId="77777777" w:rsidR="00EA5356" w:rsidRDefault="00EA5356" w:rsidP="00750815">
      <w:pPr>
        <w:pStyle w:val="ListParagraph"/>
        <w:snapToGrid w:val="0"/>
        <w:spacing w:after="0" w:line="240" w:lineRule="auto"/>
        <w:ind w:left="792"/>
        <w:contextualSpacing w:val="0"/>
        <w:rPr>
          <w:rFonts w:cstheme="minorHAnsi"/>
          <w:sz w:val="20"/>
          <w:szCs w:val="20"/>
          <w:lang w:val="en-US"/>
        </w:rPr>
      </w:pPr>
    </w:p>
    <w:p w14:paraId="3F2FEACA" w14:textId="77777777" w:rsidR="00B32380" w:rsidRDefault="00B32380" w:rsidP="00750815">
      <w:pPr>
        <w:pStyle w:val="ListParagraph"/>
        <w:snapToGrid w:val="0"/>
        <w:spacing w:after="0" w:line="240" w:lineRule="auto"/>
        <w:ind w:left="792"/>
        <w:contextualSpacing w:val="0"/>
        <w:rPr>
          <w:rFonts w:cstheme="minorHAnsi"/>
          <w:sz w:val="20"/>
          <w:szCs w:val="20"/>
          <w:lang w:val="en-US"/>
        </w:rPr>
      </w:pPr>
    </w:p>
    <w:p w14:paraId="45AF81BA" w14:textId="77777777" w:rsidR="00B71B6F" w:rsidRPr="00F617BE" w:rsidRDefault="00B71B6F" w:rsidP="00F617BE">
      <w:pPr>
        <w:snapToGrid w:val="0"/>
        <w:spacing w:after="0" w:line="240" w:lineRule="auto"/>
        <w:rPr>
          <w:rFonts w:cstheme="minorHAnsi"/>
          <w:sz w:val="20"/>
          <w:szCs w:val="20"/>
          <w:lang w:val="en-US"/>
        </w:rPr>
      </w:pPr>
    </w:p>
    <w:p w14:paraId="2F47381C" w14:textId="77777777" w:rsidR="00835489" w:rsidRDefault="00835489" w:rsidP="00750815">
      <w:pPr>
        <w:pStyle w:val="ListParagraph"/>
        <w:snapToGrid w:val="0"/>
        <w:spacing w:after="0" w:line="240" w:lineRule="auto"/>
        <w:ind w:left="792"/>
        <w:contextualSpacing w:val="0"/>
        <w:rPr>
          <w:rFonts w:cstheme="minorHAnsi"/>
          <w:sz w:val="20"/>
          <w:szCs w:val="20"/>
          <w:lang w:val="en-US"/>
        </w:rPr>
      </w:pPr>
    </w:p>
    <w:p w14:paraId="79108446" w14:textId="77777777" w:rsidR="00D85348" w:rsidRPr="007306AF" w:rsidRDefault="00D85348" w:rsidP="00750815">
      <w:pPr>
        <w:pStyle w:val="ListParagraph"/>
        <w:snapToGrid w:val="0"/>
        <w:spacing w:after="0" w:line="240" w:lineRule="auto"/>
        <w:ind w:left="792"/>
        <w:contextualSpacing w:val="0"/>
        <w:rPr>
          <w:rFonts w:cstheme="minorHAnsi"/>
          <w:sz w:val="20"/>
          <w:szCs w:val="20"/>
          <w:lang w:val="en-US"/>
        </w:rPr>
      </w:pPr>
    </w:p>
    <w:p w14:paraId="09AF6B1E" w14:textId="77777777" w:rsidR="00B71B6F" w:rsidRPr="007306AF" w:rsidRDefault="00B71B6F" w:rsidP="00750815">
      <w:pPr>
        <w:pStyle w:val="ListParagraph"/>
        <w:snapToGrid w:val="0"/>
        <w:spacing w:after="0" w:line="240" w:lineRule="auto"/>
        <w:ind w:left="792"/>
        <w:contextualSpacing w:val="0"/>
        <w:rPr>
          <w:rFonts w:cstheme="minorHAnsi"/>
          <w:sz w:val="20"/>
          <w:szCs w:val="20"/>
          <w:lang w:val="en-US"/>
        </w:rPr>
      </w:pPr>
    </w:p>
    <w:p w14:paraId="29AD10C7" w14:textId="77777777" w:rsidR="00B71B6F" w:rsidRDefault="00B71B6F" w:rsidP="00750815">
      <w:pPr>
        <w:pStyle w:val="ListParagraph"/>
        <w:snapToGrid w:val="0"/>
        <w:spacing w:after="0" w:line="240" w:lineRule="auto"/>
        <w:ind w:left="792"/>
        <w:contextualSpacing w:val="0"/>
        <w:rPr>
          <w:rFonts w:cstheme="minorHAnsi"/>
          <w:sz w:val="20"/>
          <w:szCs w:val="20"/>
          <w:lang w:val="en-US"/>
        </w:rPr>
      </w:pPr>
    </w:p>
    <w:p w14:paraId="6F696294" w14:textId="77777777" w:rsidR="00727638" w:rsidRDefault="00727638" w:rsidP="00750815">
      <w:pPr>
        <w:pStyle w:val="ListParagraph"/>
        <w:snapToGrid w:val="0"/>
        <w:spacing w:after="0" w:line="240" w:lineRule="auto"/>
        <w:ind w:left="792"/>
        <w:contextualSpacing w:val="0"/>
        <w:rPr>
          <w:rFonts w:cstheme="minorHAnsi"/>
          <w:sz w:val="20"/>
          <w:szCs w:val="20"/>
          <w:lang w:val="en-US"/>
        </w:rPr>
      </w:pPr>
    </w:p>
    <w:p w14:paraId="38F7C220" w14:textId="77777777" w:rsidR="00727638" w:rsidRDefault="00727638" w:rsidP="00750815">
      <w:pPr>
        <w:pStyle w:val="ListParagraph"/>
        <w:snapToGrid w:val="0"/>
        <w:spacing w:after="0" w:line="240" w:lineRule="auto"/>
        <w:ind w:left="792"/>
        <w:contextualSpacing w:val="0"/>
        <w:rPr>
          <w:rFonts w:cstheme="minorHAnsi"/>
          <w:sz w:val="20"/>
          <w:szCs w:val="20"/>
          <w:lang w:val="en-US"/>
        </w:rPr>
      </w:pPr>
    </w:p>
    <w:p w14:paraId="13DF10EE" w14:textId="77777777" w:rsidR="002F4043" w:rsidRDefault="002F4043" w:rsidP="00750815">
      <w:pPr>
        <w:pStyle w:val="ListParagraph"/>
        <w:snapToGrid w:val="0"/>
        <w:spacing w:after="0" w:line="240" w:lineRule="auto"/>
        <w:ind w:left="792"/>
        <w:contextualSpacing w:val="0"/>
        <w:rPr>
          <w:rFonts w:cstheme="minorHAnsi"/>
          <w:sz w:val="20"/>
          <w:szCs w:val="20"/>
          <w:lang w:val="en-US"/>
        </w:rPr>
      </w:pPr>
    </w:p>
    <w:p w14:paraId="6F9942FD" w14:textId="77777777" w:rsidR="000032D1" w:rsidRDefault="000032D1" w:rsidP="00750815">
      <w:pPr>
        <w:pStyle w:val="ListParagraph"/>
        <w:snapToGrid w:val="0"/>
        <w:spacing w:after="0" w:line="240" w:lineRule="auto"/>
        <w:ind w:left="792"/>
        <w:contextualSpacing w:val="0"/>
        <w:rPr>
          <w:rFonts w:cstheme="minorHAnsi"/>
          <w:sz w:val="20"/>
          <w:szCs w:val="20"/>
          <w:lang w:val="en-US"/>
        </w:rPr>
      </w:pPr>
    </w:p>
    <w:p w14:paraId="65ABDD84" w14:textId="77777777" w:rsidR="002F4043" w:rsidRDefault="002F4043" w:rsidP="00750815">
      <w:pPr>
        <w:pStyle w:val="ListParagraph"/>
        <w:snapToGrid w:val="0"/>
        <w:spacing w:after="0" w:line="240" w:lineRule="auto"/>
        <w:ind w:left="792"/>
        <w:contextualSpacing w:val="0"/>
        <w:rPr>
          <w:rFonts w:cstheme="minorHAnsi"/>
          <w:sz w:val="20"/>
          <w:szCs w:val="20"/>
          <w:lang w:val="en-US"/>
        </w:rPr>
      </w:pPr>
    </w:p>
    <w:p w14:paraId="0D5E09AB" w14:textId="77777777" w:rsidR="002F4043" w:rsidRDefault="002F4043" w:rsidP="00750815">
      <w:pPr>
        <w:pStyle w:val="ListParagraph"/>
        <w:snapToGrid w:val="0"/>
        <w:spacing w:after="0" w:line="240" w:lineRule="auto"/>
        <w:ind w:left="792"/>
        <w:contextualSpacing w:val="0"/>
        <w:rPr>
          <w:rFonts w:cstheme="minorHAnsi"/>
          <w:sz w:val="20"/>
          <w:szCs w:val="20"/>
          <w:lang w:val="en-US"/>
        </w:rPr>
      </w:pPr>
    </w:p>
    <w:p w14:paraId="348D5616" w14:textId="77777777" w:rsidR="005606AE" w:rsidRDefault="005606AE" w:rsidP="00750815">
      <w:pPr>
        <w:pStyle w:val="ListParagraph"/>
        <w:snapToGrid w:val="0"/>
        <w:spacing w:after="0" w:line="240" w:lineRule="auto"/>
        <w:ind w:left="792"/>
        <w:contextualSpacing w:val="0"/>
        <w:rPr>
          <w:rFonts w:cstheme="minorHAnsi"/>
          <w:sz w:val="20"/>
          <w:szCs w:val="20"/>
          <w:lang w:val="en-US"/>
        </w:rPr>
      </w:pPr>
    </w:p>
    <w:p w14:paraId="6BA58A22" w14:textId="77777777" w:rsidR="002F4043" w:rsidRDefault="002F4043" w:rsidP="00750815">
      <w:pPr>
        <w:pStyle w:val="ListParagraph"/>
        <w:snapToGrid w:val="0"/>
        <w:spacing w:after="0" w:line="240" w:lineRule="auto"/>
        <w:ind w:left="792"/>
        <w:contextualSpacing w:val="0"/>
        <w:rPr>
          <w:rFonts w:cstheme="minorHAnsi"/>
          <w:sz w:val="20"/>
          <w:szCs w:val="20"/>
          <w:lang w:val="en-US"/>
        </w:rPr>
      </w:pPr>
    </w:p>
    <w:p w14:paraId="48B13037" w14:textId="77777777" w:rsidR="002F4043" w:rsidRDefault="002F4043" w:rsidP="00750815">
      <w:pPr>
        <w:pStyle w:val="ListParagraph"/>
        <w:snapToGrid w:val="0"/>
        <w:spacing w:after="0" w:line="240" w:lineRule="auto"/>
        <w:ind w:left="792"/>
        <w:contextualSpacing w:val="0"/>
        <w:rPr>
          <w:rFonts w:cstheme="minorHAnsi"/>
          <w:sz w:val="20"/>
          <w:szCs w:val="20"/>
          <w:lang w:val="en-US"/>
        </w:rPr>
      </w:pPr>
    </w:p>
    <w:p w14:paraId="50937D2E" w14:textId="77777777" w:rsidR="002F4043" w:rsidRDefault="002F4043" w:rsidP="00750815">
      <w:pPr>
        <w:pStyle w:val="ListParagraph"/>
        <w:snapToGrid w:val="0"/>
        <w:spacing w:after="0" w:line="240" w:lineRule="auto"/>
        <w:ind w:left="792"/>
        <w:contextualSpacing w:val="0"/>
        <w:rPr>
          <w:rFonts w:cstheme="minorHAnsi"/>
          <w:sz w:val="20"/>
          <w:szCs w:val="20"/>
          <w:lang w:val="en-US"/>
        </w:rPr>
      </w:pPr>
    </w:p>
    <w:p w14:paraId="7C9B88A6" w14:textId="77777777" w:rsidR="00995560" w:rsidRPr="00F617BE" w:rsidRDefault="00995560" w:rsidP="00F617BE">
      <w:pPr>
        <w:snapToGrid w:val="0"/>
        <w:spacing w:after="0" w:line="240" w:lineRule="auto"/>
        <w:rPr>
          <w:rFonts w:cstheme="minorHAnsi"/>
          <w:sz w:val="20"/>
          <w:szCs w:val="20"/>
          <w:lang w:val="en-US"/>
        </w:rPr>
      </w:pPr>
    </w:p>
    <w:p w14:paraId="75D6461B" w14:textId="77777777" w:rsidR="00995560" w:rsidRDefault="00995560" w:rsidP="00750815">
      <w:pPr>
        <w:pStyle w:val="ListParagraph"/>
        <w:snapToGrid w:val="0"/>
        <w:spacing w:after="0" w:line="240" w:lineRule="auto"/>
        <w:ind w:left="792"/>
        <w:contextualSpacing w:val="0"/>
        <w:rPr>
          <w:rFonts w:cstheme="minorHAnsi"/>
          <w:sz w:val="20"/>
          <w:szCs w:val="20"/>
          <w:lang w:val="en-US"/>
        </w:rPr>
      </w:pPr>
    </w:p>
    <w:p w14:paraId="384C791D" w14:textId="77777777" w:rsidR="00995560" w:rsidRDefault="00995560" w:rsidP="00750815">
      <w:pPr>
        <w:pStyle w:val="ListParagraph"/>
        <w:snapToGrid w:val="0"/>
        <w:spacing w:after="0" w:line="240" w:lineRule="auto"/>
        <w:ind w:left="792"/>
        <w:contextualSpacing w:val="0"/>
        <w:rPr>
          <w:rFonts w:cstheme="minorHAnsi"/>
          <w:sz w:val="20"/>
          <w:szCs w:val="20"/>
          <w:lang w:val="en-US"/>
        </w:rPr>
      </w:pPr>
    </w:p>
    <w:p w14:paraId="68CF1863" w14:textId="77777777" w:rsidR="00995560" w:rsidRDefault="00995560" w:rsidP="00750815">
      <w:pPr>
        <w:pStyle w:val="ListParagraph"/>
        <w:snapToGrid w:val="0"/>
        <w:spacing w:after="0" w:line="240" w:lineRule="auto"/>
        <w:ind w:left="792"/>
        <w:contextualSpacing w:val="0"/>
        <w:rPr>
          <w:rFonts w:cstheme="minorHAnsi"/>
          <w:sz w:val="20"/>
          <w:szCs w:val="20"/>
          <w:lang w:val="en-US"/>
        </w:rPr>
      </w:pPr>
    </w:p>
    <w:p w14:paraId="498F7E48" w14:textId="77777777" w:rsidR="00750815" w:rsidRDefault="00750815" w:rsidP="00750815">
      <w:pPr>
        <w:pStyle w:val="ListParagraph"/>
        <w:snapToGrid w:val="0"/>
        <w:spacing w:after="0" w:line="240" w:lineRule="auto"/>
        <w:ind w:left="792"/>
        <w:contextualSpacing w:val="0"/>
        <w:rPr>
          <w:rFonts w:cstheme="minorHAnsi"/>
          <w:sz w:val="20"/>
          <w:szCs w:val="20"/>
          <w:lang w:val="en-US"/>
        </w:rPr>
      </w:pPr>
    </w:p>
    <w:p w14:paraId="47B1CDB4" w14:textId="77777777" w:rsidR="002332B0" w:rsidRPr="00B32380" w:rsidRDefault="00B44FF7" w:rsidP="00750815">
      <w:pPr>
        <w:pStyle w:val="ListParagraph"/>
        <w:numPr>
          <w:ilvl w:val="0"/>
          <w:numId w:val="1"/>
        </w:numPr>
        <w:snapToGrid w:val="0"/>
        <w:spacing w:after="0" w:line="240" w:lineRule="auto"/>
        <w:contextualSpacing w:val="0"/>
        <w:rPr>
          <w:rFonts w:cstheme="minorHAnsi"/>
          <w:b/>
          <w:bCs/>
          <w:sz w:val="28"/>
          <w:szCs w:val="28"/>
          <w:lang w:val="en-US"/>
        </w:rPr>
      </w:pPr>
      <w:r w:rsidRPr="00B32380">
        <w:rPr>
          <w:rFonts w:cstheme="minorHAnsi"/>
          <w:b/>
          <w:bCs/>
          <w:sz w:val="28"/>
          <w:szCs w:val="28"/>
          <w:lang w:val="en-US"/>
        </w:rPr>
        <w:lastRenderedPageBreak/>
        <w:t xml:space="preserve">Step 2. </w:t>
      </w:r>
      <w:r w:rsidR="004A7DB2">
        <w:rPr>
          <w:rFonts w:cstheme="minorHAnsi"/>
          <w:b/>
          <w:bCs/>
          <w:sz w:val="28"/>
          <w:szCs w:val="28"/>
          <w:lang w:val="en-US"/>
        </w:rPr>
        <w:t>Frictional Risk Factors</w:t>
      </w:r>
      <w:r w:rsidRPr="00B32380">
        <w:rPr>
          <w:rFonts w:cstheme="minorHAnsi"/>
          <w:b/>
          <w:bCs/>
          <w:sz w:val="28"/>
          <w:szCs w:val="28"/>
          <w:lang w:val="en-US"/>
        </w:rPr>
        <w:t xml:space="preserve"> </w:t>
      </w:r>
    </w:p>
    <w:p w14:paraId="6542348D" w14:textId="77777777" w:rsidR="002F4043" w:rsidRPr="0055380E" w:rsidRDefault="00B44FF7" w:rsidP="00750815">
      <w:pPr>
        <w:pStyle w:val="ListParagraph"/>
        <w:numPr>
          <w:ilvl w:val="1"/>
          <w:numId w:val="1"/>
        </w:numPr>
        <w:snapToGrid w:val="0"/>
        <w:spacing w:after="0" w:line="240" w:lineRule="auto"/>
        <w:contextualSpacing w:val="0"/>
        <w:rPr>
          <w:rFonts w:cstheme="minorHAnsi"/>
          <w:b/>
          <w:bCs/>
          <w:sz w:val="20"/>
          <w:szCs w:val="20"/>
          <w:lang w:val="en-US"/>
        </w:rPr>
      </w:pPr>
      <w:r w:rsidRPr="0055380E">
        <w:rPr>
          <w:rFonts w:cstheme="minorHAnsi"/>
          <w:b/>
          <w:bCs/>
          <w:sz w:val="20"/>
          <w:szCs w:val="20"/>
          <w:lang w:val="en-US"/>
        </w:rPr>
        <w:t>Student:</w:t>
      </w:r>
      <w:r w:rsidRPr="0055380E">
        <w:rPr>
          <w:rFonts w:cstheme="minorHAnsi"/>
          <w:b/>
          <w:bCs/>
          <w:sz w:val="20"/>
          <w:szCs w:val="20"/>
        </w:rPr>
        <w:t xml:space="preserve"> </w:t>
      </w:r>
      <w:r w:rsidRPr="0055380E">
        <w:rPr>
          <w:rFonts w:cstheme="minorHAnsi"/>
          <w:b/>
          <w:bCs/>
          <w:sz w:val="20"/>
          <w:szCs w:val="20"/>
          <w:lang w:val="en-US"/>
        </w:rPr>
        <w:t xml:space="preserve">Oratile </w:t>
      </w:r>
      <w:r w:rsidR="00B32380" w:rsidRPr="0055380E">
        <w:rPr>
          <w:rFonts w:cstheme="minorHAnsi"/>
          <w:b/>
          <w:bCs/>
          <w:sz w:val="20"/>
          <w:szCs w:val="20"/>
          <w:lang w:val="en-US"/>
        </w:rPr>
        <w:t>–</w:t>
      </w:r>
      <w:r w:rsidRPr="0055380E">
        <w:rPr>
          <w:rFonts w:cstheme="minorHAnsi"/>
          <w:b/>
          <w:bCs/>
          <w:sz w:val="20"/>
          <w:szCs w:val="20"/>
          <w:lang w:val="en-US"/>
        </w:rPr>
        <w:t xml:space="preserve"> </w:t>
      </w:r>
      <w:r w:rsidRPr="0055380E">
        <w:rPr>
          <w:rFonts w:cstheme="minorHAnsi"/>
          <w:b/>
          <w:bCs/>
          <w:sz w:val="20"/>
          <w:szCs w:val="20"/>
        </w:rPr>
        <w:t>Personal unsecured loan at fixed rate Credit card</w:t>
      </w:r>
      <w:r w:rsidRPr="0055380E">
        <w:rPr>
          <w:rFonts w:cstheme="minorHAnsi"/>
          <w:b/>
          <w:bCs/>
          <w:sz w:val="20"/>
          <w:szCs w:val="20"/>
          <w:lang w:val="en-US"/>
        </w:rPr>
        <w:t xml:space="preserve"> </w:t>
      </w:r>
      <w:proofErr w:type="spellStart"/>
      <w:r w:rsidR="00FA4CCF">
        <w:rPr>
          <w:rFonts w:cstheme="minorHAnsi"/>
          <w:b/>
          <w:bCs/>
          <w:sz w:val="20"/>
          <w:szCs w:val="20"/>
          <w:lang w:val="en-US"/>
        </w:rPr>
        <w:t>RIsk</w:t>
      </w:r>
      <w:proofErr w:type="spellEnd"/>
    </w:p>
    <w:tbl>
      <w:tblPr>
        <w:tblStyle w:val="TableGrid"/>
        <w:tblW w:w="0" w:type="auto"/>
        <w:tblLook w:val="04A0" w:firstRow="1" w:lastRow="0" w:firstColumn="1" w:lastColumn="0" w:noHBand="0" w:noVBand="1"/>
      </w:tblPr>
      <w:tblGrid>
        <w:gridCol w:w="473"/>
        <w:gridCol w:w="7195"/>
        <w:gridCol w:w="7680"/>
      </w:tblGrid>
      <w:tr w:rsidR="00B13673" w14:paraId="04908829" w14:textId="77777777" w:rsidTr="00B13673">
        <w:tc>
          <w:tcPr>
            <w:tcW w:w="0" w:type="auto"/>
            <w:shd w:val="clear" w:color="auto" w:fill="F2F2F2" w:themeFill="background1" w:themeFillShade="F2"/>
            <w:textDirection w:val="btLr"/>
          </w:tcPr>
          <w:p w14:paraId="579A0C9C" w14:textId="77777777" w:rsidR="00B13673" w:rsidRDefault="00B13673" w:rsidP="00B44FF7">
            <w:pPr>
              <w:pStyle w:val="ListParagraph"/>
              <w:snapToGrid w:val="0"/>
              <w:ind w:left="113" w:right="113"/>
              <w:contextualSpacing w:val="0"/>
              <w:jc w:val="center"/>
              <w:rPr>
                <w:rFonts w:cstheme="minorHAnsi"/>
                <w:b/>
                <w:bCs/>
                <w:sz w:val="20"/>
                <w:szCs w:val="20"/>
                <w:lang w:val="en-US"/>
              </w:rPr>
            </w:pPr>
          </w:p>
        </w:tc>
        <w:tc>
          <w:tcPr>
            <w:tcW w:w="7195" w:type="dxa"/>
            <w:shd w:val="clear" w:color="auto" w:fill="auto"/>
          </w:tcPr>
          <w:p w14:paraId="62CF059D" w14:textId="539D2F9F" w:rsidR="00B13673" w:rsidRDefault="005606AE" w:rsidP="00AC63B4">
            <w:pPr>
              <w:pStyle w:val="ListParagraph"/>
              <w:snapToGrid w:val="0"/>
              <w:ind w:left="360"/>
              <w:rPr>
                <w:rFonts w:cstheme="minorHAnsi"/>
                <w:sz w:val="20"/>
                <w:szCs w:val="20"/>
                <w:lang w:val="en-US"/>
              </w:rPr>
            </w:pPr>
            <w:r>
              <w:rPr>
                <w:rFonts w:cstheme="minorHAnsi"/>
                <w:sz w:val="20"/>
                <w:szCs w:val="20"/>
                <w:lang w:val="en-US"/>
              </w:rPr>
              <w:t>LIQUIDITY RISK</w:t>
            </w:r>
          </w:p>
        </w:tc>
        <w:tc>
          <w:tcPr>
            <w:tcW w:w="7680" w:type="dxa"/>
            <w:shd w:val="clear" w:color="auto" w:fill="auto"/>
          </w:tcPr>
          <w:p w14:paraId="3B173672" w14:textId="6399C99F" w:rsidR="00B13673" w:rsidRDefault="005606AE" w:rsidP="005606AE">
            <w:pPr>
              <w:snapToGrid w:val="0"/>
              <w:rPr>
                <w:rFonts w:cstheme="minorHAnsi"/>
                <w:sz w:val="20"/>
                <w:szCs w:val="20"/>
                <w:lang w:val="en-US"/>
              </w:rPr>
            </w:pPr>
            <w:r>
              <w:rPr>
                <w:rFonts w:cstheme="minorHAnsi"/>
                <w:sz w:val="20"/>
                <w:szCs w:val="20"/>
                <w:lang w:val="en-US"/>
              </w:rPr>
              <w:t>REGULATORY RISK</w:t>
            </w:r>
          </w:p>
        </w:tc>
      </w:tr>
      <w:tr w:rsidR="00B13673" w14:paraId="270DE7C2" w14:textId="77777777" w:rsidTr="00B13673">
        <w:tc>
          <w:tcPr>
            <w:tcW w:w="0" w:type="auto"/>
            <w:shd w:val="clear" w:color="auto" w:fill="F2F2F2" w:themeFill="background1" w:themeFillShade="F2"/>
            <w:textDirection w:val="btLr"/>
          </w:tcPr>
          <w:p w14:paraId="0194AEF2" w14:textId="5314260E" w:rsidR="00B13673" w:rsidRPr="007306AF" w:rsidRDefault="00B13673" w:rsidP="00B44FF7">
            <w:pPr>
              <w:pStyle w:val="ListParagraph"/>
              <w:snapToGrid w:val="0"/>
              <w:ind w:left="113" w:right="113"/>
              <w:contextualSpacing w:val="0"/>
              <w:jc w:val="center"/>
              <w:rPr>
                <w:rFonts w:cstheme="minorHAnsi"/>
                <w:b/>
                <w:bCs/>
                <w:sz w:val="20"/>
                <w:szCs w:val="20"/>
                <w:lang w:val="en-US"/>
              </w:rPr>
            </w:pPr>
            <w:r>
              <w:rPr>
                <w:rFonts w:cstheme="minorHAnsi"/>
                <w:b/>
                <w:bCs/>
                <w:sz w:val="20"/>
                <w:szCs w:val="20"/>
                <w:lang w:val="en-US"/>
              </w:rPr>
              <w:t>CREDIT CARD LOANS</w:t>
            </w:r>
          </w:p>
        </w:tc>
        <w:tc>
          <w:tcPr>
            <w:tcW w:w="7195" w:type="dxa"/>
            <w:shd w:val="clear" w:color="auto" w:fill="auto"/>
          </w:tcPr>
          <w:p w14:paraId="312CC7B8" w14:textId="77777777" w:rsidR="00B13673" w:rsidRPr="00AC63B4" w:rsidRDefault="00B13673" w:rsidP="00AC63B4">
            <w:pPr>
              <w:pStyle w:val="ListParagraph"/>
              <w:snapToGrid w:val="0"/>
              <w:ind w:left="360"/>
              <w:rPr>
                <w:rFonts w:cstheme="minorHAnsi"/>
                <w:sz w:val="20"/>
                <w:szCs w:val="20"/>
                <w:lang w:val="en-US"/>
              </w:rPr>
            </w:pPr>
            <w:r w:rsidRPr="00AC63B4">
              <w:rPr>
                <w:rFonts w:cstheme="minorHAnsi"/>
                <w:sz w:val="20"/>
                <w:szCs w:val="20"/>
                <w:lang w:val="en-US"/>
              </w:rPr>
              <w:t>Revolving credit structure:</w:t>
            </w:r>
          </w:p>
          <w:p w14:paraId="1DF6B3CA" w14:textId="0E6135D4" w:rsidR="00B13673" w:rsidRPr="00AC63B4" w:rsidRDefault="00B13673" w:rsidP="00AC63B4">
            <w:pPr>
              <w:pStyle w:val="ListParagraph"/>
              <w:snapToGrid w:val="0"/>
              <w:ind w:left="360"/>
              <w:rPr>
                <w:rFonts w:cstheme="minorHAnsi"/>
                <w:sz w:val="20"/>
                <w:szCs w:val="20"/>
                <w:lang w:val="en-US"/>
              </w:rPr>
            </w:pPr>
            <w:r w:rsidRPr="00AC63B4">
              <w:rPr>
                <w:rFonts w:cstheme="minorHAnsi"/>
                <w:sz w:val="20"/>
                <w:szCs w:val="20"/>
                <w:lang w:val="en-US"/>
              </w:rPr>
              <w:t xml:space="preserve">Credit card loans often have a revolving credit structure. This </w:t>
            </w:r>
            <w:r w:rsidR="00B97C04" w:rsidRPr="00AC63B4">
              <w:rPr>
                <w:rFonts w:cstheme="minorHAnsi"/>
                <w:sz w:val="20"/>
                <w:szCs w:val="20"/>
                <w:lang w:val="en-US"/>
              </w:rPr>
              <w:t>means cardholders</w:t>
            </w:r>
            <w:r w:rsidRPr="00AC63B4">
              <w:rPr>
                <w:rFonts w:cstheme="minorHAnsi"/>
                <w:sz w:val="20"/>
                <w:szCs w:val="20"/>
                <w:lang w:val="en-US"/>
              </w:rPr>
              <w:t xml:space="preserve"> can borrow, repay, and borrow again within their credit limit. As a result, there is uncertainty about when cardholders will use their credit limit and how much they will borrow. This uncertainty can make it difficult for banks to effectively predict and manage their liquidity needs.</w:t>
            </w:r>
          </w:p>
          <w:p w14:paraId="1C5C0CF9" w14:textId="77777777" w:rsidR="00B13673" w:rsidRPr="00AC63B4" w:rsidRDefault="00B13673" w:rsidP="00AC63B4">
            <w:pPr>
              <w:pStyle w:val="ListParagraph"/>
              <w:snapToGrid w:val="0"/>
              <w:ind w:left="360"/>
              <w:rPr>
                <w:rFonts w:cstheme="minorHAnsi"/>
                <w:sz w:val="20"/>
                <w:szCs w:val="20"/>
                <w:lang w:val="en-US"/>
              </w:rPr>
            </w:pPr>
          </w:p>
          <w:p w14:paraId="126A75F7" w14:textId="77777777" w:rsidR="00B13673" w:rsidRPr="00AC63B4" w:rsidRDefault="00B13673" w:rsidP="00AC63B4">
            <w:pPr>
              <w:pStyle w:val="ListParagraph"/>
              <w:snapToGrid w:val="0"/>
              <w:ind w:left="360"/>
              <w:rPr>
                <w:rFonts w:cstheme="minorHAnsi"/>
                <w:sz w:val="20"/>
                <w:szCs w:val="20"/>
                <w:lang w:val="en-US"/>
              </w:rPr>
            </w:pPr>
            <w:r w:rsidRPr="00AC63B4">
              <w:rPr>
                <w:rFonts w:cstheme="minorHAnsi"/>
                <w:sz w:val="20"/>
                <w:szCs w:val="20"/>
                <w:lang w:val="en-US"/>
              </w:rPr>
              <w:t xml:space="preserve">  Access capital immediately:</w:t>
            </w:r>
          </w:p>
          <w:p w14:paraId="193C3F7A" w14:textId="005B8DA3" w:rsidR="00B13673" w:rsidRPr="00AC63B4" w:rsidRDefault="00B13673" w:rsidP="00AC63B4">
            <w:pPr>
              <w:pStyle w:val="ListParagraph"/>
              <w:snapToGrid w:val="0"/>
              <w:ind w:left="360"/>
              <w:rPr>
                <w:rFonts w:cstheme="minorHAnsi"/>
                <w:sz w:val="20"/>
                <w:szCs w:val="20"/>
                <w:lang w:val="en-US"/>
              </w:rPr>
            </w:pPr>
            <w:r w:rsidRPr="00AC63B4">
              <w:rPr>
                <w:rFonts w:cstheme="minorHAnsi"/>
                <w:sz w:val="20"/>
                <w:szCs w:val="20"/>
                <w:lang w:val="en-US"/>
              </w:rPr>
              <w:t xml:space="preserve">Credit card holders have access </w:t>
            </w:r>
            <w:r w:rsidR="00B97C04" w:rsidRPr="00AC63B4">
              <w:rPr>
                <w:rFonts w:cstheme="minorHAnsi"/>
                <w:sz w:val="20"/>
                <w:szCs w:val="20"/>
                <w:lang w:val="en-US"/>
              </w:rPr>
              <w:t>to their</w:t>
            </w:r>
            <w:r w:rsidRPr="00AC63B4">
              <w:rPr>
                <w:rFonts w:cstheme="minorHAnsi"/>
                <w:sz w:val="20"/>
                <w:szCs w:val="20"/>
                <w:lang w:val="en-US"/>
              </w:rPr>
              <w:t xml:space="preserve"> credit limit at any time. This </w:t>
            </w:r>
            <w:r w:rsidR="00B97C04" w:rsidRPr="00AC63B4">
              <w:rPr>
                <w:rFonts w:cstheme="minorHAnsi"/>
                <w:sz w:val="20"/>
                <w:szCs w:val="20"/>
                <w:lang w:val="en-US"/>
              </w:rPr>
              <w:t>means banks</w:t>
            </w:r>
            <w:r w:rsidRPr="00AC63B4">
              <w:rPr>
                <w:rFonts w:cstheme="minorHAnsi"/>
                <w:sz w:val="20"/>
                <w:szCs w:val="20"/>
                <w:lang w:val="en-US"/>
              </w:rPr>
              <w:t xml:space="preserve"> must be ready to provide funds when cardholders pay fees or cash advances. Banks must have sufficient liquidity or access to short-term capital sources to meet these immediate needs.</w:t>
            </w:r>
          </w:p>
          <w:p w14:paraId="375BEE62" w14:textId="77777777" w:rsidR="00B13673" w:rsidRPr="00AC63B4" w:rsidRDefault="00B13673" w:rsidP="00AC63B4">
            <w:pPr>
              <w:pStyle w:val="ListParagraph"/>
              <w:snapToGrid w:val="0"/>
              <w:ind w:left="360"/>
              <w:rPr>
                <w:rFonts w:cstheme="minorHAnsi"/>
                <w:sz w:val="20"/>
                <w:szCs w:val="20"/>
                <w:lang w:val="en-US"/>
              </w:rPr>
            </w:pPr>
          </w:p>
          <w:p w14:paraId="5CD4EEE1" w14:textId="77777777" w:rsidR="00B13673" w:rsidRPr="00AC63B4" w:rsidRDefault="00B13673" w:rsidP="00AC63B4">
            <w:pPr>
              <w:pStyle w:val="ListParagraph"/>
              <w:snapToGrid w:val="0"/>
              <w:ind w:left="360"/>
              <w:rPr>
                <w:rFonts w:cstheme="minorHAnsi"/>
                <w:sz w:val="20"/>
                <w:szCs w:val="20"/>
                <w:lang w:val="en-US"/>
              </w:rPr>
            </w:pPr>
            <w:r w:rsidRPr="00AC63B4">
              <w:rPr>
                <w:rFonts w:cstheme="minorHAnsi"/>
                <w:sz w:val="20"/>
                <w:szCs w:val="20"/>
                <w:lang w:val="en-US"/>
              </w:rPr>
              <w:t xml:space="preserve"> Interest-free grace period:</w:t>
            </w:r>
          </w:p>
          <w:p w14:paraId="6FDD204D" w14:textId="7FCBD3C3" w:rsidR="00B13673" w:rsidRPr="00AC63B4" w:rsidRDefault="00B13673" w:rsidP="00AC63B4">
            <w:pPr>
              <w:pStyle w:val="ListParagraph"/>
              <w:snapToGrid w:val="0"/>
              <w:ind w:left="360"/>
              <w:rPr>
                <w:rFonts w:cstheme="minorHAnsi"/>
                <w:sz w:val="20"/>
                <w:szCs w:val="20"/>
                <w:lang w:val="en-US"/>
              </w:rPr>
            </w:pPr>
            <w:r w:rsidRPr="00AC63B4">
              <w:rPr>
                <w:rFonts w:cstheme="minorHAnsi"/>
                <w:sz w:val="20"/>
                <w:szCs w:val="20"/>
                <w:lang w:val="en-US"/>
              </w:rPr>
              <w:t xml:space="preserve">Many credit cards offer an interest-free grace period on purchases. During this period, the cardholder does not have to pay </w:t>
            </w:r>
            <w:r w:rsidR="00B97C04" w:rsidRPr="00AC63B4">
              <w:rPr>
                <w:rFonts w:cstheme="minorHAnsi"/>
                <w:sz w:val="20"/>
                <w:szCs w:val="20"/>
                <w:lang w:val="en-US"/>
              </w:rPr>
              <w:t>interest if</w:t>
            </w:r>
            <w:r w:rsidRPr="00AC63B4">
              <w:rPr>
                <w:rFonts w:cstheme="minorHAnsi"/>
                <w:sz w:val="20"/>
                <w:szCs w:val="20"/>
                <w:lang w:val="en-US"/>
              </w:rPr>
              <w:t xml:space="preserve"> the balance is paid in full. While this feature is attractive to consumers, it can create liquidity problems for banks because they must temporarily fund these purchases until they are repaid.  Minimum payment:</w:t>
            </w:r>
          </w:p>
          <w:p w14:paraId="112D1FC3" w14:textId="2EC6087B" w:rsidR="00B13673" w:rsidRPr="00AC63B4" w:rsidRDefault="00B13673" w:rsidP="00AC63B4">
            <w:pPr>
              <w:pStyle w:val="ListParagraph"/>
              <w:snapToGrid w:val="0"/>
              <w:ind w:left="360"/>
              <w:rPr>
                <w:rFonts w:cstheme="minorHAnsi"/>
                <w:sz w:val="20"/>
                <w:szCs w:val="20"/>
                <w:lang w:val="en-US"/>
              </w:rPr>
            </w:pPr>
            <w:r w:rsidRPr="00AC63B4">
              <w:rPr>
                <w:rFonts w:cstheme="minorHAnsi"/>
                <w:sz w:val="20"/>
                <w:szCs w:val="20"/>
                <w:lang w:val="en-US"/>
              </w:rPr>
              <w:t xml:space="preserve">Cardholders are typically required to make a minimum payment on their credit card balance each month. These payments represent a continuous outflow of capital that banks must predict and manage. </w:t>
            </w:r>
            <w:r w:rsidR="00B97C04" w:rsidRPr="00AC63B4">
              <w:rPr>
                <w:rFonts w:cstheme="minorHAnsi"/>
                <w:sz w:val="20"/>
                <w:szCs w:val="20"/>
                <w:lang w:val="en-US"/>
              </w:rPr>
              <w:t>The minimum</w:t>
            </w:r>
            <w:r w:rsidRPr="00AC63B4">
              <w:rPr>
                <w:rFonts w:cstheme="minorHAnsi"/>
                <w:sz w:val="20"/>
                <w:szCs w:val="20"/>
                <w:lang w:val="en-US"/>
              </w:rPr>
              <w:t xml:space="preserve"> payment may vary depending on the outstanding balance.</w:t>
            </w:r>
          </w:p>
          <w:p w14:paraId="0B284400" w14:textId="77777777" w:rsidR="00B13673" w:rsidRPr="00AC63B4" w:rsidRDefault="00B13673" w:rsidP="00AC63B4">
            <w:pPr>
              <w:pStyle w:val="ListParagraph"/>
              <w:snapToGrid w:val="0"/>
              <w:ind w:left="360"/>
              <w:rPr>
                <w:rFonts w:cstheme="minorHAnsi"/>
                <w:sz w:val="20"/>
                <w:szCs w:val="20"/>
                <w:lang w:val="en-US"/>
              </w:rPr>
            </w:pPr>
          </w:p>
          <w:p w14:paraId="22C56468" w14:textId="77777777" w:rsidR="00B13673" w:rsidRPr="00AC63B4" w:rsidRDefault="00B13673" w:rsidP="00AC63B4">
            <w:pPr>
              <w:pStyle w:val="ListParagraph"/>
              <w:snapToGrid w:val="0"/>
              <w:ind w:left="360"/>
              <w:rPr>
                <w:rFonts w:cstheme="minorHAnsi"/>
                <w:sz w:val="20"/>
                <w:szCs w:val="20"/>
                <w:lang w:val="en-US"/>
              </w:rPr>
            </w:pPr>
            <w:r w:rsidRPr="00AC63B4">
              <w:rPr>
                <w:rFonts w:cstheme="minorHAnsi"/>
                <w:sz w:val="20"/>
                <w:szCs w:val="20"/>
                <w:lang w:val="en-US"/>
              </w:rPr>
              <w:t xml:space="preserve"> Unpredictable return forms:</w:t>
            </w:r>
          </w:p>
          <w:p w14:paraId="09A9AA4C" w14:textId="5EE20416" w:rsidR="00B13673" w:rsidRPr="00AC63B4" w:rsidRDefault="00B13673" w:rsidP="00AC63B4">
            <w:pPr>
              <w:pStyle w:val="ListParagraph"/>
              <w:snapToGrid w:val="0"/>
              <w:ind w:left="360"/>
              <w:rPr>
                <w:rFonts w:cstheme="minorHAnsi"/>
                <w:sz w:val="20"/>
                <w:szCs w:val="20"/>
                <w:lang w:val="en-US"/>
              </w:rPr>
            </w:pPr>
            <w:r w:rsidRPr="00AC63B4">
              <w:rPr>
                <w:rFonts w:cstheme="minorHAnsi"/>
                <w:sz w:val="20"/>
                <w:szCs w:val="20"/>
                <w:lang w:val="en-US"/>
              </w:rPr>
              <w:t xml:space="preserve">Cardholders have flexibility in how much they pay each month, and their repayment methods can </w:t>
            </w:r>
            <w:r w:rsidR="00B97C04" w:rsidRPr="00AC63B4">
              <w:rPr>
                <w:rFonts w:cstheme="minorHAnsi"/>
                <w:sz w:val="20"/>
                <w:szCs w:val="20"/>
                <w:lang w:val="en-US"/>
              </w:rPr>
              <w:t>be unpredictable</w:t>
            </w:r>
            <w:r w:rsidRPr="00AC63B4">
              <w:rPr>
                <w:rFonts w:cstheme="minorHAnsi"/>
                <w:sz w:val="20"/>
                <w:szCs w:val="20"/>
                <w:lang w:val="en-US"/>
              </w:rPr>
              <w:t>. Some may pay off their balance in full, while others may carry their balance from month to month, incurring interest. This unpredictability in debt repayment behavior can make it difficult for banks to accurately forecast cash flows.</w:t>
            </w:r>
          </w:p>
          <w:p w14:paraId="4CF6E825" w14:textId="77777777" w:rsidR="00B13673" w:rsidRDefault="00B13673" w:rsidP="00AC63B4">
            <w:pPr>
              <w:pStyle w:val="ListParagraph"/>
              <w:snapToGrid w:val="0"/>
              <w:ind w:left="360"/>
              <w:rPr>
                <w:rFonts w:cstheme="minorHAnsi"/>
                <w:sz w:val="20"/>
                <w:szCs w:val="20"/>
                <w:lang w:val="en-US"/>
              </w:rPr>
            </w:pPr>
          </w:p>
          <w:p w14:paraId="1D517776" w14:textId="77777777" w:rsidR="00B13673" w:rsidRDefault="00B13673" w:rsidP="00AC63B4">
            <w:pPr>
              <w:pStyle w:val="ListParagraph"/>
              <w:snapToGrid w:val="0"/>
              <w:ind w:left="360"/>
              <w:rPr>
                <w:rFonts w:cstheme="minorHAnsi"/>
                <w:sz w:val="20"/>
                <w:szCs w:val="20"/>
                <w:lang w:val="en-US"/>
              </w:rPr>
            </w:pPr>
          </w:p>
          <w:p w14:paraId="6C5B554D" w14:textId="77777777" w:rsidR="00B13673" w:rsidRDefault="00B13673" w:rsidP="00AC63B4">
            <w:pPr>
              <w:pStyle w:val="ListParagraph"/>
              <w:snapToGrid w:val="0"/>
              <w:ind w:left="360"/>
              <w:rPr>
                <w:rFonts w:cstheme="minorHAnsi"/>
                <w:sz w:val="20"/>
                <w:szCs w:val="20"/>
                <w:lang w:val="en-US"/>
              </w:rPr>
            </w:pPr>
          </w:p>
          <w:p w14:paraId="7FB4BFEC" w14:textId="77777777" w:rsidR="00B13673" w:rsidRDefault="00B13673" w:rsidP="00AC63B4">
            <w:pPr>
              <w:pStyle w:val="ListParagraph"/>
              <w:snapToGrid w:val="0"/>
              <w:ind w:left="360"/>
              <w:rPr>
                <w:rFonts w:cstheme="minorHAnsi"/>
                <w:sz w:val="20"/>
                <w:szCs w:val="20"/>
                <w:lang w:val="en-US"/>
              </w:rPr>
            </w:pPr>
          </w:p>
          <w:p w14:paraId="75D7530C" w14:textId="77777777" w:rsidR="009C3C08" w:rsidRDefault="009C3C08" w:rsidP="00AC63B4">
            <w:pPr>
              <w:pStyle w:val="ListParagraph"/>
              <w:snapToGrid w:val="0"/>
              <w:ind w:left="360"/>
              <w:rPr>
                <w:rFonts w:cstheme="minorHAnsi"/>
                <w:sz w:val="20"/>
                <w:szCs w:val="20"/>
                <w:lang w:val="en-US"/>
              </w:rPr>
            </w:pPr>
          </w:p>
          <w:p w14:paraId="47DA096E" w14:textId="77777777" w:rsidR="005606AE" w:rsidRDefault="005606AE" w:rsidP="00AC63B4">
            <w:pPr>
              <w:pStyle w:val="ListParagraph"/>
              <w:snapToGrid w:val="0"/>
              <w:ind w:left="360"/>
              <w:rPr>
                <w:rFonts w:cstheme="minorHAnsi"/>
                <w:sz w:val="20"/>
                <w:szCs w:val="20"/>
                <w:lang w:val="en-US"/>
              </w:rPr>
            </w:pPr>
          </w:p>
          <w:p w14:paraId="68B4E2BD" w14:textId="77777777" w:rsidR="005606AE" w:rsidRDefault="005606AE" w:rsidP="00AC63B4">
            <w:pPr>
              <w:pStyle w:val="ListParagraph"/>
              <w:snapToGrid w:val="0"/>
              <w:ind w:left="360"/>
              <w:rPr>
                <w:rFonts w:cstheme="minorHAnsi"/>
                <w:sz w:val="20"/>
                <w:szCs w:val="20"/>
                <w:lang w:val="en-US"/>
              </w:rPr>
            </w:pPr>
          </w:p>
          <w:p w14:paraId="772B6F43" w14:textId="77777777" w:rsidR="005606AE" w:rsidRDefault="005606AE" w:rsidP="00AC63B4">
            <w:pPr>
              <w:pStyle w:val="ListParagraph"/>
              <w:snapToGrid w:val="0"/>
              <w:ind w:left="360"/>
              <w:rPr>
                <w:rFonts w:cstheme="minorHAnsi"/>
                <w:sz w:val="20"/>
                <w:szCs w:val="20"/>
                <w:lang w:val="en-US"/>
              </w:rPr>
            </w:pPr>
          </w:p>
          <w:p w14:paraId="3734B8AC" w14:textId="77777777" w:rsidR="00B13673" w:rsidRPr="00AC63B4" w:rsidRDefault="00B13673" w:rsidP="00AC63B4">
            <w:pPr>
              <w:pStyle w:val="ListParagraph"/>
              <w:snapToGrid w:val="0"/>
              <w:ind w:left="360"/>
              <w:rPr>
                <w:rFonts w:cstheme="minorHAnsi"/>
                <w:sz w:val="20"/>
                <w:szCs w:val="20"/>
                <w:lang w:val="en-US"/>
              </w:rPr>
            </w:pPr>
            <w:r w:rsidRPr="00AC63B4">
              <w:rPr>
                <w:rFonts w:cstheme="minorHAnsi"/>
                <w:sz w:val="20"/>
                <w:szCs w:val="20"/>
                <w:lang w:val="en-US"/>
              </w:rPr>
              <w:t xml:space="preserve"> Economic depression:</w:t>
            </w:r>
          </w:p>
          <w:p w14:paraId="3B43C209" w14:textId="48A9D39D" w:rsidR="00B13673" w:rsidRPr="00DF6317" w:rsidRDefault="00B13673" w:rsidP="00AC63B4">
            <w:pPr>
              <w:pStyle w:val="ListParagraph"/>
              <w:snapToGrid w:val="0"/>
              <w:ind w:left="360"/>
              <w:contextualSpacing w:val="0"/>
              <w:rPr>
                <w:rFonts w:cstheme="minorHAnsi"/>
                <w:sz w:val="20"/>
                <w:szCs w:val="20"/>
                <w:lang w:val="en-US"/>
              </w:rPr>
            </w:pPr>
            <w:r w:rsidRPr="00AC63B4">
              <w:rPr>
                <w:rFonts w:cstheme="minorHAnsi"/>
                <w:sz w:val="20"/>
                <w:szCs w:val="20"/>
                <w:lang w:val="en-US"/>
              </w:rPr>
              <w:t xml:space="preserve">Economic downturns can have a significant impact on the liquidity risk of credit card loans. During a recession or financial crisis, cardholders may experience job loss or a reduction in income, making it more difficult for them to meet their credit card </w:t>
            </w:r>
            <w:r w:rsidR="009C3C08" w:rsidRPr="00AC63B4">
              <w:rPr>
                <w:rFonts w:cstheme="minorHAnsi"/>
                <w:sz w:val="20"/>
                <w:szCs w:val="20"/>
                <w:lang w:val="en-US"/>
              </w:rPr>
              <w:t>obligations.</w:t>
            </w:r>
          </w:p>
        </w:tc>
        <w:tc>
          <w:tcPr>
            <w:tcW w:w="7680" w:type="dxa"/>
            <w:shd w:val="clear" w:color="auto" w:fill="auto"/>
          </w:tcPr>
          <w:p w14:paraId="67CA7110" w14:textId="77777777" w:rsidR="00B13673" w:rsidRPr="00CD4604" w:rsidRDefault="00B13673" w:rsidP="00CD4604">
            <w:pPr>
              <w:snapToGrid w:val="0"/>
              <w:rPr>
                <w:rFonts w:cstheme="minorHAnsi"/>
                <w:sz w:val="20"/>
                <w:szCs w:val="20"/>
                <w:lang w:val="en-US"/>
              </w:rPr>
            </w:pPr>
            <w:r w:rsidRPr="00CD4604">
              <w:rPr>
                <w:rFonts w:cstheme="minorHAnsi"/>
                <w:sz w:val="20"/>
                <w:szCs w:val="20"/>
                <w:lang w:val="en-US"/>
              </w:rPr>
              <w:lastRenderedPageBreak/>
              <w:t>Interest Rate Regulation: Governments may impose restrictions on the interest rates that credit card issuers can charge. These restrictions can limit the revenue that credit card companies can generate from interest charges. For example, usury laws may cap the maximum interest rates that can be applied to credit card balances. Changes in these regulations can directly affect a credit card issuer's profitability.</w:t>
            </w:r>
          </w:p>
          <w:p w14:paraId="5C60702B" w14:textId="77777777" w:rsidR="00B13673" w:rsidRPr="00CD4604" w:rsidRDefault="00B13673" w:rsidP="00CD4604">
            <w:pPr>
              <w:snapToGrid w:val="0"/>
              <w:rPr>
                <w:rFonts w:cstheme="minorHAnsi"/>
                <w:sz w:val="20"/>
                <w:szCs w:val="20"/>
                <w:lang w:val="en-US"/>
              </w:rPr>
            </w:pPr>
          </w:p>
          <w:p w14:paraId="7ABBF709" w14:textId="77777777" w:rsidR="00B13673" w:rsidRPr="00CD4604" w:rsidRDefault="00B13673" w:rsidP="00CD4604">
            <w:pPr>
              <w:snapToGrid w:val="0"/>
              <w:rPr>
                <w:rFonts w:cstheme="minorHAnsi"/>
                <w:sz w:val="20"/>
                <w:szCs w:val="20"/>
                <w:lang w:val="en-US"/>
              </w:rPr>
            </w:pPr>
            <w:r w:rsidRPr="00CD4604">
              <w:rPr>
                <w:rFonts w:cstheme="minorHAnsi"/>
                <w:sz w:val="20"/>
                <w:szCs w:val="20"/>
                <w:lang w:val="en-US"/>
              </w:rPr>
              <w:t>Consumer Protection Regulations: Governments often enact consumer protection regulations aimed at preventing abusive or unfair practices by credit card companies. These regulations can restrict certain fees, require clear and transparent disclosures, and establish rules for how payments and interest are applied to card balances. Failure to comply with these regulations can lead to legal actions and financial penalties.</w:t>
            </w:r>
          </w:p>
          <w:p w14:paraId="1801172C" w14:textId="77777777" w:rsidR="00B13673" w:rsidRPr="00CD4604" w:rsidRDefault="00B13673" w:rsidP="00CD4604">
            <w:pPr>
              <w:snapToGrid w:val="0"/>
              <w:rPr>
                <w:rFonts w:cstheme="minorHAnsi"/>
                <w:sz w:val="20"/>
                <w:szCs w:val="20"/>
                <w:lang w:val="en-US"/>
              </w:rPr>
            </w:pPr>
          </w:p>
          <w:p w14:paraId="7CE2B30B" w14:textId="77777777" w:rsidR="00B13673" w:rsidRPr="00CD4604" w:rsidRDefault="00B13673" w:rsidP="00CD4604">
            <w:pPr>
              <w:snapToGrid w:val="0"/>
              <w:rPr>
                <w:rFonts w:cstheme="minorHAnsi"/>
                <w:sz w:val="20"/>
                <w:szCs w:val="20"/>
                <w:lang w:val="en-US"/>
              </w:rPr>
            </w:pPr>
            <w:r w:rsidRPr="00CD4604">
              <w:rPr>
                <w:rFonts w:cstheme="minorHAnsi"/>
                <w:sz w:val="20"/>
                <w:szCs w:val="20"/>
                <w:lang w:val="en-US"/>
              </w:rPr>
              <w:t>Credit Reporting and Privacy Laws: Credit card companies are subject to laws governing the collection, use, and reporting of consumer credit information. Regulations such as the Fair Credit Reporting Act (FCRA) and the European Union's General Data Protection Regulation (GDPR) impose requirements on how credit card issuers handle customer data. Non-compliance with these laws can result in fines and reputational damage.</w:t>
            </w:r>
          </w:p>
          <w:p w14:paraId="1FFBB8D1" w14:textId="77777777" w:rsidR="00B13673" w:rsidRPr="00CD4604" w:rsidRDefault="00B13673" w:rsidP="00CD4604">
            <w:pPr>
              <w:snapToGrid w:val="0"/>
              <w:rPr>
                <w:rFonts w:cstheme="minorHAnsi"/>
                <w:sz w:val="20"/>
                <w:szCs w:val="20"/>
                <w:lang w:val="en-US"/>
              </w:rPr>
            </w:pPr>
          </w:p>
          <w:p w14:paraId="16EDDB4E" w14:textId="77777777" w:rsidR="00B13673" w:rsidRPr="00CD4604" w:rsidRDefault="00B13673" w:rsidP="00CD4604">
            <w:pPr>
              <w:snapToGrid w:val="0"/>
              <w:rPr>
                <w:rFonts w:cstheme="minorHAnsi"/>
                <w:sz w:val="20"/>
                <w:szCs w:val="20"/>
                <w:lang w:val="en-US"/>
              </w:rPr>
            </w:pPr>
            <w:r w:rsidRPr="00CD4604">
              <w:rPr>
                <w:rFonts w:cstheme="minorHAnsi"/>
                <w:sz w:val="20"/>
                <w:szCs w:val="20"/>
                <w:lang w:val="en-US"/>
              </w:rPr>
              <w:t>Anti-Money Laundering (AML) and Know Your Customer (KYC) Regulations: Credit card issuers are obligated to implement AML and KYC procedures to detect and report suspicious transactions and ensure that customers' identities are verified. Failure to comply with these regulations can lead to legal and financial penalties.</w:t>
            </w:r>
          </w:p>
          <w:p w14:paraId="3E030DB6" w14:textId="77777777" w:rsidR="00B13673" w:rsidRPr="00CD4604" w:rsidRDefault="00B13673" w:rsidP="00CD4604">
            <w:pPr>
              <w:snapToGrid w:val="0"/>
              <w:rPr>
                <w:rFonts w:cstheme="minorHAnsi"/>
                <w:sz w:val="20"/>
                <w:szCs w:val="20"/>
                <w:lang w:val="en-US"/>
              </w:rPr>
            </w:pPr>
          </w:p>
          <w:p w14:paraId="1631D8CF" w14:textId="77777777" w:rsidR="00B13673" w:rsidRPr="00CD4604" w:rsidRDefault="00B13673" w:rsidP="00CD4604">
            <w:pPr>
              <w:snapToGrid w:val="0"/>
              <w:rPr>
                <w:rFonts w:cstheme="minorHAnsi"/>
                <w:sz w:val="20"/>
                <w:szCs w:val="20"/>
                <w:lang w:val="en-US"/>
              </w:rPr>
            </w:pPr>
            <w:r w:rsidRPr="00CD4604">
              <w:rPr>
                <w:rFonts w:cstheme="minorHAnsi"/>
                <w:sz w:val="20"/>
                <w:szCs w:val="20"/>
                <w:lang w:val="en-US"/>
              </w:rPr>
              <w:t>Bankruptcy Laws: Changes in bankruptcy laws can affect the ability of credit card companies to collect on outstanding debts from borrowers who file for bankruptcy protection. Stricter bankruptcy laws can make it more challenging for issuers to recover losses from defaulted loans.</w:t>
            </w:r>
          </w:p>
          <w:p w14:paraId="115740F0" w14:textId="77777777" w:rsidR="00B13673" w:rsidRPr="00CD4604" w:rsidRDefault="00B13673" w:rsidP="00CD4604">
            <w:pPr>
              <w:snapToGrid w:val="0"/>
              <w:rPr>
                <w:rFonts w:cstheme="minorHAnsi"/>
                <w:sz w:val="20"/>
                <w:szCs w:val="20"/>
                <w:lang w:val="en-US"/>
              </w:rPr>
            </w:pPr>
          </w:p>
          <w:p w14:paraId="5B62F274" w14:textId="77777777" w:rsidR="00B13673" w:rsidRPr="00CD4604" w:rsidRDefault="00B13673" w:rsidP="00CD4604">
            <w:pPr>
              <w:snapToGrid w:val="0"/>
              <w:rPr>
                <w:rFonts w:cstheme="minorHAnsi"/>
                <w:sz w:val="20"/>
                <w:szCs w:val="20"/>
                <w:lang w:val="en-US"/>
              </w:rPr>
            </w:pPr>
            <w:r w:rsidRPr="00CD4604">
              <w:rPr>
                <w:rFonts w:cstheme="minorHAnsi"/>
                <w:sz w:val="20"/>
                <w:szCs w:val="20"/>
                <w:lang w:val="en-US"/>
              </w:rPr>
              <w:t>Consumer Financial Protection Bureau (CFPB) Oversight: In the United States, the CFPB oversees credit card issuers and enforces consumer protection laws. Changes in leadership and policies at the CFPB can lead to shifts in regulatory priorities and enforcement actions against credit card companies.</w:t>
            </w:r>
          </w:p>
          <w:p w14:paraId="14DF1039" w14:textId="77777777" w:rsidR="00B13673" w:rsidRDefault="00B13673" w:rsidP="00CD4604">
            <w:pPr>
              <w:snapToGrid w:val="0"/>
              <w:rPr>
                <w:rFonts w:cstheme="minorHAnsi"/>
                <w:sz w:val="20"/>
                <w:szCs w:val="20"/>
                <w:lang w:val="en-US"/>
              </w:rPr>
            </w:pPr>
          </w:p>
          <w:p w14:paraId="1FDAD201" w14:textId="77777777" w:rsidR="005606AE" w:rsidRDefault="005606AE" w:rsidP="00CD4604">
            <w:pPr>
              <w:snapToGrid w:val="0"/>
              <w:rPr>
                <w:rFonts w:cstheme="minorHAnsi"/>
                <w:sz w:val="20"/>
                <w:szCs w:val="20"/>
                <w:lang w:val="en-US"/>
              </w:rPr>
            </w:pPr>
          </w:p>
          <w:p w14:paraId="1722C70B" w14:textId="77777777" w:rsidR="005606AE" w:rsidRDefault="005606AE" w:rsidP="00CD4604">
            <w:pPr>
              <w:snapToGrid w:val="0"/>
              <w:rPr>
                <w:rFonts w:cstheme="minorHAnsi"/>
                <w:sz w:val="20"/>
                <w:szCs w:val="20"/>
                <w:lang w:val="en-US"/>
              </w:rPr>
            </w:pPr>
          </w:p>
          <w:p w14:paraId="2CF6C26B" w14:textId="77777777" w:rsidR="009C3C08" w:rsidRDefault="009C3C08" w:rsidP="00CD4604">
            <w:pPr>
              <w:snapToGrid w:val="0"/>
              <w:rPr>
                <w:rFonts w:cstheme="minorHAnsi"/>
                <w:sz w:val="20"/>
                <w:szCs w:val="20"/>
                <w:lang w:val="en-US"/>
              </w:rPr>
            </w:pPr>
          </w:p>
          <w:p w14:paraId="4D1B5C82" w14:textId="77777777" w:rsidR="005606AE" w:rsidRDefault="005606AE" w:rsidP="00CD4604">
            <w:pPr>
              <w:snapToGrid w:val="0"/>
              <w:rPr>
                <w:rFonts w:cstheme="minorHAnsi"/>
                <w:sz w:val="20"/>
                <w:szCs w:val="20"/>
                <w:lang w:val="en-US"/>
              </w:rPr>
            </w:pPr>
          </w:p>
          <w:p w14:paraId="64483F26" w14:textId="77777777" w:rsidR="005606AE" w:rsidRPr="00CD4604" w:rsidRDefault="005606AE" w:rsidP="00CD4604">
            <w:pPr>
              <w:snapToGrid w:val="0"/>
              <w:rPr>
                <w:rFonts w:cstheme="minorHAnsi"/>
                <w:sz w:val="20"/>
                <w:szCs w:val="20"/>
                <w:lang w:val="en-US"/>
              </w:rPr>
            </w:pPr>
          </w:p>
          <w:p w14:paraId="512F52FB" w14:textId="77777777" w:rsidR="00B13673" w:rsidRPr="00CD4604" w:rsidRDefault="00B13673" w:rsidP="00CD4604">
            <w:pPr>
              <w:snapToGrid w:val="0"/>
              <w:rPr>
                <w:rFonts w:cstheme="minorHAnsi"/>
                <w:sz w:val="20"/>
                <w:szCs w:val="20"/>
                <w:lang w:val="en-US"/>
              </w:rPr>
            </w:pPr>
            <w:r w:rsidRPr="00CD4604">
              <w:rPr>
                <w:rFonts w:cstheme="minorHAnsi"/>
                <w:sz w:val="20"/>
                <w:szCs w:val="20"/>
                <w:lang w:val="en-US"/>
              </w:rPr>
              <w:t>Cross-Border Regulations: For credit card issuers operating in multiple countries, navigating varying regulatory environments can be complex. Changes in regulations in one country can impact the ability to operate or generate revenue in that market.</w:t>
            </w:r>
          </w:p>
          <w:p w14:paraId="1F8F3616" w14:textId="77777777" w:rsidR="00B13673" w:rsidRPr="00CD4604" w:rsidRDefault="00B13673" w:rsidP="00CD4604">
            <w:pPr>
              <w:snapToGrid w:val="0"/>
              <w:rPr>
                <w:rFonts w:cstheme="minorHAnsi"/>
                <w:sz w:val="20"/>
                <w:szCs w:val="20"/>
                <w:lang w:val="en-US"/>
              </w:rPr>
            </w:pPr>
          </w:p>
          <w:p w14:paraId="31779B6D" w14:textId="541AA7BB" w:rsidR="00B13673" w:rsidRPr="00B44FF7" w:rsidRDefault="00B13673" w:rsidP="00CD4604">
            <w:pPr>
              <w:snapToGrid w:val="0"/>
              <w:rPr>
                <w:rFonts w:cstheme="minorHAnsi"/>
                <w:sz w:val="20"/>
                <w:szCs w:val="20"/>
                <w:lang w:val="en-US"/>
              </w:rPr>
            </w:pPr>
            <w:r w:rsidRPr="00CD4604">
              <w:rPr>
                <w:rFonts w:cstheme="minorHAnsi"/>
                <w:sz w:val="20"/>
                <w:szCs w:val="20"/>
                <w:lang w:val="en-US"/>
              </w:rPr>
              <w:t>Market Conduct Regulations: Regulators may also focus on the marketing and sales practices of credit card issuers, particularly when it comes to targeting vulnerable populations or engaging in deceptive marketing practices.</w:t>
            </w:r>
          </w:p>
          <w:p w14:paraId="1A862388" w14:textId="73EA194C" w:rsidR="00B13673" w:rsidRPr="00B44FF7" w:rsidRDefault="00B13673" w:rsidP="00B44FF7">
            <w:pPr>
              <w:snapToGrid w:val="0"/>
              <w:rPr>
                <w:rFonts w:cstheme="minorHAnsi"/>
                <w:sz w:val="20"/>
                <w:szCs w:val="20"/>
                <w:lang w:val="en-US"/>
              </w:rPr>
            </w:pPr>
          </w:p>
        </w:tc>
      </w:tr>
    </w:tbl>
    <w:p w14:paraId="2E278EAC" w14:textId="77777777" w:rsidR="005C615C" w:rsidRPr="00995560" w:rsidRDefault="005C615C" w:rsidP="00995560">
      <w:pPr>
        <w:snapToGrid w:val="0"/>
        <w:spacing w:after="0" w:line="240" w:lineRule="auto"/>
        <w:rPr>
          <w:rFonts w:cstheme="minorHAnsi"/>
          <w:b/>
          <w:bCs/>
          <w:sz w:val="20"/>
          <w:szCs w:val="20"/>
          <w:lang w:val="en-US"/>
        </w:rPr>
      </w:pPr>
    </w:p>
    <w:p w14:paraId="3E9931DE" w14:textId="77777777" w:rsidR="005C615C" w:rsidRDefault="005C615C" w:rsidP="00750815">
      <w:pPr>
        <w:pStyle w:val="ListParagraph"/>
        <w:snapToGrid w:val="0"/>
        <w:spacing w:after="0" w:line="240" w:lineRule="auto"/>
        <w:ind w:left="936"/>
        <w:contextualSpacing w:val="0"/>
        <w:rPr>
          <w:rFonts w:cstheme="minorHAnsi"/>
          <w:b/>
          <w:bCs/>
          <w:sz w:val="20"/>
          <w:szCs w:val="20"/>
          <w:lang w:val="en-US"/>
        </w:rPr>
      </w:pPr>
    </w:p>
    <w:p w14:paraId="0E543476"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2C956223"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052B8E54"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5BE234B9"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7026D2D2"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78A4F8A4"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14DAF084"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5E5BC8F0"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4D7BFCB6"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5278AB05"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62399AA3"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0FF7F2C1"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4FAE4F70"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0A540269"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4D6AFE89"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33CD165C"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684E4C98"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2C5ECD60"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44B48B0D"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126CED86"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099D8809"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5563293C"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05AE9B72"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62B628D4"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7097D7E1"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53E4893C"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7D651876"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161AD786" w14:textId="77777777" w:rsidR="002F4043" w:rsidRPr="0055380E" w:rsidRDefault="00B44FF7" w:rsidP="00750815">
      <w:pPr>
        <w:pStyle w:val="ListParagraph"/>
        <w:numPr>
          <w:ilvl w:val="1"/>
          <w:numId w:val="1"/>
        </w:numPr>
        <w:snapToGrid w:val="0"/>
        <w:spacing w:after="0" w:line="240" w:lineRule="auto"/>
        <w:contextualSpacing w:val="0"/>
        <w:rPr>
          <w:rFonts w:cstheme="minorHAnsi"/>
          <w:b/>
          <w:bCs/>
          <w:sz w:val="20"/>
          <w:szCs w:val="20"/>
          <w:lang w:val="en-US"/>
        </w:rPr>
      </w:pPr>
      <w:r w:rsidRPr="0055380E">
        <w:rPr>
          <w:rFonts w:cstheme="minorHAnsi"/>
          <w:b/>
          <w:bCs/>
          <w:sz w:val="20"/>
          <w:szCs w:val="20"/>
          <w:lang w:val="en-US"/>
        </w:rPr>
        <w:lastRenderedPageBreak/>
        <w:t xml:space="preserve">Student Oratile </w:t>
      </w:r>
      <w:r w:rsidR="00B32380" w:rsidRPr="0055380E">
        <w:rPr>
          <w:rFonts w:cstheme="minorHAnsi"/>
          <w:b/>
          <w:bCs/>
          <w:sz w:val="20"/>
          <w:szCs w:val="20"/>
          <w:lang w:val="en-US"/>
        </w:rPr>
        <w:t>–</w:t>
      </w:r>
      <w:r w:rsidRPr="0055380E">
        <w:rPr>
          <w:rFonts w:cstheme="minorHAnsi"/>
          <w:b/>
          <w:bCs/>
          <w:sz w:val="20"/>
          <w:szCs w:val="20"/>
          <w:lang w:val="en-US"/>
        </w:rPr>
        <w:t xml:space="preserve"> </w:t>
      </w:r>
      <w:r w:rsidRPr="0055380E">
        <w:rPr>
          <w:rFonts w:cstheme="minorHAnsi"/>
          <w:b/>
          <w:bCs/>
          <w:sz w:val="20"/>
          <w:szCs w:val="20"/>
        </w:rPr>
        <w:t>Personal unsecured loan at floating rate Car loan or home loan</w:t>
      </w:r>
      <w:r w:rsidRPr="0055380E">
        <w:rPr>
          <w:rFonts w:cstheme="minorHAnsi"/>
          <w:b/>
          <w:bCs/>
          <w:sz w:val="20"/>
          <w:szCs w:val="20"/>
          <w:lang w:val="en-US"/>
        </w:rPr>
        <w:t xml:space="preserve"> </w:t>
      </w:r>
      <w:r w:rsidR="00FA4CCF">
        <w:rPr>
          <w:rFonts w:cstheme="minorHAnsi"/>
          <w:b/>
          <w:bCs/>
          <w:sz w:val="20"/>
          <w:szCs w:val="20"/>
          <w:lang w:val="en-US"/>
        </w:rPr>
        <w:t>risk</w:t>
      </w:r>
    </w:p>
    <w:p w14:paraId="1ECADE96" w14:textId="77777777" w:rsidR="00B32380" w:rsidRDefault="00B32380" w:rsidP="00750815">
      <w:pPr>
        <w:pStyle w:val="ListParagraph"/>
        <w:snapToGrid w:val="0"/>
        <w:spacing w:after="0" w:line="240" w:lineRule="auto"/>
        <w:contextualSpacing w:val="0"/>
        <w:rPr>
          <w:rFonts w:cstheme="minorHAnsi"/>
          <w:b/>
          <w:bCs/>
          <w:sz w:val="20"/>
          <w:szCs w:val="20"/>
          <w:lang w:val="en-US"/>
        </w:rPr>
      </w:pPr>
    </w:p>
    <w:tbl>
      <w:tblPr>
        <w:tblStyle w:val="TableGrid"/>
        <w:tblW w:w="0" w:type="auto"/>
        <w:tblLook w:val="04A0" w:firstRow="1" w:lastRow="0" w:firstColumn="1" w:lastColumn="0" w:noHBand="0" w:noVBand="1"/>
      </w:tblPr>
      <w:tblGrid>
        <w:gridCol w:w="473"/>
        <w:gridCol w:w="7195"/>
        <w:gridCol w:w="7680"/>
      </w:tblGrid>
      <w:tr w:rsidR="00B13673" w14:paraId="27A3B5D4" w14:textId="77777777" w:rsidTr="00B13673">
        <w:tc>
          <w:tcPr>
            <w:tcW w:w="0" w:type="auto"/>
            <w:shd w:val="clear" w:color="auto" w:fill="F2F2F2" w:themeFill="background1" w:themeFillShade="F2"/>
            <w:textDirection w:val="btLr"/>
          </w:tcPr>
          <w:p w14:paraId="29D8A33C" w14:textId="77777777" w:rsidR="00B13673" w:rsidRDefault="00B13673" w:rsidP="00B44FF7">
            <w:pPr>
              <w:pStyle w:val="ListParagraph"/>
              <w:snapToGrid w:val="0"/>
              <w:ind w:left="113" w:right="113"/>
              <w:contextualSpacing w:val="0"/>
              <w:jc w:val="center"/>
              <w:rPr>
                <w:rFonts w:cstheme="minorHAnsi"/>
                <w:b/>
                <w:bCs/>
                <w:sz w:val="20"/>
                <w:szCs w:val="20"/>
                <w:lang w:val="en-US"/>
              </w:rPr>
            </w:pPr>
          </w:p>
        </w:tc>
        <w:tc>
          <w:tcPr>
            <w:tcW w:w="7195" w:type="dxa"/>
            <w:shd w:val="clear" w:color="auto" w:fill="auto"/>
          </w:tcPr>
          <w:p w14:paraId="2FC8D2D9" w14:textId="527F6D86" w:rsidR="00B13673" w:rsidRPr="00CD4604" w:rsidRDefault="005606AE" w:rsidP="00CD4604">
            <w:pPr>
              <w:snapToGrid w:val="0"/>
              <w:rPr>
                <w:rFonts w:cstheme="minorHAnsi"/>
                <w:sz w:val="20"/>
                <w:szCs w:val="20"/>
                <w:lang w:val="en-US"/>
              </w:rPr>
            </w:pPr>
            <w:r>
              <w:rPr>
                <w:rFonts w:cstheme="minorHAnsi"/>
                <w:sz w:val="20"/>
                <w:szCs w:val="20"/>
                <w:lang w:val="en-US"/>
              </w:rPr>
              <w:t>LIQUIDITY RISK</w:t>
            </w:r>
          </w:p>
        </w:tc>
        <w:tc>
          <w:tcPr>
            <w:tcW w:w="7680" w:type="dxa"/>
            <w:shd w:val="clear" w:color="auto" w:fill="auto"/>
          </w:tcPr>
          <w:p w14:paraId="464D8993" w14:textId="7E0554CC" w:rsidR="00B13673" w:rsidRPr="005606AE" w:rsidRDefault="005606AE" w:rsidP="005606AE">
            <w:pPr>
              <w:tabs>
                <w:tab w:val="left" w:pos="4782"/>
              </w:tabs>
              <w:snapToGrid w:val="0"/>
              <w:rPr>
                <w:rFonts w:cstheme="minorHAnsi"/>
                <w:sz w:val="20"/>
                <w:szCs w:val="20"/>
                <w:lang w:val="en-US"/>
              </w:rPr>
            </w:pPr>
            <w:r>
              <w:rPr>
                <w:rFonts w:cstheme="minorHAnsi"/>
                <w:sz w:val="20"/>
                <w:szCs w:val="20"/>
                <w:lang w:val="en-US"/>
              </w:rPr>
              <w:t>REGULATORY RISK</w:t>
            </w:r>
          </w:p>
        </w:tc>
      </w:tr>
      <w:tr w:rsidR="00B13673" w14:paraId="1CA4E8F8" w14:textId="77777777" w:rsidTr="00B13673">
        <w:tc>
          <w:tcPr>
            <w:tcW w:w="0" w:type="auto"/>
            <w:shd w:val="clear" w:color="auto" w:fill="F2F2F2" w:themeFill="background1" w:themeFillShade="F2"/>
            <w:textDirection w:val="btLr"/>
          </w:tcPr>
          <w:p w14:paraId="5B80BEAA" w14:textId="20284FC9" w:rsidR="00B13673" w:rsidRPr="007306AF" w:rsidRDefault="00B13673" w:rsidP="00B44FF7">
            <w:pPr>
              <w:pStyle w:val="ListParagraph"/>
              <w:snapToGrid w:val="0"/>
              <w:ind w:left="113" w:right="113"/>
              <w:contextualSpacing w:val="0"/>
              <w:jc w:val="center"/>
              <w:rPr>
                <w:rFonts w:cstheme="minorHAnsi"/>
                <w:b/>
                <w:bCs/>
                <w:sz w:val="20"/>
                <w:szCs w:val="20"/>
                <w:lang w:val="en-US"/>
              </w:rPr>
            </w:pPr>
            <w:r>
              <w:rPr>
                <w:rFonts w:cstheme="minorHAnsi"/>
                <w:b/>
                <w:bCs/>
                <w:sz w:val="20"/>
                <w:szCs w:val="20"/>
                <w:lang w:val="en-US"/>
              </w:rPr>
              <w:t>HOME OR AUTO-MOBILE LOANS</w:t>
            </w:r>
          </w:p>
        </w:tc>
        <w:tc>
          <w:tcPr>
            <w:tcW w:w="7195" w:type="dxa"/>
            <w:shd w:val="clear" w:color="auto" w:fill="auto"/>
          </w:tcPr>
          <w:p w14:paraId="7290BF44" w14:textId="77777777" w:rsidR="00B13673" w:rsidRPr="00CD4604" w:rsidRDefault="00B13673" w:rsidP="00CD4604">
            <w:pPr>
              <w:snapToGrid w:val="0"/>
              <w:rPr>
                <w:rFonts w:cstheme="minorHAnsi"/>
                <w:sz w:val="20"/>
                <w:szCs w:val="20"/>
                <w:lang w:val="en-US"/>
              </w:rPr>
            </w:pPr>
            <w:r w:rsidRPr="00CD4604">
              <w:rPr>
                <w:rFonts w:cstheme="minorHAnsi"/>
                <w:sz w:val="20"/>
                <w:szCs w:val="20"/>
                <w:lang w:val="en-US"/>
              </w:rPr>
              <w:t>Market Liquidity Risk: Market liquidity risk pertains to the ease of buying or selling home or automobile loans in the secondary market. If there's a lack of demand for these loans or the market is illiquid, it can be challenging for lenders to sell these loans to raise funds. This can become a problem if a lender needs to access cash quickly due to financial stress or regulatory requirements.</w:t>
            </w:r>
          </w:p>
          <w:p w14:paraId="360680A6" w14:textId="77777777" w:rsidR="00B13673" w:rsidRPr="00CD4604" w:rsidRDefault="00B13673" w:rsidP="00CD4604">
            <w:pPr>
              <w:snapToGrid w:val="0"/>
              <w:rPr>
                <w:rFonts w:cstheme="minorHAnsi"/>
                <w:sz w:val="20"/>
                <w:szCs w:val="20"/>
                <w:lang w:val="en-US"/>
              </w:rPr>
            </w:pPr>
          </w:p>
          <w:p w14:paraId="32823E57" w14:textId="77777777" w:rsidR="00B13673" w:rsidRPr="00CD4604" w:rsidRDefault="00B13673" w:rsidP="00CD4604">
            <w:pPr>
              <w:snapToGrid w:val="0"/>
              <w:rPr>
                <w:rFonts w:cstheme="minorHAnsi"/>
                <w:sz w:val="20"/>
                <w:szCs w:val="20"/>
                <w:lang w:val="en-US"/>
              </w:rPr>
            </w:pPr>
            <w:r w:rsidRPr="00CD4604">
              <w:rPr>
                <w:rFonts w:cstheme="minorHAnsi"/>
                <w:sz w:val="20"/>
                <w:szCs w:val="20"/>
                <w:lang w:val="en-US"/>
              </w:rPr>
              <w:t>Borrower Liquidity Risk: On the borrower side, liquidity risk involves the borrower's ability to convert the value of their home or automobile into cash when needed. For example, if a homeowner faces a financial emergency and needs to sell their home quickly, they may not be able to do so at a favorable price if the real estate market is illiquid.</w:t>
            </w:r>
          </w:p>
          <w:p w14:paraId="499E67DF" w14:textId="77777777" w:rsidR="00B13673" w:rsidRPr="00CD4604" w:rsidRDefault="00B13673" w:rsidP="00CD4604">
            <w:pPr>
              <w:snapToGrid w:val="0"/>
              <w:rPr>
                <w:rFonts w:cstheme="minorHAnsi"/>
                <w:sz w:val="20"/>
                <w:szCs w:val="20"/>
                <w:lang w:val="en-US"/>
              </w:rPr>
            </w:pPr>
          </w:p>
          <w:p w14:paraId="5D03AECD" w14:textId="77777777" w:rsidR="00B13673" w:rsidRPr="00CD4604" w:rsidRDefault="00B13673" w:rsidP="00CD4604">
            <w:pPr>
              <w:snapToGrid w:val="0"/>
              <w:rPr>
                <w:rFonts w:cstheme="minorHAnsi"/>
                <w:sz w:val="20"/>
                <w:szCs w:val="20"/>
                <w:lang w:val="en-US"/>
              </w:rPr>
            </w:pPr>
            <w:r w:rsidRPr="00CD4604">
              <w:rPr>
                <w:rFonts w:cstheme="minorHAnsi"/>
                <w:sz w:val="20"/>
                <w:szCs w:val="20"/>
                <w:lang w:val="en-US"/>
              </w:rPr>
              <w:t>Interest Rate Risk: Interest rate risk is a significant component of liquidity risk. If interest rates rise significantly, borrowers with adjustable-rate mortgages may find it challenging to refinance their loans at affordable rates, potentially leading to payment shocks. Similarly, in a rising rate environment, the market value of existing fixed-rate mortgages can decline, making it less attractive for lenders to hold or sell them.</w:t>
            </w:r>
          </w:p>
          <w:p w14:paraId="7155D1AD" w14:textId="77777777" w:rsidR="00B13673" w:rsidRPr="00CD4604" w:rsidRDefault="00B13673" w:rsidP="00CD4604">
            <w:pPr>
              <w:snapToGrid w:val="0"/>
              <w:rPr>
                <w:rFonts w:cstheme="minorHAnsi"/>
                <w:sz w:val="20"/>
                <w:szCs w:val="20"/>
                <w:lang w:val="en-US"/>
              </w:rPr>
            </w:pPr>
          </w:p>
          <w:p w14:paraId="0459C693" w14:textId="77777777" w:rsidR="00B13673" w:rsidRPr="00CD4604" w:rsidRDefault="00B13673" w:rsidP="00CD4604">
            <w:pPr>
              <w:snapToGrid w:val="0"/>
              <w:rPr>
                <w:rFonts w:cstheme="minorHAnsi"/>
                <w:sz w:val="20"/>
                <w:szCs w:val="20"/>
                <w:lang w:val="en-US"/>
              </w:rPr>
            </w:pPr>
            <w:r w:rsidRPr="00CD4604">
              <w:rPr>
                <w:rFonts w:cstheme="minorHAnsi"/>
                <w:sz w:val="20"/>
                <w:szCs w:val="20"/>
                <w:lang w:val="en-US"/>
              </w:rPr>
              <w:t>Prepayment Risk: For lenders, prepayment risk is a liquidity concern. Borrowers have the option to prepay their loans, which can be a positive if interest rates decline (as borrowers might refinance), but a negative if rates rise and prepayments reduce the income expected from the loan.</w:t>
            </w:r>
          </w:p>
          <w:p w14:paraId="03239819" w14:textId="77777777" w:rsidR="00B13673" w:rsidRPr="00CD4604" w:rsidRDefault="00B13673" w:rsidP="00CD4604">
            <w:pPr>
              <w:snapToGrid w:val="0"/>
              <w:rPr>
                <w:rFonts w:cstheme="minorHAnsi"/>
                <w:sz w:val="20"/>
                <w:szCs w:val="20"/>
                <w:lang w:val="en-US"/>
              </w:rPr>
            </w:pPr>
          </w:p>
          <w:p w14:paraId="078EAE62" w14:textId="77777777" w:rsidR="00B13673" w:rsidRPr="00CD4604" w:rsidRDefault="00B13673" w:rsidP="00CD4604">
            <w:pPr>
              <w:snapToGrid w:val="0"/>
              <w:rPr>
                <w:rFonts w:cstheme="minorHAnsi"/>
                <w:sz w:val="20"/>
                <w:szCs w:val="20"/>
                <w:lang w:val="en-US"/>
              </w:rPr>
            </w:pPr>
            <w:r w:rsidRPr="00CD4604">
              <w:rPr>
                <w:rFonts w:cstheme="minorHAnsi"/>
                <w:sz w:val="20"/>
                <w:szCs w:val="20"/>
                <w:lang w:val="en-US"/>
              </w:rPr>
              <w:t>Credit Quality Risk: The credit quality of borrowers can affect liquidity risk. Loans made to borrowers with poor credit histories may be less marketable or carry a higher risk of default, making them less liquid. Lenders may also find it harder to securitize and sell loans with lower credit quality in the secondary market.</w:t>
            </w:r>
          </w:p>
          <w:p w14:paraId="07C49B08" w14:textId="77777777" w:rsidR="00B13673" w:rsidRPr="00CD4604" w:rsidRDefault="00B13673" w:rsidP="00CD4604">
            <w:pPr>
              <w:snapToGrid w:val="0"/>
              <w:rPr>
                <w:rFonts w:cstheme="minorHAnsi"/>
                <w:sz w:val="20"/>
                <w:szCs w:val="20"/>
                <w:lang w:val="en-US"/>
              </w:rPr>
            </w:pPr>
          </w:p>
          <w:p w14:paraId="1C7C3992" w14:textId="77777777" w:rsidR="00B13673" w:rsidRPr="00CD4604" w:rsidRDefault="00B13673" w:rsidP="00CD4604">
            <w:pPr>
              <w:snapToGrid w:val="0"/>
              <w:rPr>
                <w:rFonts w:cstheme="minorHAnsi"/>
                <w:sz w:val="20"/>
                <w:szCs w:val="20"/>
                <w:lang w:val="en-US"/>
              </w:rPr>
            </w:pPr>
            <w:r w:rsidRPr="00CD4604">
              <w:rPr>
                <w:rFonts w:cstheme="minorHAnsi"/>
                <w:sz w:val="20"/>
                <w:szCs w:val="20"/>
                <w:lang w:val="en-US"/>
              </w:rPr>
              <w:t>Regulatory Changes: Changes in lending regulations can impact liquidity. Stricter lending standards or new regulatory requirements may affect the ability of borrowers to access loans, which can influence the liquidity of both the primary and secondary markets for home and automobile loans.</w:t>
            </w:r>
          </w:p>
          <w:p w14:paraId="166D80FD" w14:textId="36802D78" w:rsidR="00B13673" w:rsidRPr="00B44FF7" w:rsidRDefault="00B13673" w:rsidP="00CD4604">
            <w:pPr>
              <w:snapToGrid w:val="0"/>
              <w:rPr>
                <w:rFonts w:cstheme="minorHAnsi"/>
                <w:sz w:val="20"/>
                <w:szCs w:val="20"/>
                <w:lang w:val="en-US"/>
              </w:rPr>
            </w:pPr>
            <w:r w:rsidRPr="00CD4604">
              <w:rPr>
                <w:rFonts w:cstheme="minorHAnsi"/>
                <w:sz w:val="20"/>
                <w:szCs w:val="20"/>
                <w:lang w:val="en-US"/>
              </w:rPr>
              <w:t>Geographic and Economic Factors: Local economic conditions can influence the liquidity of real estate loans. In areas with declining property values or high unemployment, it can be harder for borrowers to sell homes or cars, increasing liquidity risk.</w:t>
            </w:r>
          </w:p>
        </w:tc>
        <w:tc>
          <w:tcPr>
            <w:tcW w:w="7680" w:type="dxa"/>
            <w:shd w:val="clear" w:color="auto" w:fill="auto"/>
          </w:tcPr>
          <w:p w14:paraId="4A60DD99" w14:textId="3A15B8CB" w:rsidR="00B13673" w:rsidRPr="00DF6317" w:rsidRDefault="00B13673" w:rsidP="00B44FF7">
            <w:pPr>
              <w:pStyle w:val="ListParagraph"/>
              <w:tabs>
                <w:tab w:val="left" w:pos="4782"/>
              </w:tabs>
              <w:snapToGrid w:val="0"/>
              <w:contextualSpacing w:val="0"/>
              <w:rPr>
                <w:rFonts w:cstheme="minorHAnsi"/>
                <w:sz w:val="20"/>
                <w:szCs w:val="20"/>
                <w:lang w:val="en-US"/>
              </w:rPr>
            </w:pPr>
            <w:r>
              <w:rPr>
                <w:rFonts w:cstheme="minorHAnsi"/>
                <w:sz w:val="20"/>
                <w:szCs w:val="20"/>
                <w:lang w:val="en-US"/>
              </w:rPr>
              <w:tab/>
            </w:r>
          </w:p>
          <w:p w14:paraId="109A26F8" w14:textId="77777777" w:rsidR="00B13673" w:rsidRPr="00CD4604" w:rsidRDefault="00B13673" w:rsidP="00CD4604">
            <w:pPr>
              <w:tabs>
                <w:tab w:val="left" w:pos="2989"/>
              </w:tabs>
              <w:snapToGrid w:val="0"/>
              <w:rPr>
                <w:rFonts w:cstheme="minorHAnsi"/>
                <w:sz w:val="20"/>
                <w:szCs w:val="20"/>
                <w:lang w:val="en-US"/>
              </w:rPr>
            </w:pPr>
            <w:r w:rsidRPr="00CD4604">
              <w:rPr>
                <w:rFonts w:cstheme="minorHAnsi"/>
                <w:sz w:val="20"/>
                <w:szCs w:val="20"/>
                <w:lang w:val="en-US"/>
              </w:rPr>
              <w:t>Interest Rate Regulations: Changes in government policies related to interest rates can significantly affect the home and auto loan market. For instance, caps on interest rates may limit the profitability of lending for financial institutions, potentially reducing the availability of loans for consumers. Conversely, low interest rate policies may encourage borrowing but could lead to increased default risk if borrowers take on more debt than they can afford when rates eventually rise.</w:t>
            </w:r>
          </w:p>
          <w:p w14:paraId="04D5BF34" w14:textId="77777777" w:rsidR="00B13673" w:rsidRPr="00CD4604" w:rsidRDefault="00B13673" w:rsidP="00CD4604">
            <w:pPr>
              <w:tabs>
                <w:tab w:val="left" w:pos="2989"/>
              </w:tabs>
              <w:snapToGrid w:val="0"/>
              <w:rPr>
                <w:rFonts w:cstheme="minorHAnsi"/>
                <w:sz w:val="20"/>
                <w:szCs w:val="20"/>
                <w:lang w:val="en-US"/>
              </w:rPr>
            </w:pPr>
          </w:p>
          <w:p w14:paraId="1714EFD5" w14:textId="77777777" w:rsidR="00B13673" w:rsidRPr="00CD4604" w:rsidRDefault="00B13673" w:rsidP="00CD4604">
            <w:pPr>
              <w:tabs>
                <w:tab w:val="left" w:pos="2989"/>
              </w:tabs>
              <w:snapToGrid w:val="0"/>
              <w:rPr>
                <w:rFonts w:cstheme="minorHAnsi"/>
                <w:sz w:val="20"/>
                <w:szCs w:val="20"/>
                <w:lang w:val="en-US"/>
              </w:rPr>
            </w:pPr>
            <w:r w:rsidRPr="00CD4604">
              <w:rPr>
                <w:rFonts w:cstheme="minorHAnsi"/>
                <w:sz w:val="20"/>
                <w:szCs w:val="20"/>
                <w:lang w:val="en-US"/>
              </w:rPr>
              <w:t>Consumer Protection Laws: Regulations designed to protect consumers can also impact the lending industry. These laws may impose requirements on lenders regarding transparency, disclosure, fair lending practices, and the treatment of borrowers in distress. Complying with these regulations can be costly for financial institutions and may affect the terms and availability of loans.</w:t>
            </w:r>
          </w:p>
          <w:p w14:paraId="19416BDD" w14:textId="77777777" w:rsidR="00B13673" w:rsidRPr="00CD4604" w:rsidRDefault="00B13673" w:rsidP="00CD4604">
            <w:pPr>
              <w:tabs>
                <w:tab w:val="left" w:pos="2989"/>
              </w:tabs>
              <w:snapToGrid w:val="0"/>
              <w:rPr>
                <w:rFonts w:cstheme="minorHAnsi"/>
                <w:sz w:val="20"/>
                <w:szCs w:val="20"/>
                <w:lang w:val="en-US"/>
              </w:rPr>
            </w:pPr>
          </w:p>
          <w:p w14:paraId="7DD3BA93" w14:textId="77777777" w:rsidR="00B13673" w:rsidRPr="00CD4604" w:rsidRDefault="00B13673" w:rsidP="00CD4604">
            <w:pPr>
              <w:tabs>
                <w:tab w:val="left" w:pos="2989"/>
              </w:tabs>
              <w:snapToGrid w:val="0"/>
              <w:rPr>
                <w:rFonts w:cstheme="minorHAnsi"/>
                <w:sz w:val="20"/>
                <w:szCs w:val="20"/>
                <w:lang w:val="en-US"/>
              </w:rPr>
            </w:pPr>
            <w:r w:rsidRPr="00CD4604">
              <w:rPr>
                <w:rFonts w:cstheme="minorHAnsi"/>
                <w:sz w:val="20"/>
                <w:szCs w:val="20"/>
                <w:lang w:val="en-US"/>
              </w:rPr>
              <w:t>Credit Reporting and Data Privacy Regulations: Regulations governing the collection and use of consumer data, as well as credit reporting practices, can have implications for lending. Stricter data privacy rules may affect a lender's ability to access and use credit histories, potentially leading to changes in underwriting standards and the availability of credit.</w:t>
            </w:r>
          </w:p>
          <w:p w14:paraId="3EA98992" w14:textId="77777777" w:rsidR="00B13673" w:rsidRPr="00CD4604" w:rsidRDefault="00B13673" w:rsidP="00CD4604">
            <w:pPr>
              <w:tabs>
                <w:tab w:val="left" w:pos="2989"/>
              </w:tabs>
              <w:snapToGrid w:val="0"/>
              <w:rPr>
                <w:rFonts w:cstheme="minorHAnsi"/>
                <w:sz w:val="20"/>
                <w:szCs w:val="20"/>
                <w:lang w:val="en-US"/>
              </w:rPr>
            </w:pPr>
          </w:p>
          <w:p w14:paraId="090F7CBC" w14:textId="77777777" w:rsidR="00B13673" w:rsidRPr="00CD4604" w:rsidRDefault="00B13673" w:rsidP="00CD4604">
            <w:pPr>
              <w:tabs>
                <w:tab w:val="left" w:pos="2989"/>
              </w:tabs>
              <w:snapToGrid w:val="0"/>
              <w:rPr>
                <w:rFonts w:cstheme="minorHAnsi"/>
                <w:sz w:val="20"/>
                <w:szCs w:val="20"/>
                <w:lang w:val="en-US"/>
              </w:rPr>
            </w:pPr>
            <w:r w:rsidRPr="00CD4604">
              <w:rPr>
                <w:rFonts w:cstheme="minorHAnsi"/>
                <w:sz w:val="20"/>
                <w:szCs w:val="20"/>
                <w:lang w:val="en-US"/>
              </w:rPr>
              <w:t>Capital Adequacy and Risk-Based Regulations: Regulatory authorities often establish capital requirements for financial institutions. These requirements are designed to ensure that lenders have sufficient capital to cover potential losses. Changes in these regulations can influence lending practices by requiring banks to hold more capital against certain types of loans, which may reduce the supply of credit.</w:t>
            </w:r>
          </w:p>
          <w:p w14:paraId="3230F1D8" w14:textId="77777777" w:rsidR="00B13673" w:rsidRPr="00CD4604" w:rsidRDefault="00B13673" w:rsidP="00CD4604">
            <w:pPr>
              <w:tabs>
                <w:tab w:val="left" w:pos="2989"/>
              </w:tabs>
              <w:snapToGrid w:val="0"/>
              <w:rPr>
                <w:rFonts w:cstheme="minorHAnsi"/>
                <w:sz w:val="20"/>
                <w:szCs w:val="20"/>
                <w:lang w:val="en-US"/>
              </w:rPr>
            </w:pPr>
          </w:p>
          <w:p w14:paraId="1ABAB221" w14:textId="77777777" w:rsidR="00B13673" w:rsidRPr="00CD4604" w:rsidRDefault="00B13673" w:rsidP="00CD4604">
            <w:pPr>
              <w:tabs>
                <w:tab w:val="left" w:pos="2989"/>
              </w:tabs>
              <w:snapToGrid w:val="0"/>
              <w:rPr>
                <w:rFonts w:cstheme="minorHAnsi"/>
                <w:sz w:val="20"/>
                <w:szCs w:val="20"/>
                <w:lang w:val="en-US"/>
              </w:rPr>
            </w:pPr>
            <w:r w:rsidRPr="00CD4604">
              <w:rPr>
                <w:rFonts w:cstheme="minorHAnsi"/>
                <w:sz w:val="20"/>
                <w:szCs w:val="20"/>
                <w:lang w:val="en-US"/>
              </w:rPr>
              <w:t>Mortgage and Auto Loan Underwriting Standards: Governments may tighten or loosen underwriting standards for home and auto loans in response to economic conditions or concerns about lending practices. For example, after the 2008 financial crisis, many countries implemented more stringent mortgage underwriting rules to prevent the issuance of high-risk loans.</w:t>
            </w:r>
          </w:p>
          <w:p w14:paraId="07505A7B" w14:textId="77777777" w:rsidR="00B13673" w:rsidRPr="00CD4604" w:rsidRDefault="00B13673" w:rsidP="00CD4604">
            <w:pPr>
              <w:tabs>
                <w:tab w:val="left" w:pos="2989"/>
              </w:tabs>
              <w:snapToGrid w:val="0"/>
              <w:rPr>
                <w:rFonts w:cstheme="minorHAnsi"/>
                <w:sz w:val="20"/>
                <w:szCs w:val="20"/>
                <w:lang w:val="en-US"/>
              </w:rPr>
            </w:pPr>
          </w:p>
          <w:p w14:paraId="1667F1E5" w14:textId="30ABE6E5" w:rsidR="00B13673" w:rsidRPr="00B44FF7" w:rsidRDefault="00B13673" w:rsidP="00CD4604">
            <w:pPr>
              <w:tabs>
                <w:tab w:val="left" w:pos="2989"/>
              </w:tabs>
              <w:snapToGrid w:val="0"/>
              <w:rPr>
                <w:rFonts w:cstheme="minorHAnsi"/>
                <w:sz w:val="20"/>
                <w:szCs w:val="20"/>
                <w:lang w:val="en-US"/>
              </w:rPr>
            </w:pPr>
            <w:r w:rsidRPr="00CD4604">
              <w:rPr>
                <w:rFonts w:cstheme="minorHAnsi"/>
                <w:sz w:val="20"/>
                <w:szCs w:val="20"/>
                <w:lang w:val="en-US"/>
              </w:rPr>
              <w:t>Foreclosure and Repossession Regulations: Regulations related to the foreclosure process for home loans and the repossession process for auto loans can impact lenders' ability to recover assets when borrowers default. These regulations may vary widely by jurisdiction and can affect the risk assessment of lending in certain areas.</w:t>
            </w:r>
            <w:r w:rsidRPr="00B44FF7">
              <w:rPr>
                <w:rFonts w:cstheme="minorHAnsi"/>
                <w:sz w:val="20"/>
                <w:szCs w:val="20"/>
                <w:lang w:val="en-US"/>
              </w:rPr>
              <w:tab/>
            </w:r>
          </w:p>
          <w:p w14:paraId="2CB7A796" w14:textId="060FDC51" w:rsidR="00B13673" w:rsidRPr="00591528" w:rsidRDefault="00B13673" w:rsidP="00B44FF7">
            <w:pPr>
              <w:pStyle w:val="ListParagraph"/>
              <w:snapToGrid w:val="0"/>
              <w:ind w:left="360"/>
              <w:contextualSpacing w:val="0"/>
              <w:rPr>
                <w:rFonts w:cstheme="minorHAnsi"/>
                <w:sz w:val="20"/>
                <w:szCs w:val="20"/>
                <w:lang w:val="en-US"/>
              </w:rPr>
            </w:pPr>
          </w:p>
        </w:tc>
      </w:tr>
    </w:tbl>
    <w:p w14:paraId="33FD38F2" w14:textId="77777777" w:rsidR="00B32380" w:rsidRPr="0055380E" w:rsidRDefault="00B44FF7" w:rsidP="00750815">
      <w:pPr>
        <w:pStyle w:val="ListParagraph"/>
        <w:numPr>
          <w:ilvl w:val="1"/>
          <w:numId w:val="1"/>
        </w:numPr>
        <w:snapToGrid w:val="0"/>
        <w:spacing w:after="0" w:line="240" w:lineRule="auto"/>
        <w:contextualSpacing w:val="0"/>
        <w:rPr>
          <w:rFonts w:cstheme="minorHAnsi"/>
          <w:b/>
          <w:bCs/>
          <w:sz w:val="20"/>
          <w:szCs w:val="20"/>
          <w:lang w:val="en-US"/>
        </w:rPr>
      </w:pPr>
      <w:r w:rsidRPr="0055380E">
        <w:rPr>
          <w:rFonts w:cstheme="minorHAnsi"/>
          <w:b/>
          <w:bCs/>
          <w:sz w:val="20"/>
          <w:szCs w:val="20"/>
          <w:lang w:val="en-US"/>
        </w:rPr>
        <w:lastRenderedPageBreak/>
        <w:t>Student:</w:t>
      </w:r>
      <w:r w:rsidRPr="0055380E">
        <w:rPr>
          <w:rFonts w:cstheme="minorHAnsi"/>
          <w:b/>
          <w:bCs/>
          <w:sz w:val="20"/>
          <w:szCs w:val="20"/>
        </w:rPr>
        <w:t xml:space="preserve"> </w:t>
      </w:r>
      <w:r w:rsidRPr="0055380E">
        <w:rPr>
          <w:rFonts w:cstheme="minorHAnsi"/>
          <w:b/>
          <w:bCs/>
          <w:sz w:val="20"/>
          <w:szCs w:val="20"/>
          <w:lang w:val="en-US"/>
        </w:rPr>
        <w:t xml:space="preserve">Ebenezer Construction Business loan at fixed rate </w:t>
      </w:r>
      <w:r w:rsidR="00FA4CCF">
        <w:rPr>
          <w:rFonts w:cstheme="minorHAnsi"/>
          <w:b/>
          <w:bCs/>
          <w:sz w:val="20"/>
          <w:szCs w:val="20"/>
          <w:lang w:val="en-US"/>
        </w:rPr>
        <w:t>Risk</w:t>
      </w:r>
    </w:p>
    <w:p w14:paraId="56E978AA" w14:textId="77777777" w:rsidR="00916CE8" w:rsidRDefault="00916CE8" w:rsidP="00750815">
      <w:pPr>
        <w:pStyle w:val="ListParagraph"/>
        <w:snapToGrid w:val="0"/>
        <w:spacing w:after="0" w:line="240" w:lineRule="auto"/>
        <w:ind w:left="936"/>
        <w:contextualSpacing w:val="0"/>
        <w:rPr>
          <w:rFonts w:cstheme="minorHAnsi"/>
          <w:b/>
          <w:bCs/>
          <w:sz w:val="20"/>
          <w:szCs w:val="20"/>
          <w:lang w:val="en-US"/>
        </w:rPr>
      </w:pPr>
    </w:p>
    <w:tbl>
      <w:tblPr>
        <w:tblStyle w:val="TableGrid"/>
        <w:tblW w:w="0" w:type="auto"/>
        <w:tblLook w:val="04A0" w:firstRow="1" w:lastRow="0" w:firstColumn="1" w:lastColumn="0" w:noHBand="0" w:noVBand="1"/>
      </w:tblPr>
      <w:tblGrid>
        <w:gridCol w:w="473"/>
        <w:gridCol w:w="318"/>
        <w:gridCol w:w="1255"/>
        <w:gridCol w:w="6432"/>
        <w:gridCol w:w="6930"/>
      </w:tblGrid>
      <w:tr w:rsidR="00F617BE" w14:paraId="3B9B8448" w14:textId="77777777" w:rsidTr="00FB7443">
        <w:tc>
          <w:tcPr>
            <w:tcW w:w="2046" w:type="dxa"/>
            <w:gridSpan w:val="3"/>
            <w:vMerge w:val="restart"/>
            <w:shd w:val="clear" w:color="auto" w:fill="F2F2F2" w:themeFill="background1" w:themeFillShade="F2"/>
            <w:vAlign w:val="center"/>
          </w:tcPr>
          <w:p w14:paraId="02E8C6F7" w14:textId="77777777" w:rsidR="00F617BE" w:rsidRPr="007306AF" w:rsidRDefault="00F617BE" w:rsidP="00FB7443">
            <w:pPr>
              <w:pStyle w:val="ListParagraph"/>
              <w:snapToGrid w:val="0"/>
              <w:ind w:left="0"/>
              <w:contextualSpacing w:val="0"/>
              <w:jc w:val="center"/>
              <w:rPr>
                <w:rFonts w:cstheme="minorHAnsi"/>
                <w:b/>
                <w:bCs/>
                <w:sz w:val="20"/>
                <w:szCs w:val="20"/>
                <w:lang w:val="en-US"/>
              </w:rPr>
            </w:pPr>
            <w:r w:rsidRPr="007306AF">
              <w:rPr>
                <w:rFonts w:cstheme="minorHAnsi"/>
                <w:b/>
                <w:bCs/>
                <w:sz w:val="20"/>
                <w:szCs w:val="20"/>
                <w:lang w:val="en-US"/>
              </w:rPr>
              <w:t>Table 1</w:t>
            </w:r>
          </w:p>
        </w:tc>
        <w:tc>
          <w:tcPr>
            <w:tcW w:w="13362" w:type="dxa"/>
            <w:gridSpan w:val="2"/>
            <w:shd w:val="clear" w:color="auto" w:fill="F2F2F2" w:themeFill="background1" w:themeFillShade="F2"/>
            <w:vAlign w:val="center"/>
          </w:tcPr>
          <w:p w14:paraId="3725AE46" w14:textId="77777777" w:rsidR="00F617BE" w:rsidRPr="007306AF" w:rsidRDefault="00F617BE" w:rsidP="00FB7443">
            <w:pPr>
              <w:pStyle w:val="ListParagraph"/>
              <w:snapToGrid w:val="0"/>
              <w:ind w:left="0"/>
              <w:contextualSpacing w:val="0"/>
              <w:jc w:val="center"/>
              <w:rPr>
                <w:rFonts w:cstheme="minorHAnsi"/>
                <w:b/>
                <w:bCs/>
                <w:sz w:val="20"/>
                <w:szCs w:val="20"/>
                <w:lang w:val="en-US"/>
              </w:rPr>
            </w:pPr>
            <w:r w:rsidRPr="00005F0B">
              <w:rPr>
                <w:rFonts w:cstheme="minorHAnsi"/>
                <w:b/>
                <w:bCs/>
                <w:sz w:val="20"/>
                <w:szCs w:val="20"/>
                <w:lang w:val="en-US"/>
              </w:rPr>
              <w:t>Frictional Related Challenges</w:t>
            </w:r>
          </w:p>
        </w:tc>
      </w:tr>
      <w:tr w:rsidR="00F617BE" w14:paraId="2894E65D" w14:textId="77777777" w:rsidTr="00FB7443">
        <w:tc>
          <w:tcPr>
            <w:tcW w:w="2046" w:type="dxa"/>
            <w:gridSpan w:val="3"/>
            <w:vMerge/>
            <w:shd w:val="clear" w:color="auto" w:fill="F2F2F2" w:themeFill="background1" w:themeFillShade="F2"/>
          </w:tcPr>
          <w:p w14:paraId="54F55364" w14:textId="77777777" w:rsidR="00F617BE" w:rsidRPr="007306AF" w:rsidRDefault="00F617BE" w:rsidP="00FB7443">
            <w:pPr>
              <w:pStyle w:val="ListParagraph"/>
              <w:snapToGrid w:val="0"/>
              <w:ind w:left="0"/>
              <w:contextualSpacing w:val="0"/>
              <w:jc w:val="center"/>
              <w:rPr>
                <w:rFonts w:cstheme="minorHAnsi"/>
                <w:b/>
                <w:bCs/>
                <w:sz w:val="20"/>
                <w:szCs w:val="20"/>
                <w:lang w:val="en-US"/>
              </w:rPr>
            </w:pPr>
          </w:p>
        </w:tc>
        <w:tc>
          <w:tcPr>
            <w:tcW w:w="6432" w:type="dxa"/>
            <w:shd w:val="clear" w:color="auto" w:fill="F2F2F2" w:themeFill="background1" w:themeFillShade="F2"/>
          </w:tcPr>
          <w:p w14:paraId="628D0DCD" w14:textId="77777777" w:rsidR="00F617BE" w:rsidRPr="003A65F8" w:rsidRDefault="00F617BE" w:rsidP="00FB7443">
            <w:pPr>
              <w:pStyle w:val="ListParagraph"/>
              <w:snapToGrid w:val="0"/>
              <w:ind w:left="0"/>
              <w:contextualSpacing w:val="0"/>
              <w:jc w:val="center"/>
              <w:rPr>
                <w:rFonts w:cstheme="minorHAnsi"/>
                <w:b/>
                <w:bCs/>
                <w:sz w:val="20"/>
                <w:szCs w:val="20"/>
                <w:lang w:val="en-US"/>
              </w:rPr>
            </w:pPr>
            <w:r w:rsidRPr="00005F0B">
              <w:rPr>
                <w:b/>
                <w:bCs/>
              </w:rPr>
              <w:t>Liquidity Challenges</w:t>
            </w:r>
          </w:p>
        </w:tc>
        <w:tc>
          <w:tcPr>
            <w:tcW w:w="6930" w:type="dxa"/>
            <w:shd w:val="clear" w:color="auto" w:fill="F2F2F2" w:themeFill="background1" w:themeFillShade="F2"/>
            <w:vAlign w:val="center"/>
          </w:tcPr>
          <w:p w14:paraId="58574F95" w14:textId="77777777" w:rsidR="00F617BE" w:rsidRPr="007306AF" w:rsidRDefault="00F617BE" w:rsidP="00FB7443">
            <w:pPr>
              <w:pStyle w:val="ListParagraph"/>
              <w:snapToGrid w:val="0"/>
              <w:ind w:left="0"/>
              <w:contextualSpacing w:val="0"/>
              <w:jc w:val="center"/>
              <w:rPr>
                <w:rFonts w:cstheme="minorHAnsi"/>
                <w:b/>
                <w:bCs/>
                <w:sz w:val="20"/>
                <w:szCs w:val="20"/>
                <w:lang w:val="en-US"/>
              </w:rPr>
            </w:pPr>
            <w:r w:rsidRPr="00005F0B">
              <w:rPr>
                <w:rFonts w:cstheme="minorHAnsi"/>
                <w:b/>
                <w:bCs/>
                <w:sz w:val="20"/>
                <w:szCs w:val="20"/>
                <w:lang w:val="en-US"/>
              </w:rPr>
              <w:t>Regulation Challenges</w:t>
            </w:r>
          </w:p>
        </w:tc>
      </w:tr>
      <w:tr w:rsidR="00F617BE" w14:paraId="7242247B" w14:textId="77777777" w:rsidTr="00FB7443">
        <w:tc>
          <w:tcPr>
            <w:tcW w:w="0" w:type="auto"/>
            <w:shd w:val="clear" w:color="auto" w:fill="F2F2F2" w:themeFill="background1" w:themeFillShade="F2"/>
            <w:textDirection w:val="btLr"/>
          </w:tcPr>
          <w:p w14:paraId="73565274" w14:textId="77777777" w:rsidR="00F617BE" w:rsidRPr="007306AF" w:rsidRDefault="00F617BE" w:rsidP="00FB7443">
            <w:pPr>
              <w:pStyle w:val="ListParagraph"/>
              <w:snapToGrid w:val="0"/>
              <w:ind w:left="113" w:right="113"/>
              <w:contextualSpacing w:val="0"/>
              <w:jc w:val="center"/>
              <w:rPr>
                <w:rFonts w:cstheme="minorHAnsi"/>
                <w:b/>
                <w:bCs/>
                <w:sz w:val="20"/>
                <w:szCs w:val="20"/>
                <w:lang w:val="en-US"/>
              </w:rPr>
            </w:pPr>
            <w:r w:rsidRPr="007306AF">
              <w:rPr>
                <w:rFonts w:cstheme="minorHAnsi"/>
                <w:b/>
                <w:bCs/>
                <w:sz w:val="20"/>
                <w:szCs w:val="20"/>
                <w:lang w:val="en-US"/>
              </w:rPr>
              <w:t>Scenario</w:t>
            </w:r>
          </w:p>
        </w:tc>
        <w:tc>
          <w:tcPr>
            <w:tcW w:w="0" w:type="auto"/>
            <w:shd w:val="clear" w:color="auto" w:fill="F2F2F2" w:themeFill="background1" w:themeFillShade="F2"/>
            <w:vAlign w:val="center"/>
          </w:tcPr>
          <w:p w14:paraId="51A60FB8" w14:textId="77777777" w:rsidR="00F617BE" w:rsidRPr="007306AF" w:rsidRDefault="00F617BE" w:rsidP="00FB7443">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3</w:t>
            </w:r>
          </w:p>
        </w:tc>
        <w:tc>
          <w:tcPr>
            <w:tcW w:w="1255" w:type="dxa"/>
            <w:shd w:val="clear" w:color="auto" w:fill="F2F2F2" w:themeFill="background1" w:themeFillShade="F2"/>
            <w:vAlign w:val="center"/>
          </w:tcPr>
          <w:p w14:paraId="6AB5EF1E" w14:textId="77777777" w:rsidR="00F617BE" w:rsidRPr="007306AF" w:rsidRDefault="00F617BE" w:rsidP="00FB7443">
            <w:pPr>
              <w:pStyle w:val="ListParagraph"/>
              <w:snapToGrid w:val="0"/>
              <w:ind w:left="0"/>
              <w:contextualSpacing w:val="0"/>
              <w:rPr>
                <w:rFonts w:cstheme="minorHAnsi"/>
                <w:b/>
                <w:bCs/>
                <w:sz w:val="20"/>
                <w:szCs w:val="20"/>
                <w:lang w:val="en-US"/>
              </w:rPr>
            </w:pPr>
            <w:r w:rsidRPr="00005F0B">
              <w:rPr>
                <w:rFonts w:cstheme="minorHAnsi"/>
                <w:b/>
                <w:bCs/>
                <w:sz w:val="20"/>
                <w:szCs w:val="20"/>
                <w:lang w:val="en-US"/>
              </w:rPr>
              <w:t>Money at a fixed rate for a business for a construction loan</w:t>
            </w:r>
          </w:p>
        </w:tc>
        <w:tc>
          <w:tcPr>
            <w:tcW w:w="6432" w:type="dxa"/>
            <w:shd w:val="clear" w:color="auto" w:fill="auto"/>
          </w:tcPr>
          <w:p w14:paraId="60A3339A" w14:textId="77777777" w:rsidR="00F617BE" w:rsidRDefault="00F617BE" w:rsidP="00FB7443">
            <w:pPr>
              <w:pStyle w:val="ListParagraph"/>
              <w:numPr>
                <w:ilvl w:val="0"/>
                <w:numId w:val="28"/>
              </w:numPr>
              <w:snapToGrid w:val="0"/>
            </w:pPr>
            <w:r w:rsidRPr="00005F0B">
              <w:rPr>
                <w:b/>
                <w:bCs/>
              </w:rPr>
              <w:t xml:space="preserve">Project Cost Overruns: </w:t>
            </w:r>
            <w:r w:rsidRPr="00087832">
              <w:t>Construction projects are susceptible to cost overruns due to unforeseen issues, design changes, or delays. Liquidity challenges can emerge when the business has insufficient funds to cover these cost overruns, which can occur nonlinearly and disrupt the project's financial plan.</w:t>
            </w:r>
          </w:p>
          <w:p w14:paraId="6FFF95C0" w14:textId="77777777" w:rsidR="00F617BE" w:rsidRPr="003A65F8" w:rsidRDefault="00F617BE" w:rsidP="00FB7443">
            <w:pPr>
              <w:pStyle w:val="ListParagraph"/>
              <w:numPr>
                <w:ilvl w:val="0"/>
                <w:numId w:val="28"/>
              </w:numPr>
              <w:snapToGrid w:val="0"/>
            </w:pPr>
            <w:r w:rsidRPr="00005F0B">
              <w:rPr>
                <w:b/>
                <w:bCs/>
              </w:rPr>
              <w:t>Working Capital Constraints</w:t>
            </w:r>
            <w:r w:rsidRPr="00F00ABF">
              <w:t>: Construction projects often require working capital to cover day-to-day operational costs, purchase materials, and pay labour expenses. If the construction loan absorbs a significant portion of the business's available capital, it may face working capital constraints that hinder its ability to manage liquidity efficiently.</w:t>
            </w:r>
          </w:p>
        </w:tc>
        <w:tc>
          <w:tcPr>
            <w:tcW w:w="6930" w:type="dxa"/>
            <w:shd w:val="clear" w:color="auto" w:fill="auto"/>
          </w:tcPr>
          <w:p w14:paraId="3B20DBCA" w14:textId="77777777" w:rsidR="00F617BE" w:rsidRDefault="00F617BE" w:rsidP="00FB7443">
            <w:pPr>
              <w:pStyle w:val="ListParagraph"/>
              <w:numPr>
                <w:ilvl w:val="0"/>
                <w:numId w:val="29"/>
              </w:numPr>
            </w:pPr>
            <w:r w:rsidRPr="00005F0B">
              <w:rPr>
                <w:b/>
                <w:bCs/>
              </w:rPr>
              <w:t>Delays in getting the necessary permissions or approvals:</w:t>
            </w:r>
            <w:r w:rsidRPr="004972FA">
              <w:t xml:space="preserve"> Obtaining the necessary permits for a construction project can be time-consuming and subject to regulatory delays. Delays in obtaining permits can postpone project commencement, potentially resulting in non-linear disruptions to the construction timeline.</w:t>
            </w:r>
          </w:p>
          <w:p w14:paraId="769CA3BB" w14:textId="77777777" w:rsidR="00F617BE" w:rsidRPr="00005F0B" w:rsidRDefault="00F617BE" w:rsidP="00FB7443">
            <w:pPr>
              <w:pStyle w:val="ListParagraph"/>
              <w:numPr>
                <w:ilvl w:val="0"/>
                <w:numId w:val="29"/>
              </w:numPr>
              <w:snapToGrid w:val="0"/>
              <w:rPr>
                <w:rFonts w:cstheme="minorHAnsi"/>
                <w:sz w:val="20"/>
                <w:szCs w:val="20"/>
                <w:lang w:val="en-US"/>
              </w:rPr>
            </w:pPr>
            <w:r w:rsidRPr="00005F0B">
              <w:rPr>
                <w:b/>
                <w:bCs/>
              </w:rPr>
              <w:t>Health and Safety Regulations:</w:t>
            </w:r>
            <w:r w:rsidRPr="004972FA">
              <w:t xml:space="preserve"> Compliance with health and safety regulations is critical in construction. Changes in safety requirements or unexpected safety incidents can lead to non-linear disruptions, potentially causing project delays and cost increases.</w:t>
            </w:r>
          </w:p>
        </w:tc>
      </w:tr>
    </w:tbl>
    <w:p w14:paraId="55C6E48D" w14:textId="77777777" w:rsidR="00916CE8" w:rsidRDefault="00916CE8" w:rsidP="00750815">
      <w:pPr>
        <w:pStyle w:val="ListParagraph"/>
        <w:snapToGrid w:val="0"/>
        <w:spacing w:after="0" w:line="240" w:lineRule="auto"/>
        <w:ind w:left="936"/>
        <w:contextualSpacing w:val="0"/>
        <w:rPr>
          <w:rFonts w:cstheme="minorHAnsi"/>
          <w:b/>
          <w:bCs/>
          <w:sz w:val="20"/>
          <w:szCs w:val="20"/>
          <w:lang w:val="en-US"/>
        </w:rPr>
      </w:pPr>
    </w:p>
    <w:p w14:paraId="4A3AEA69" w14:textId="77777777" w:rsidR="00916CE8" w:rsidRDefault="00916CE8" w:rsidP="00750815">
      <w:pPr>
        <w:pStyle w:val="ListParagraph"/>
        <w:snapToGrid w:val="0"/>
        <w:spacing w:after="0" w:line="240" w:lineRule="auto"/>
        <w:ind w:left="936"/>
        <w:contextualSpacing w:val="0"/>
        <w:rPr>
          <w:rFonts w:cstheme="minorHAnsi"/>
          <w:b/>
          <w:bCs/>
          <w:sz w:val="20"/>
          <w:szCs w:val="20"/>
          <w:lang w:val="en-US"/>
        </w:rPr>
      </w:pPr>
    </w:p>
    <w:p w14:paraId="513F9B48" w14:textId="77777777" w:rsidR="000032D1" w:rsidRDefault="000032D1" w:rsidP="00750815">
      <w:pPr>
        <w:pStyle w:val="ListParagraph"/>
        <w:snapToGrid w:val="0"/>
        <w:spacing w:after="0" w:line="240" w:lineRule="auto"/>
        <w:ind w:left="936"/>
        <w:contextualSpacing w:val="0"/>
        <w:rPr>
          <w:rFonts w:cstheme="minorHAnsi"/>
          <w:b/>
          <w:bCs/>
          <w:sz w:val="20"/>
          <w:szCs w:val="20"/>
          <w:lang w:val="en-US"/>
        </w:rPr>
      </w:pPr>
    </w:p>
    <w:p w14:paraId="055F67AF" w14:textId="77777777" w:rsidR="00104D45" w:rsidRDefault="00104D45" w:rsidP="00750815">
      <w:pPr>
        <w:pStyle w:val="ListParagraph"/>
        <w:snapToGrid w:val="0"/>
        <w:spacing w:after="0" w:line="240" w:lineRule="auto"/>
        <w:ind w:left="936"/>
        <w:contextualSpacing w:val="0"/>
        <w:rPr>
          <w:rFonts w:cstheme="minorHAnsi"/>
          <w:b/>
          <w:bCs/>
          <w:sz w:val="20"/>
          <w:szCs w:val="20"/>
          <w:lang w:val="en-US"/>
        </w:rPr>
      </w:pPr>
    </w:p>
    <w:p w14:paraId="400034A3" w14:textId="77777777" w:rsidR="00104D45" w:rsidRDefault="00104D45" w:rsidP="00750815">
      <w:pPr>
        <w:pStyle w:val="ListParagraph"/>
        <w:snapToGrid w:val="0"/>
        <w:spacing w:after="0" w:line="240" w:lineRule="auto"/>
        <w:ind w:left="936"/>
        <w:contextualSpacing w:val="0"/>
        <w:rPr>
          <w:rFonts w:cstheme="minorHAnsi"/>
          <w:b/>
          <w:bCs/>
          <w:sz w:val="20"/>
          <w:szCs w:val="20"/>
          <w:lang w:val="en-US"/>
        </w:rPr>
      </w:pPr>
    </w:p>
    <w:p w14:paraId="276ED58D"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307AA257"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3E7A455E"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42D6AB07"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0C7BC23E"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1D3ABFA9"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71756821"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75817B49"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1FB130DB"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4187AD8D"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1034EA88" w14:textId="77777777" w:rsidR="00916CE8" w:rsidRDefault="00916CE8" w:rsidP="00750815">
      <w:pPr>
        <w:pStyle w:val="ListParagraph"/>
        <w:snapToGrid w:val="0"/>
        <w:spacing w:after="0" w:line="240" w:lineRule="auto"/>
        <w:ind w:left="936"/>
        <w:contextualSpacing w:val="0"/>
        <w:rPr>
          <w:rFonts w:cstheme="minorHAnsi"/>
          <w:b/>
          <w:bCs/>
          <w:sz w:val="20"/>
          <w:szCs w:val="20"/>
          <w:lang w:val="en-US"/>
        </w:rPr>
      </w:pPr>
    </w:p>
    <w:p w14:paraId="591620EC" w14:textId="77777777" w:rsidR="00750815" w:rsidRDefault="00750815" w:rsidP="00750815">
      <w:pPr>
        <w:pStyle w:val="ListParagraph"/>
        <w:snapToGrid w:val="0"/>
        <w:spacing w:after="0" w:line="240" w:lineRule="auto"/>
        <w:ind w:left="936"/>
        <w:contextualSpacing w:val="0"/>
        <w:rPr>
          <w:rFonts w:cstheme="minorHAnsi"/>
          <w:b/>
          <w:bCs/>
          <w:sz w:val="20"/>
          <w:szCs w:val="20"/>
          <w:lang w:val="en-US"/>
        </w:rPr>
      </w:pPr>
    </w:p>
    <w:p w14:paraId="3399FFA8" w14:textId="77777777" w:rsidR="005606AE" w:rsidRDefault="005606AE" w:rsidP="00750815">
      <w:pPr>
        <w:pStyle w:val="ListParagraph"/>
        <w:snapToGrid w:val="0"/>
        <w:spacing w:after="0" w:line="240" w:lineRule="auto"/>
        <w:ind w:left="936"/>
        <w:contextualSpacing w:val="0"/>
        <w:rPr>
          <w:rFonts w:cstheme="minorHAnsi"/>
          <w:b/>
          <w:bCs/>
          <w:sz w:val="20"/>
          <w:szCs w:val="20"/>
          <w:lang w:val="en-US"/>
        </w:rPr>
      </w:pPr>
    </w:p>
    <w:p w14:paraId="4CCE22D7" w14:textId="77777777" w:rsidR="00104D45" w:rsidRDefault="00104D45" w:rsidP="00750815">
      <w:pPr>
        <w:pStyle w:val="ListParagraph"/>
        <w:snapToGrid w:val="0"/>
        <w:spacing w:after="0" w:line="240" w:lineRule="auto"/>
        <w:ind w:left="936"/>
        <w:contextualSpacing w:val="0"/>
        <w:rPr>
          <w:rFonts w:cstheme="minorHAnsi"/>
          <w:b/>
          <w:bCs/>
          <w:sz w:val="20"/>
          <w:szCs w:val="20"/>
          <w:lang w:val="en-US"/>
        </w:rPr>
      </w:pPr>
    </w:p>
    <w:p w14:paraId="40F9DC72" w14:textId="77777777" w:rsidR="00750815" w:rsidRDefault="00750815" w:rsidP="00750815">
      <w:pPr>
        <w:pStyle w:val="ListParagraph"/>
        <w:snapToGrid w:val="0"/>
        <w:spacing w:after="0" w:line="240" w:lineRule="auto"/>
        <w:ind w:left="936"/>
        <w:contextualSpacing w:val="0"/>
        <w:rPr>
          <w:rFonts w:cstheme="minorHAnsi"/>
          <w:b/>
          <w:bCs/>
          <w:sz w:val="20"/>
          <w:szCs w:val="20"/>
          <w:lang w:val="en-US"/>
        </w:rPr>
      </w:pPr>
    </w:p>
    <w:p w14:paraId="4C8ACBAB" w14:textId="77777777" w:rsidR="00750815" w:rsidRDefault="00750815" w:rsidP="00750815">
      <w:pPr>
        <w:pStyle w:val="ListParagraph"/>
        <w:snapToGrid w:val="0"/>
        <w:spacing w:after="0" w:line="240" w:lineRule="auto"/>
        <w:ind w:left="936"/>
        <w:contextualSpacing w:val="0"/>
        <w:rPr>
          <w:rFonts w:cstheme="minorHAnsi"/>
          <w:b/>
          <w:bCs/>
          <w:sz w:val="20"/>
          <w:szCs w:val="20"/>
          <w:lang w:val="en-US"/>
        </w:rPr>
      </w:pPr>
    </w:p>
    <w:p w14:paraId="03B43930" w14:textId="77777777" w:rsidR="00916CE8" w:rsidRDefault="00916CE8" w:rsidP="00750815">
      <w:pPr>
        <w:pStyle w:val="ListParagraph"/>
        <w:snapToGrid w:val="0"/>
        <w:spacing w:after="0" w:line="240" w:lineRule="auto"/>
        <w:ind w:left="936"/>
        <w:contextualSpacing w:val="0"/>
        <w:rPr>
          <w:rFonts w:cstheme="minorHAnsi"/>
          <w:b/>
          <w:bCs/>
          <w:sz w:val="20"/>
          <w:szCs w:val="20"/>
          <w:lang w:val="en-US"/>
        </w:rPr>
      </w:pPr>
    </w:p>
    <w:p w14:paraId="64C021B1" w14:textId="77777777" w:rsidR="00D85348" w:rsidRDefault="00B44FF7" w:rsidP="00750815">
      <w:pPr>
        <w:pStyle w:val="ListParagraph"/>
        <w:numPr>
          <w:ilvl w:val="1"/>
          <w:numId w:val="1"/>
        </w:numPr>
        <w:snapToGrid w:val="0"/>
        <w:spacing w:after="0" w:line="240" w:lineRule="auto"/>
        <w:contextualSpacing w:val="0"/>
        <w:rPr>
          <w:rFonts w:cstheme="minorHAnsi"/>
          <w:b/>
          <w:bCs/>
          <w:sz w:val="20"/>
          <w:szCs w:val="20"/>
          <w:lang w:val="en-US"/>
        </w:rPr>
      </w:pPr>
      <w:r w:rsidRPr="00D85348">
        <w:rPr>
          <w:rFonts w:cstheme="minorHAnsi"/>
          <w:b/>
          <w:bCs/>
          <w:sz w:val="20"/>
          <w:szCs w:val="20"/>
          <w:lang w:val="en-US"/>
        </w:rPr>
        <w:lastRenderedPageBreak/>
        <w:t xml:space="preserve">Student: Yhasreen for </w:t>
      </w:r>
      <w:r w:rsidR="00093E26">
        <w:rPr>
          <w:rFonts w:cstheme="minorHAnsi"/>
          <w:b/>
          <w:bCs/>
          <w:sz w:val="20"/>
          <w:szCs w:val="20"/>
          <w:lang w:val="en-US"/>
        </w:rPr>
        <w:t>b</w:t>
      </w:r>
      <w:r w:rsidRPr="00D85348">
        <w:rPr>
          <w:rFonts w:cstheme="minorHAnsi"/>
          <w:b/>
          <w:bCs/>
          <w:sz w:val="20"/>
          <w:szCs w:val="20"/>
          <w:lang w:val="en-US"/>
        </w:rPr>
        <w:t xml:space="preserve">ond and </w:t>
      </w:r>
      <w:r w:rsidR="00093E26">
        <w:rPr>
          <w:rFonts w:cstheme="minorHAnsi"/>
          <w:b/>
          <w:bCs/>
          <w:sz w:val="20"/>
          <w:szCs w:val="20"/>
          <w:lang w:val="en-US"/>
        </w:rPr>
        <w:t>e</w:t>
      </w:r>
      <w:r w:rsidRPr="00D85348">
        <w:rPr>
          <w:rFonts w:cstheme="minorHAnsi"/>
          <w:b/>
          <w:bCs/>
          <w:sz w:val="20"/>
          <w:szCs w:val="20"/>
          <w:lang w:val="en-US"/>
        </w:rPr>
        <w:t>quity</w:t>
      </w:r>
      <w:r w:rsidR="00966C51">
        <w:rPr>
          <w:rFonts w:cstheme="minorHAnsi"/>
          <w:b/>
          <w:bCs/>
          <w:sz w:val="20"/>
          <w:szCs w:val="20"/>
          <w:lang w:val="en-US"/>
        </w:rPr>
        <w:t xml:space="preserve"> frictional</w:t>
      </w:r>
      <w:r w:rsidR="00F25FB2">
        <w:rPr>
          <w:rFonts w:cstheme="minorHAnsi"/>
          <w:b/>
          <w:bCs/>
          <w:sz w:val="20"/>
          <w:szCs w:val="20"/>
          <w:lang w:val="en-US"/>
        </w:rPr>
        <w:t xml:space="preserve"> risk</w:t>
      </w:r>
    </w:p>
    <w:tbl>
      <w:tblPr>
        <w:tblStyle w:val="TableGrid"/>
        <w:tblW w:w="0" w:type="auto"/>
        <w:tblLook w:val="04A0" w:firstRow="1" w:lastRow="0" w:firstColumn="1" w:lastColumn="0" w:noHBand="0" w:noVBand="1"/>
      </w:tblPr>
      <w:tblGrid>
        <w:gridCol w:w="473"/>
        <w:gridCol w:w="318"/>
        <w:gridCol w:w="1278"/>
        <w:gridCol w:w="6446"/>
        <w:gridCol w:w="6873"/>
      </w:tblGrid>
      <w:tr w:rsidR="00FD43CB" w14:paraId="2B702178" w14:textId="77777777" w:rsidTr="00B32380">
        <w:tc>
          <w:tcPr>
            <w:tcW w:w="2069" w:type="dxa"/>
            <w:gridSpan w:val="3"/>
            <w:vMerge w:val="restart"/>
            <w:shd w:val="clear" w:color="auto" w:fill="F2F2F2" w:themeFill="background1" w:themeFillShade="F2"/>
            <w:vAlign w:val="center"/>
          </w:tcPr>
          <w:p w14:paraId="39D97904" w14:textId="77777777" w:rsidR="00B17117" w:rsidRPr="007306AF" w:rsidRDefault="00B44FF7" w:rsidP="00750815">
            <w:pPr>
              <w:pStyle w:val="ListParagraph"/>
              <w:snapToGrid w:val="0"/>
              <w:ind w:left="0"/>
              <w:contextualSpacing w:val="0"/>
              <w:jc w:val="center"/>
              <w:rPr>
                <w:rFonts w:cstheme="minorHAnsi"/>
                <w:b/>
                <w:bCs/>
                <w:sz w:val="20"/>
                <w:szCs w:val="20"/>
                <w:lang w:val="en-US"/>
              </w:rPr>
            </w:pPr>
            <w:r w:rsidRPr="007306AF">
              <w:rPr>
                <w:rFonts w:cstheme="minorHAnsi"/>
                <w:b/>
                <w:bCs/>
                <w:sz w:val="20"/>
                <w:szCs w:val="20"/>
                <w:lang w:val="en-US"/>
              </w:rPr>
              <w:t>Table 2</w:t>
            </w:r>
            <w:r w:rsidR="00966C51">
              <w:rPr>
                <w:rFonts w:cstheme="minorHAnsi"/>
                <w:b/>
                <w:bCs/>
                <w:sz w:val="20"/>
                <w:szCs w:val="20"/>
                <w:lang w:val="en-US"/>
              </w:rPr>
              <w:t>a.</w:t>
            </w:r>
          </w:p>
        </w:tc>
        <w:tc>
          <w:tcPr>
            <w:tcW w:w="13319" w:type="dxa"/>
            <w:gridSpan w:val="2"/>
            <w:shd w:val="clear" w:color="auto" w:fill="F2F2F2" w:themeFill="background1" w:themeFillShade="F2"/>
            <w:vAlign w:val="center"/>
          </w:tcPr>
          <w:p w14:paraId="67044FA4" w14:textId="77777777" w:rsidR="00B17117" w:rsidRPr="007306AF" w:rsidRDefault="00B44FF7" w:rsidP="00750815">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 xml:space="preserve">Frictional </w:t>
            </w:r>
            <w:r w:rsidRPr="007306AF">
              <w:rPr>
                <w:rFonts w:cstheme="minorHAnsi"/>
                <w:b/>
                <w:bCs/>
                <w:sz w:val="20"/>
                <w:szCs w:val="20"/>
                <w:lang w:val="en-US"/>
              </w:rPr>
              <w:t xml:space="preserve">Related </w:t>
            </w:r>
            <w:r>
              <w:rPr>
                <w:rFonts w:cstheme="minorHAnsi"/>
                <w:b/>
                <w:bCs/>
                <w:sz w:val="20"/>
                <w:szCs w:val="20"/>
                <w:lang w:val="en-US"/>
              </w:rPr>
              <w:t>Challenges</w:t>
            </w:r>
          </w:p>
        </w:tc>
      </w:tr>
      <w:tr w:rsidR="00FD43CB" w14:paraId="5B959A38" w14:textId="77777777" w:rsidTr="00990266">
        <w:tc>
          <w:tcPr>
            <w:tcW w:w="2069" w:type="dxa"/>
            <w:gridSpan w:val="3"/>
            <w:vMerge/>
            <w:shd w:val="clear" w:color="auto" w:fill="F2F2F2" w:themeFill="background1" w:themeFillShade="F2"/>
          </w:tcPr>
          <w:p w14:paraId="07C0B8BC" w14:textId="77777777" w:rsidR="00385C07" w:rsidRPr="007306AF" w:rsidRDefault="00385C07" w:rsidP="00750815">
            <w:pPr>
              <w:pStyle w:val="ListParagraph"/>
              <w:snapToGrid w:val="0"/>
              <w:ind w:left="0"/>
              <w:contextualSpacing w:val="0"/>
              <w:jc w:val="center"/>
              <w:rPr>
                <w:rFonts w:cstheme="minorHAnsi"/>
                <w:b/>
                <w:bCs/>
                <w:sz w:val="20"/>
                <w:szCs w:val="20"/>
                <w:lang w:val="en-US"/>
              </w:rPr>
            </w:pPr>
          </w:p>
        </w:tc>
        <w:tc>
          <w:tcPr>
            <w:tcW w:w="6446" w:type="dxa"/>
            <w:shd w:val="clear" w:color="auto" w:fill="F2F2F2" w:themeFill="background1" w:themeFillShade="F2"/>
            <w:vAlign w:val="center"/>
          </w:tcPr>
          <w:p w14:paraId="077BCA5C" w14:textId="77777777" w:rsidR="00385C07" w:rsidRPr="007306AF" w:rsidRDefault="00B44FF7" w:rsidP="00750815">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Financing</w:t>
            </w:r>
            <w:r w:rsidRPr="007306AF">
              <w:rPr>
                <w:rFonts w:cstheme="minorHAnsi"/>
                <w:b/>
                <w:bCs/>
                <w:sz w:val="20"/>
                <w:szCs w:val="20"/>
                <w:lang w:val="en-US"/>
              </w:rPr>
              <w:t xml:space="preserve"> issues</w:t>
            </w:r>
          </w:p>
        </w:tc>
        <w:tc>
          <w:tcPr>
            <w:tcW w:w="6873" w:type="dxa"/>
            <w:shd w:val="clear" w:color="auto" w:fill="F2F2F2" w:themeFill="background1" w:themeFillShade="F2"/>
            <w:vAlign w:val="center"/>
          </w:tcPr>
          <w:p w14:paraId="330ED888" w14:textId="77777777" w:rsidR="00385C07" w:rsidRPr="007306AF" w:rsidRDefault="00B44FF7" w:rsidP="00750815">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Legality</w:t>
            </w:r>
            <w:r w:rsidRPr="007306AF">
              <w:rPr>
                <w:rFonts w:cstheme="minorHAnsi"/>
                <w:b/>
                <w:bCs/>
                <w:sz w:val="20"/>
                <w:szCs w:val="20"/>
                <w:lang w:val="en-US"/>
              </w:rPr>
              <w:t xml:space="preserve"> issues</w:t>
            </w:r>
          </w:p>
        </w:tc>
      </w:tr>
      <w:tr w:rsidR="00FD43CB" w14:paraId="6A3100E2" w14:textId="77777777" w:rsidTr="00990266">
        <w:tc>
          <w:tcPr>
            <w:tcW w:w="2069" w:type="dxa"/>
            <w:gridSpan w:val="3"/>
            <w:vMerge/>
            <w:shd w:val="clear" w:color="auto" w:fill="F2F2F2" w:themeFill="background1" w:themeFillShade="F2"/>
          </w:tcPr>
          <w:p w14:paraId="154A34C2" w14:textId="77777777" w:rsidR="00385C07" w:rsidRPr="007306AF" w:rsidRDefault="00385C07" w:rsidP="00750815">
            <w:pPr>
              <w:pStyle w:val="ListParagraph"/>
              <w:snapToGrid w:val="0"/>
              <w:ind w:left="0"/>
              <w:contextualSpacing w:val="0"/>
              <w:jc w:val="center"/>
              <w:rPr>
                <w:rFonts w:cstheme="minorHAnsi"/>
                <w:b/>
                <w:bCs/>
                <w:sz w:val="20"/>
                <w:szCs w:val="20"/>
                <w:lang w:val="en-US"/>
              </w:rPr>
            </w:pPr>
          </w:p>
        </w:tc>
        <w:tc>
          <w:tcPr>
            <w:tcW w:w="6446" w:type="dxa"/>
            <w:shd w:val="clear" w:color="auto" w:fill="F2F2F2" w:themeFill="background1" w:themeFillShade="F2"/>
            <w:vAlign w:val="center"/>
          </w:tcPr>
          <w:p w14:paraId="5AD6A4DB" w14:textId="77777777" w:rsidR="00385C07" w:rsidRPr="007306AF" w:rsidRDefault="00B44FF7" w:rsidP="00750815">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Liquidity</w:t>
            </w:r>
            <w:r w:rsidR="006E2FE2">
              <w:rPr>
                <w:rFonts w:cstheme="minorHAnsi"/>
                <w:b/>
                <w:bCs/>
                <w:sz w:val="20"/>
                <w:szCs w:val="20"/>
                <w:lang w:val="en-US"/>
              </w:rPr>
              <w:t xml:space="preserve"> Risk</w:t>
            </w:r>
          </w:p>
        </w:tc>
        <w:tc>
          <w:tcPr>
            <w:tcW w:w="6873" w:type="dxa"/>
            <w:shd w:val="clear" w:color="auto" w:fill="F2F2F2" w:themeFill="background1" w:themeFillShade="F2"/>
            <w:vAlign w:val="center"/>
          </w:tcPr>
          <w:p w14:paraId="777F501B" w14:textId="77777777" w:rsidR="00385C07" w:rsidRPr="007306AF" w:rsidRDefault="00B44FF7" w:rsidP="00750815">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Regulation</w:t>
            </w:r>
            <w:r w:rsidR="006E2FE2">
              <w:rPr>
                <w:rFonts w:cstheme="minorHAnsi"/>
                <w:b/>
                <w:bCs/>
                <w:sz w:val="20"/>
                <w:szCs w:val="20"/>
                <w:lang w:val="en-US"/>
              </w:rPr>
              <w:t xml:space="preserve"> Risk/ Regulatory Risk</w:t>
            </w:r>
          </w:p>
        </w:tc>
      </w:tr>
      <w:tr w:rsidR="00FD43CB" w14:paraId="6AFF0983" w14:textId="77777777" w:rsidTr="000D3C42">
        <w:tc>
          <w:tcPr>
            <w:tcW w:w="0" w:type="auto"/>
            <w:shd w:val="clear" w:color="auto" w:fill="F2F2F2" w:themeFill="background1" w:themeFillShade="F2"/>
            <w:textDirection w:val="btLr"/>
          </w:tcPr>
          <w:p w14:paraId="74FBDFA6" w14:textId="77777777" w:rsidR="00385C07" w:rsidRPr="007306AF" w:rsidRDefault="00B44FF7" w:rsidP="00750815">
            <w:pPr>
              <w:pStyle w:val="ListParagraph"/>
              <w:snapToGrid w:val="0"/>
              <w:ind w:left="113" w:right="113"/>
              <w:contextualSpacing w:val="0"/>
              <w:jc w:val="center"/>
              <w:rPr>
                <w:rFonts w:cstheme="minorHAnsi"/>
                <w:b/>
                <w:bCs/>
                <w:sz w:val="20"/>
                <w:szCs w:val="20"/>
                <w:lang w:val="en-US"/>
              </w:rPr>
            </w:pPr>
            <w:r w:rsidRPr="007306AF">
              <w:rPr>
                <w:rFonts w:cstheme="minorHAnsi"/>
                <w:b/>
                <w:bCs/>
                <w:sz w:val="20"/>
                <w:szCs w:val="20"/>
                <w:lang w:val="en-US"/>
              </w:rPr>
              <w:t>Security lending scenarios</w:t>
            </w:r>
          </w:p>
        </w:tc>
        <w:tc>
          <w:tcPr>
            <w:tcW w:w="0" w:type="auto"/>
            <w:shd w:val="clear" w:color="auto" w:fill="F2F2F2" w:themeFill="background1" w:themeFillShade="F2"/>
            <w:vAlign w:val="center"/>
          </w:tcPr>
          <w:p w14:paraId="7DBFE5AD" w14:textId="77777777" w:rsidR="00385C07" w:rsidRPr="007306AF" w:rsidRDefault="00B44FF7" w:rsidP="00750815">
            <w:pPr>
              <w:pStyle w:val="ListParagraph"/>
              <w:snapToGrid w:val="0"/>
              <w:ind w:left="0"/>
              <w:contextualSpacing w:val="0"/>
              <w:jc w:val="center"/>
              <w:rPr>
                <w:rFonts w:cstheme="minorHAnsi"/>
                <w:b/>
                <w:bCs/>
                <w:sz w:val="20"/>
                <w:szCs w:val="20"/>
                <w:lang w:val="en-US"/>
              </w:rPr>
            </w:pPr>
            <w:r w:rsidRPr="007306AF">
              <w:rPr>
                <w:rFonts w:cstheme="minorHAnsi"/>
                <w:b/>
                <w:bCs/>
                <w:sz w:val="20"/>
                <w:szCs w:val="20"/>
                <w:lang w:val="en-US"/>
              </w:rPr>
              <w:t>4</w:t>
            </w:r>
          </w:p>
        </w:tc>
        <w:tc>
          <w:tcPr>
            <w:tcW w:w="1278" w:type="dxa"/>
            <w:shd w:val="clear" w:color="auto" w:fill="F2F2F2" w:themeFill="background1" w:themeFillShade="F2"/>
            <w:vAlign w:val="center"/>
          </w:tcPr>
          <w:p w14:paraId="45DB2026" w14:textId="77777777" w:rsidR="00385C07" w:rsidRPr="007306AF" w:rsidRDefault="00B44FF7" w:rsidP="00750815">
            <w:pPr>
              <w:pStyle w:val="ListParagraph"/>
              <w:snapToGrid w:val="0"/>
              <w:ind w:left="0"/>
              <w:contextualSpacing w:val="0"/>
              <w:rPr>
                <w:rFonts w:cstheme="minorHAnsi"/>
                <w:b/>
                <w:bCs/>
                <w:sz w:val="20"/>
                <w:szCs w:val="20"/>
                <w:lang w:val="en-US"/>
              </w:rPr>
            </w:pPr>
            <w:r w:rsidRPr="007306AF">
              <w:rPr>
                <w:rFonts w:cstheme="minorHAnsi"/>
                <w:b/>
                <w:bCs/>
                <w:sz w:val="20"/>
                <w:szCs w:val="20"/>
                <w:lang w:val="en-US"/>
              </w:rPr>
              <w:t>AAPL</w:t>
            </w:r>
          </w:p>
          <w:p w14:paraId="026D26DA" w14:textId="77777777" w:rsidR="00990266" w:rsidRDefault="00B44FF7" w:rsidP="00750815">
            <w:pPr>
              <w:pStyle w:val="ListParagraph"/>
              <w:snapToGrid w:val="0"/>
              <w:ind w:left="0"/>
              <w:contextualSpacing w:val="0"/>
              <w:rPr>
                <w:rFonts w:cstheme="minorHAnsi"/>
                <w:b/>
                <w:bCs/>
                <w:sz w:val="20"/>
                <w:szCs w:val="20"/>
                <w:lang w:val="en-US"/>
              </w:rPr>
            </w:pPr>
            <w:r w:rsidRPr="007306AF">
              <w:rPr>
                <w:rFonts w:cstheme="minorHAnsi"/>
                <w:b/>
                <w:bCs/>
                <w:sz w:val="20"/>
                <w:szCs w:val="20"/>
                <w:lang w:val="en-US"/>
              </w:rPr>
              <w:t xml:space="preserve">Equity </w:t>
            </w:r>
          </w:p>
          <w:p w14:paraId="307832E4" w14:textId="77777777" w:rsidR="00385C07" w:rsidRPr="007306AF" w:rsidRDefault="00B44FF7" w:rsidP="00750815">
            <w:pPr>
              <w:pStyle w:val="ListParagraph"/>
              <w:snapToGrid w:val="0"/>
              <w:ind w:left="0"/>
              <w:contextualSpacing w:val="0"/>
              <w:rPr>
                <w:rFonts w:cstheme="minorHAnsi"/>
                <w:b/>
                <w:bCs/>
                <w:sz w:val="20"/>
                <w:szCs w:val="20"/>
                <w:lang w:val="en-US"/>
              </w:rPr>
            </w:pPr>
            <w:r w:rsidRPr="007306AF">
              <w:rPr>
                <w:rFonts w:cstheme="minorHAnsi"/>
                <w:b/>
                <w:bCs/>
                <w:sz w:val="20"/>
                <w:szCs w:val="20"/>
                <w:lang w:val="en-US"/>
              </w:rPr>
              <w:t>Investment</w:t>
            </w:r>
          </w:p>
          <w:p w14:paraId="0E45296E" w14:textId="77777777" w:rsidR="00385C07" w:rsidRPr="007306AF" w:rsidRDefault="00385C07" w:rsidP="00750815">
            <w:pPr>
              <w:pStyle w:val="ListParagraph"/>
              <w:snapToGrid w:val="0"/>
              <w:ind w:left="0"/>
              <w:contextualSpacing w:val="0"/>
              <w:rPr>
                <w:rFonts w:cstheme="minorHAnsi"/>
                <w:b/>
                <w:bCs/>
                <w:sz w:val="20"/>
                <w:szCs w:val="20"/>
                <w:lang w:val="en-US"/>
              </w:rPr>
            </w:pPr>
          </w:p>
        </w:tc>
        <w:tc>
          <w:tcPr>
            <w:tcW w:w="6446" w:type="dxa"/>
            <w:shd w:val="clear" w:color="auto" w:fill="auto"/>
          </w:tcPr>
          <w:p w14:paraId="0E5307DA" w14:textId="77777777" w:rsidR="00C40DFE" w:rsidRPr="003A5DDA" w:rsidRDefault="00B44FF7" w:rsidP="00750815">
            <w:pPr>
              <w:pStyle w:val="ListParagraph"/>
              <w:numPr>
                <w:ilvl w:val="0"/>
                <w:numId w:val="6"/>
              </w:numPr>
              <w:snapToGrid w:val="0"/>
              <w:contextualSpacing w:val="0"/>
              <w:rPr>
                <w:rFonts w:cstheme="minorHAnsi"/>
                <w:sz w:val="20"/>
                <w:szCs w:val="20"/>
                <w:lang w:val="en-US"/>
              </w:rPr>
            </w:pPr>
            <w:r w:rsidRPr="006E2FE2">
              <w:rPr>
                <w:rFonts w:cstheme="minorHAnsi"/>
                <w:b/>
                <w:bCs/>
                <w:sz w:val="20"/>
                <w:szCs w:val="20"/>
                <w:lang w:val="en-US"/>
              </w:rPr>
              <w:t>Liquidity risk</w:t>
            </w:r>
            <w:r w:rsidRPr="00C40DFE">
              <w:rPr>
                <w:rFonts w:cstheme="minorHAnsi"/>
                <w:sz w:val="20"/>
                <w:szCs w:val="20"/>
                <w:lang w:val="en-US"/>
              </w:rPr>
              <w:t xml:space="preserve"> </w:t>
            </w:r>
            <w:r>
              <w:rPr>
                <w:rFonts w:cstheme="minorHAnsi"/>
                <w:sz w:val="20"/>
                <w:szCs w:val="20"/>
                <w:lang w:val="en-US"/>
              </w:rPr>
              <w:t xml:space="preserve">refers to </w:t>
            </w:r>
            <w:r w:rsidRPr="00C40DFE">
              <w:rPr>
                <w:rFonts w:cstheme="minorHAnsi"/>
                <w:sz w:val="20"/>
                <w:szCs w:val="20"/>
                <w:lang w:val="en-US"/>
              </w:rPr>
              <w:t xml:space="preserve">the potential difficulty an investor might encounter when buying or selling an asset without causing a significant change in its price. </w:t>
            </w:r>
            <w:r w:rsidRPr="005B52BE">
              <w:rPr>
                <w:rFonts w:cstheme="minorHAnsi"/>
                <w:b/>
                <w:bCs/>
                <w:color w:val="00B050"/>
                <w:sz w:val="20"/>
                <w:szCs w:val="20"/>
                <w:lang w:val="en-US"/>
              </w:rPr>
              <w:t>[</w:t>
            </w:r>
            <w:proofErr w:type="spellStart"/>
            <w:r w:rsidRPr="005B52BE">
              <w:rPr>
                <w:rFonts w:cstheme="minorHAnsi"/>
                <w:b/>
                <w:bCs/>
                <w:color w:val="00B050"/>
                <w:sz w:val="20"/>
                <w:szCs w:val="20"/>
                <w:lang w:val="en-US"/>
              </w:rPr>
              <w:t>Knowproz</w:t>
            </w:r>
            <w:proofErr w:type="spellEnd"/>
            <w:r w:rsidRPr="005B52BE">
              <w:rPr>
                <w:rFonts w:cstheme="minorHAnsi"/>
                <w:b/>
                <w:bCs/>
                <w:color w:val="00B050"/>
                <w:sz w:val="20"/>
                <w:szCs w:val="20"/>
                <w:lang w:val="en-US"/>
              </w:rPr>
              <w:t>]</w:t>
            </w:r>
            <w:r w:rsidRPr="005B52BE">
              <w:rPr>
                <w:rFonts w:cstheme="minorHAnsi"/>
                <w:color w:val="00B050"/>
                <w:sz w:val="20"/>
                <w:szCs w:val="20"/>
                <w:lang w:val="en-US"/>
              </w:rPr>
              <w:t xml:space="preserve"> </w:t>
            </w:r>
            <w:r w:rsidRPr="00C40DFE">
              <w:rPr>
                <w:rFonts w:cstheme="minorHAnsi"/>
                <w:sz w:val="20"/>
                <w:szCs w:val="20"/>
                <w:lang w:val="en-US"/>
              </w:rPr>
              <w:t>AAPL is considered a large-cap stock and tends to be highly liquid under normal circumstances</w:t>
            </w:r>
            <w:r>
              <w:rPr>
                <w:rFonts w:cstheme="minorHAnsi"/>
                <w:sz w:val="20"/>
                <w:szCs w:val="20"/>
                <w:lang w:val="en-US"/>
              </w:rPr>
              <w:t xml:space="preserve">. </w:t>
            </w:r>
            <w:r w:rsidRPr="003A5DDA">
              <w:rPr>
                <w:rFonts w:cstheme="minorHAnsi"/>
                <w:b/>
                <w:bCs/>
                <w:sz w:val="20"/>
                <w:szCs w:val="20"/>
                <w:lang w:val="en-US"/>
              </w:rPr>
              <w:t>Unexpected Volume Drops:</w:t>
            </w:r>
            <w:r w:rsidRPr="003A5DDA">
              <w:rPr>
                <w:rFonts w:cstheme="minorHAnsi"/>
                <w:sz w:val="20"/>
                <w:szCs w:val="20"/>
                <w:lang w:val="en-US"/>
              </w:rPr>
              <w:t xml:space="preserve"> There might be times when trading volume drops significantly, either due to market-wide events or stock-specific issues. Lower volume can lead to wider bid-ask spreads, making it costlier to trade the stock.</w:t>
            </w:r>
            <w:r w:rsidR="003A5DDA">
              <w:rPr>
                <w:rFonts w:cstheme="minorHAnsi"/>
                <w:sz w:val="20"/>
                <w:szCs w:val="20"/>
                <w:lang w:val="en-US"/>
              </w:rPr>
              <w:t xml:space="preserve"> </w:t>
            </w:r>
            <w:r w:rsidRPr="003A5DDA">
              <w:rPr>
                <w:rFonts w:cstheme="minorHAnsi"/>
                <w:b/>
                <w:bCs/>
                <w:sz w:val="20"/>
                <w:szCs w:val="20"/>
                <w:lang w:val="en-US"/>
              </w:rPr>
              <w:t>Significant Order Impact:</w:t>
            </w:r>
            <w:r w:rsidRPr="003A5DDA">
              <w:rPr>
                <w:rFonts w:cstheme="minorHAnsi"/>
                <w:sz w:val="20"/>
                <w:szCs w:val="20"/>
                <w:lang w:val="en-US"/>
              </w:rPr>
              <w:t xml:space="preserve"> If an investor trades many shares, an extensive buy-up can push the price up, and selling can push the price down, which is primarily a concern for institutional investors with prominent positions.</w:t>
            </w:r>
          </w:p>
          <w:p w14:paraId="2260F417" w14:textId="77777777" w:rsidR="00DF6317" w:rsidRPr="00DF6317" w:rsidRDefault="00DF6317" w:rsidP="00750815">
            <w:pPr>
              <w:pStyle w:val="ListParagraph"/>
              <w:snapToGrid w:val="0"/>
              <w:contextualSpacing w:val="0"/>
              <w:rPr>
                <w:rFonts w:cstheme="minorHAnsi"/>
                <w:sz w:val="20"/>
                <w:szCs w:val="20"/>
                <w:lang w:val="en-US"/>
              </w:rPr>
            </w:pPr>
          </w:p>
          <w:p w14:paraId="7C80CB2D" w14:textId="77777777" w:rsidR="00C40DFE" w:rsidRDefault="00B44FF7" w:rsidP="00750815">
            <w:pPr>
              <w:pStyle w:val="ListParagraph"/>
              <w:numPr>
                <w:ilvl w:val="0"/>
                <w:numId w:val="6"/>
              </w:numPr>
              <w:snapToGrid w:val="0"/>
              <w:contextualSpacing w:val="0"/>
              <w:rPr>
                <w:rFonts w:cstheme="minorHAnsi"/>
                <w:sz w:val="20"/>
                <w:szCs w:val="20"/>
                <w:lang w:val="en-US"/>
              </w:rPr>
            </w:pPr>
            <w:r w:rsidRPr="00C40DFE">
              <w:rPr>
                <w:rFonts w:cstheme="minorHAnsi"/>
                <w:b/>
                <w:bCs/>
                <w:sz w:val="20"/>
                <w:szCs w:val="20"/>
                <w:lang w:val="en-US"/>
              </w:rPr>
              <w:t>Market Hours and Gaps:</w:t>
            </w:r>
            <w:r w:rsidRPr="00C40DFE">
              <w:rPr>
                <w:rFonts w:cstheme="minorHAnsi"/>
                <w:sz w:val="20"/>
                <w:szCs w:val="20"/>
                <w:lang w:val="en-US"/>
              </w:rPr>
              <w:t xml:space="preserve"> Liquidity is usually lower outside regular trading hours, leading to more significant price fluctuations in after-hours trading. Investors must help execute large trades during these times without causing substantial price moves. Additionally, news or events happening outside market hours can lead to price gaps at the opening of the next trading session.</w:t>
            </w:r>
          </w:p>
          <w:p w14:paraId="73FF7FB8" w14:textId="77777777" w:rsidR="00DF6317" w:rsidRPr="00C40DFE" w:rsidRDefault="00DF6317" w:rsidP="00750815">
            <w:pPr>
              <w:pStyle w:val="ListParagraph"/>
              <w:snapToGrid w:val="0"/>
              <w:ind w:left="360"/>
              <w:contextualSpacing w:val="0"/>
              <w:rPr>
                <w:rFonts w:cstheme="minorHAnsi"/>
                <w:sz w:val="20"/>
                <w:szCs w:val="20"/>
                <w:lang w:val="en-US"/>
              </w:rPr>
            </w:pPr>
          </w:p>
          <w:p w14:paraId="2BD3B825" w14:textId="77777777" w:rsidR="00C40DFE" w:rsidRDefault="00B44FF7" w:rsidP="00750815">
            <w:pPr>
              <w:pStyle w:val="ListParagraph"/>
              <w:numPr>
                <w:ilvl w:val="0"/>
                <w:numId w:val="6"/>
              </w:numPr>
              <w:snapToGrid w:val="0"/>
              <w:contextualSpacing w:val="0"/>
              <w:rPr>
                <w:rFonts w:cstheme="minorHAnsi"/>
                <w:sz w:val="20"/>
                <w:szCs w:val="20"/>
                <w:lang w:val="en-US"/>
              </w:rPr>
            </w:pPr>
            <w:r w:rsidRPr="00C40DFE">
              <w:rPr>
                <w:rFonts w:cstheme="minorHAnsi"/>
                <w:b/>
                <w:bCs/>
                <w:sz w:val="20"/>
                <w:szCs w:val="20"/>
                <w:lang w:val="en-US"/>
              </w:rPr>
              <w:t>Global Events:</w:t>
            </w:r>
            <w:r w:rsidRPr="00C40DFE">
              <w:rPr>
                <w:rFonts w:cstheme="minorHAnsi"/>
                <w:sz w:val="20"/>
                <w:szCs w:val="20"/>
                <w:lang w:val="en-US"/>
              </w:rPr>
              <w:t xml:space="preserve"> Unexpected global events, like geopolitical tensions or macroeconomic shocks, can reduce liquidity across the board as investors become more risk-averse, leading to higher volatility and wider bid-ask spreads.</w:t>
            </w:r>
          </w:p>
          <w:p w14:paraId="744C387B" w14:textId="77777777" w:rsidR="00DF6317" w:rsidRPr="00C40DFE" w:rsidRDefault="00DF6317" w:rsidP="00750815">
            <w:pPr>
              <w:pStyle w:val="ListParagraph"/>
              <w:snapToGrid w:val="0"/>
              <w:ind w:left="360"/>
              <w:contextualSpacing w:val="0"/>
              <w:rPr>
                <w:rFonts w:cstheme="minorHAnsi"/>
                <w:sz w:val="20"/>
                <w:szCs w:val="20"/>
                <w:lang w:val="en-US"/>
              </w:rPr>
            </w:pPr>
          </w:p>
          <w:p w14:paraId="2B1FCD1B" w14:textId="77777777" w:rsidR="00C40DFE" w:rsidRDefault="00B44FF7" w:rsidP="00750815">
            <w:pPr>
              <w:pStyle w:val="ListParagraph"/>
              <w:numPr>
                <w:ilvl w:val="0"/>
                <w:numId w:val="6"/>
              </w:numPr>
              <w:snapToGrid w:val="0"/>
              <w:contextualSpacing w:val="0"/>
              <w:rPr>
                <w:rFonts w:cstheme="minorHAnsi"/>
                <w:sz w:val="20"/>
                <w:szCs w:val="20"/>
                <w:lang w:val="en-US"/>
              </w:rPr>
            </w:pPr>
            <w:r w:rsidRPr="00C40DFE">
              <w:rPr>
                <w:rFonts w:cstheme="minorHAnsi"/>
                <w:b/>
                <w:bCs/>
                <w:sz w:val="20"/>
                <w:szCs w:val="20"/>
                <w:lang w:val="en-US"/>
              </w:rPr>
              <w:t>Flash Crashes:</w:t>
            </w:r>
            <w:r w:rsidRPr="00C40DFE">
              <w:rPr>
                <w:rFonts w:cstheme="minorHAnsi"/>
                <w:sz w:val="20"/>
                <w:szCs w:val="20"/>
                <w:lang w:val="en-US"/>
              </w:rPr>
              <w:t xml:space="preserve"> These are sudden and sharp price declines in a stock or the broader market, often exacerbated by automated trading and can lead to temporary liquidity shortages.</w:t>
            </w:r>
            <w:r w:rsidR="0041140F">
              <w:rPr>
                <w:rFonts w:cstheme="minorHAnsi"/>
                <w:sz w:val="20"/>
                <w:szCs w:val="20"/>
                <w:lang w:val="en-US"/>
              </w:rPr>
              <w:t xml:space="preserve"> </w:t>
            </w:r>
            <w:r w:rsidR="0041140F" w:rsidRPr="0041140F">
              <w:rPr>
                <w:rFonts w:cstheme="minorHAnsi"/>
                <w:b/>
                <w:bCs/>
                <w:color w:val="00B050"/>
                <w:sz w:val="20"/>
                <w:szCs w:val="20"/>
                <w:lang w:val="en-US"/>
              </w:rPr>
              <w:t>[CFI]</w:t>
            </w:r>
          </w:p>
          <w:p w14:paraId="7E0C598D" w14:textId="77777777" w:rsidR="00DF6317" w:rsidRPr="00C40DFE" w:rsidRDefault="00DF6317" w:rsidP="00750815">
            <w:pPr>
              <w:pStyle w:val="ListParagraph"/>
              <w:snapToGrid w:val="0"/>
              <w:ind w:left="360"/>
              <w:contextualSpacing w:val="0"/>
              <w:rPr>
                <w:rFonts w:cstheme="minorHAnsi"/>
                <w:sz w:val="20"/>
                <w:szCs w:val="20"/>
                <w:lang w:val="en-US"/>
              </w:rPr>
            </w:pPr>
          </w:p>
          <w:p w14:paraId="3AD460C5" w14:textId="77777777" w:rsidR="00627E49" w:rsidRPr="00DF6317" w:rsidRDefault="00B44FF7" w:rsidP="00750815">
            <w:pPr>
              <w:pStyle w:val="ListParagraph"/>
              <w:numPr>
                <w:ilvl w:val="0"/>
                <w:numId w:val="6"/>
              </w:numPr>
              <w:snapToGrid w:val="0"/>
              <w:contextualSpacing w:val="0"/>
              <w:rPr>
                <w:rFonts w:cstheme="minorHAnsi"/>
                <w:sz w:val="20"/>
                <w:szCs w:val="20"/>
                <w:lang w:val="en-US"/>
              </w:rPr>
            </w:pPr>
            <w:r w:rsidRPr="00C40DFE">
              <w:rPr>
                <w:rFonts w:cstheme="minorHAnsi"/>
                <w:b/>
                <w:bCs/>
                <w:sz w:val="20"/>
                <w:szCs w:val="20"/>
                <w:lang w:val="en-US"/>
              </w:rPr>
              <w:t>Structural Market Changes:</w:t>
            </w:r>
            <w:r w:rsidRPr="00C40DFE">
              <w:rPr>
                <w:rFonts w:cstheme="minorHAnsi"/>
                <w:sz w:val="20"/>
                <w:szCs w:val="20"/>
                <w:lang w:val="en-US"/>
              </w:rPr>
              <w:t xml:space="preserve"> Changes in market structure, trading rules, or the introduction/removal of trading constraints can impact liquidity. For example, high-frequency trading has changed liquidity dynamics in many markets.</w:t>
            </w:r>
          </w:p>
        </w:tc>
        <w:tc>
          <w:tcPr>
            <w:tcW w:w="6873" w:type="dxa"/>
            <w:shd w:val="clear" w:color="auto" w:fill="auto"/>
          </w:tcPr>
          <w:p w14:paraId="00914ACC" w14:textId="77777777" w:rsidR="00C40DFE" w:rsidRDefault="00B44FF7" w:rsidP="00750815">
            <w:pPr>
              <w:pStyle w:val="ListParagraph"/>
              <w:numPr>
                <w:ilvl w:val="0"/>
                <w:numId w:val="5"/>
              </w:numPr>
              <w:snapToGrid w:val="0"/>
              <w:contextualSpacing w:val="0"/>
              <w:rPr>
                <w:rFonts w:cstheme="minorHAnsi"/>
                <w:sz w:val="20"/>
                <w:szCs w:val="20"/>
                <w:lang w:val="en-US"/>
              </w:rPr>
            </w:pPr>
            <w:r w:rsidRPr="006E2FE2">
              <w:rPr>
                <w:rFonts w:cstheme="minorHAnsi"/>
                <w:b/>
                <w:bCs/>
                <w:sz w:val="20"/>
                <w:szCs w:val="20"/>
                <w:lang w:val="en-US"/>
              </w:rPr>
              <w:t>Regulation risk</w:t>
            </w:r>
            <w:r w:rsidRPr="006E2FE2">
              <w:rPr>
                <w:rFonts w:cstheme="minorHAnsi"/>
                <w:sz w:val="20"/>
                <w:szCs w:val="20"/>
                <w:lang w:val="en-US"/>
              </w:rPr>
              <w:t xml:space="preserve"> </w:t>
            </w:r>
            <w:r w:rsidRPr="00C40DFE">
              <w:rPr>
                <w:rFonts w:cstheme="minorHAnsi"/>
                <w:sz w:val="20"/>
                <w:szCs w:val="20"/>
                <w:lang w:val="en-US"/>
              </w:rPr>
              <w:t xml:space="preserve">refers to the uncertainty and potential financial implications stemming from new laws, regulations, government policies or changes to existing ones. </w:t>
            </w:r>
            <w:r w:rsidR="006E2FE2" w:rsidRPr="00C40DFE">
              <w:rPr>
                <w:rFonts w:cstheme="minorHAnsi"/>
                <w:sz w:val="20"/>
                <w:szCs w:val="20"/>
                <w:lang w:val="en-US"/>
              </w:rPr>
              <w:t>Regulatory risks can impact a company's operations, financial performance, and strategic direction.</w:t>
            </w:r>
          </w:p>
          <w:p w14:paraId="60EF36CB" w14:textId="77777777" w:rsidR="00DF6317" w:rsidRPr="00C40DFE" w:rsidRDefault="00DF6317" w:rsidP="00750815">
            <w:pPr>
              <w:pStyle w:val="ListParagraph"/>
              <w:snapToGrid w:val="0"/>
              <w:ind w:left="360"/>
              <w:contextualSpacing w:val="0"/>
              <w:rPr>
                <w:rFonts w:cstheme="minorHAnsi"/>
                <w:sz w:val="20"/>
                <w:szCs w:val="20"/>
                <w:lang w:val="en-US"/>
              </w:rPr>
            </w:pPr>
          </w:p>
          <w:p w14:paraId="5415FCE9" w14:textId="77777777" w:rsidR="00C40DFE" w:rsidRDefault="00B44FF7" w:rsidP="00750815">
            <w:pPr>
              <w:pStyle w:val="ListParagraph"/>
              <w:numPr>
                <w:ilvl w:val="0"/>
                <w:numId w:val="5"/>
              </w:numPr>
              <w:snapToGrid w:val="0"/>
              <w:contextualSpacing w:val="0"/>
              <w:rPr>
                <w:rFonts w:cstheme="minorHAnsi"/>
                <w:sz w:val="20"/>
                <w:szCs w:val="20"/>
                <w:lang w:val="en-US"/>
              </w:rPr>
            </w:pPr>
            <w:r w:rsidRPr="00C40DFE">
              <w:rPr>
                <w:rFonts w:cstheme="minorHAnsi"/>
                <w:b/>
                <w:bCs/>
                <w:sz w:val="20"/>
                <w:szCs w:val="20"/>
                <w:lang w:val="en-US"/>
              </w:rPr>
              <w:t>Antitrust and Competition Laws:</w:t>
            </w:r>
            <w:r w:rsidRPr="00C40DFE">
              <w:rPr>
                <w:rFonts w:cstheme="minorHAnsi"/>
                <w:sz w:val="20"/>
                <w:szCs w:val="20"/>
                <w:lang w:val="en-US"/>
              </w:rPr>
              <w:t xml:space="preserve"> Prominent companies such as Apple attract antitrust regulators' attention, especially if they are perceived to have too much market power or engage in anti-competitive practices. Regulatory actions can lead to fines, required divestitures, or operational restrictions.</w:t>
            </w:r>
          </w:p>
          <w:p w14:paraId="6A9462EA" w14:textId="77777777" w:rsidR="00DF6317" w:rsidRPr="00C40DFE" w:rsidRDefault="00DF6317" w:rsidP="00750815">
            <w:pPr>
              <w:pStyle w:val="ListParagraph"/>
              <w:snapToGrid w:val="0"/>
              <w:ind w:left="360"/>
              <w:contextualSpacing w:val="0"/>
              <w:rPr>
                <w:rFonts w:cstheme="minorHAnsi"/>
                <w:sz w:val="20"/>
                <w:szCs w:val="20"/>
                <w:lang w:val="en-US"/>
              </w:rPr>
            </w:pPr>
          </w:p>
          <w:p w14:paraId="59A396E7" w14:textId="77777777" w:rsidR="00C40DFE" w:rsidRDefault="00B44FF7" w:rsidP="00750815">
            <w:pPr>
              <w:pStyle w:val="ListParagraph"/>
              <w:numPr>
                <w:ilvl w:val="0"/>
                <w:numId w:val="5"/>
              </w:numPr>
              <w:snapToGrid w:val="0"/>
              <w:contextualSpacing w:val="0"/>
              <w:rPr>
                <w:rFonts w:cstheme="minorHAnsi"/>
                <w:sz w:val="20"/>
                <w:szCs w:val="20"/>
                <w:lang w:val="en-US"/>
              </w:rPr>
            </w:pPr>
            <w:r w:rsidRPr="00C40DFE">
              <w:rPr>
                <w:rFonts w:cstheme="minorHAnsi"/>
                <w:b/>
                <w:bCs/>
                <w:sz w:val="20"/>
                <w:szCs w:val="20"/>
                <w:lang w:val="en-US"/>
              </w:rPr>
              <w:t>Privacy and Data Protection:</w:t>
            </w:r>
            <w:r w:rsidRPr="00C40DFE">
              <w:rPr>
                <w:rFonts w:cstheme="minorHAnsi"/>
                <w:sz w:val="20"/>
                <w:szCs w:val="20"/>
                <w:lang w:val="en-US"/>
              </w:rPr>
              <w:t xml:space="preserve"> With increasing concerns over user data and privacy, there has been heightened scrutiny on companies that collect and store user information. Regulations such as the European Union's General Data Protection Regulation </w:t>
            </w:r>
            <w:r w:rsidR="002A3AF9" w:rsidRPr="002A3AF9">
              <w:rPr>
                <w:rFonts w:cstheme="minorHAnsi"/>
                <w:sz w:val="20"/>
                <w:szCs w:val="20"/>
                <w:lang w:val="en-US"/>
              </w:rPr>
              <w:t xml:space="preserve">GDPR </w:t>
            </w:r>
            <w:r w:rsidRPr="00C40DFE">
              <w:rPr>
                <w:rFonts w:cstheme="minorHAnsi"/>
                <w:sz w:val="20"/>
                <w:szCs w:val="20"/>
                <w:lang w:val="en-US"/>
              </w:rPr>
              <w:t>impose strict guidelines and hefty fines for non-compliance.</w:t>
            </w:r>
            <w:r w:rsidR="00E95347" w:rsidRPr="00C40DFE">
              <w:rPr>
                <w:rFonts w:cstheme="minorHAnsi"/>
                <w:sz w:val="20"/>
                <w:szCs w:val="20"/>
                <w:lang w:val="en-US"/>
              </w:rPr>
              <w:t xml:space="preserve"> </w:t>
            </w:r>
          </w:p>
          <w:p w14:paraId="73E10B55" w14:textId="77777777" w:rsidR="00DF6317" w:rsidRPr="00C40DFE" w:rsidRDefault="00DF6317" w:rsidP="00750815">
            <w:pPr>
              <w:pStyle w:val="ListParagraph"/>
              <w:snapToGrid w:val="0"/>
              <w:ind w:left="360"/>
              <w:contextualSpacing w:val="0"/>
              <w:rPr>
                <w:rFonts w:cstheme="minorHAnsi"/>
                <w:sz w:val="20"/>
                <w:szCs w:val="20"/>
                <w:lang w:val="en-US"/>
              </w:rPr>
            </w:pPr>
          </w:p>
          <w:p w14:paraId="1B7CBFE8" w14:textId="77777777" w:rsidR="00C40DFE" w:rsidRDefault="00B44FF7" w:rsidP="00750815">
            <w:pPr>
              <w:pStyle w:val="ListParagraph"/>
              <w:numPr>
                <w:ilvl w:val="0"/>
                <w:numId w:val="5"/>
              </w:numPr>
              <w:snapToGrid w:val="0"/>
              <w:contextualSpacing w:val="0"/>
              <w:rPr>
                <w:rFonts w:cstheme="minorHAnsi"/>
                <w:sz w:val="20"/>
                <w:szCs w:val="20"/>
                <w:lang w:val="en-US"/>
              </w:rPr>
            </w:pPr>
            <w:r w:rsidRPr="00C40DFE">
              <w:rPr>
                <w:rFonts w:cstheme="minorHAnsi"/>
                <w:b/>
                <w:bCs/>
                <w:sz w:val="20"/>
                <w:szCs w:val="20"/>
                <w:lang w:val="en-US"/>
              </w:rPr>
              <w:t>Trade and Tariffs:</w:t>
            </w:r>
            <w:r w:rsidRPr="00C40DFE">
              <w:rPr>
                <w:rFonts w:cstheme="minorHAnsi"/>
                <w:sz w:val="20"/>
                <w:szCs w:val="20"/>
                <w:lang w:val="en-US"/>
              </w:rPr>
              <w:t xml:space="preserve"> As a global company, Apple is sensitive to changes in international trade policies. New tariffs, trade barriers, or restrictions can impact its supply chain, product costs, and profitability.</w:t>
            </w:r>
          </w:p>
          <w:p w14:paraId="1BDADCDC" w14:textId="77777777" w:rsidR="00DF6317" w:rsidRPr="00DF6317" w:rsidRDefault="00DF6317" w:rsidP="00750815">
            <w:pPr>
              <w:pStyle w:val="ListParagraph"/>
              <w:snapToGrid w:val="0"/>
              <w:contextualSpacing w:val="0"/>
              <w:rPr>
                <w:rFonts w:cstheme="minorHAnsi"/>
                <w:sz w:val="20"/>
                <w:szCs w:val="20"/>
                <w:lang w:val="en-US"/>
              </w:rPr>
            </w:pPr>
          </w:p>
          <w:p w14:paraId="36579287" w14:textId="77777777" w:rsidR="00C40DFE" w:rsidRPr="00DF6317" w:rsidRDefault="00B44FF7" w:rsidP="00750815">
            <w:pPr>
              <w:pStyle w:val="ListParagraph"/>
              <w:numPr>
                <w:ilvl w:val="0"/>
                <w:numId w:val="5"/>
              </w:numPr>
              <w:snapToGrid w:val="0"/>
              <w:contextualSpacing w:val="0"/>
              <w:rPr>
                <w:rFonts w:cstheme="minorHAnsi"/>
                <w:sz w:val="20"/>
                <w:szCs w:val="20"/>
                <w:lang w:val="en-US"/>
              </w:rPr>
            </w:pPr>
            <w:r w:rsidRPr="00117CC4">
              <w:rPr>
                <w:rFonts w:cstheme="minorHAnsi"/>
                <w:b/>
                <w:bCs/>
                <w:sz w:val="20"/>
                <w:szCs w:val="20"/>
                <w:lang w:val="en-US"/>
              </w:rPr>
              <w:t>Environmental and Sustainability Regulations:</w:t>
            </w:r>
            <w:r w:rsidRPr="00C40DFE">
              <w:rPr>
                <w:rFonts w:cstheme="minorHAnsi"/>
                <w:sz w:val="20"/>
                <w:szCs w:val="20"/>
                <w:lang w:val="en-US"/>
              </w:rPr>
              <w:t xml:space="preserve"> As sustainability becomes a more prominent concern, companies might face stricter environmental regulations. Sustainability regulations can influence manufacturing processes, product design, and waste management practices.</w:t>
            </w:r>
            <w:r w:rsidR="00117CC4">
              <w:rPr>
                <w:rFonts w:cstheme="minorHAnsi"/>
                <w:sz w:val="20"/>
                <w:szCs w:val="20"/>
                <w:lang w:val="en-US"/>
              </w:rPr>
              <w:t xml:space="preserve"> </w:t>
            </w:r>
            <w:r w:rsidR="00117CC4" w:rsidRPr="0041140F">
              <w:rPr>
                <w:rFonts w:cstheme="minorHAnsi"/>
                <w:b/>
                <w:bCs/>
                <w:color w:val="00B050"/>
                <w:sz w:val="20"/>
                <w:szCs w:val="20"/>
                <w:lang w:val="en-US"/>
              </w:rPr>
              <w:t>[Reuters]</w:t>
            </w:r>
          </w:p>
          <w:p w14:paraId="589D1E22" w14:textId="77777777" w:rsidR="00DF6317" w:rsidRPr="00C40DFE" w:rsidRDefault="00DF6317" w:rsidP="00750815">
            <w:pPr>
              <w:pStyle w:val="ListParagraph"/>
              <w:snapToGrid w:val="0"/>
              <w:ind w:left="360"/>
              <w:contextualSpacing w:val="0"/>
              <w:rPr>
                <w:rFonts w:cstheme="minorHAnsi"/>
                <w:sz w:val="20"/>
                <w:szCs w:val="20"/>
                <w:lang w:val="en-US"/>
              </w:rPr>
            </w:pPr>
          </w:p>
          <w:p w14:paraId="1E99D712" w14:textId="77777777" w:rsidR="00C40DFE" w:rsidRDefault="00B44FF7" w:rsidP="00750815">
            <w:pPr>
              <w:pStyle w:val="ListParagraph"/>
              <w:numPr>
                <w:ilvl w:val="0"/>
                <w:numId w:val="5"/>
              </w:numPr>
              <w:snapToGrid w:val="0"/>
              <w:contextualSpacing w:val="0"/>
              <w:rPr>
                <w:rFonts w:cstheme="minorHAnsi"/>
                <w:sz w:val="20"/>
                <w:szCs w:val="20"/>
                <w:lang w:val="en-US"/>
              </w:rPr>
            </w:pPr>
            <w:r w:rsidRPr="00C40DFE">
              <w:rPr>
                <w:rFonts w:cstheme="minorHAnsi"/>
                <w:b/>
                <w:bCs/>
                <w:sz w:val="20"/>
                <w:szCs w:val="20"/>
                <w:lang w:val="en-US"/>
              </w:rPr>
              <w:t>Intellectual Property Laws</w:t>
            </w:r>
            <w:r w:rsidRPr="00C40DFE">
              <w:rPr>
                <w:rFonts w:cstheme="minorHAnsi"/>
                <w:sz w:val="20"/>
                <w:szCs w:val="20"/>
                <w:lang w:val="en-US"/>
              </w:rPr>
              <w:t>: Changes in I.P. laws and regulations can impact a company's ability to protect its innovations or expose it to potential litigation. In industries like tech, where I.P. is crucial, regulatory changes in this area are particularly significant.</w:t>
            </w:r>
          </w:p>
          <w:p w14:paraId="0EDC836A" w14:textId="77777777" w:rsidR="00DF6317" w:rsidRPr="00C40DFE" w:rsidRDefault="00DF6317" w:rsidP="00750815">
            <w:pPr>
              <w:pStyle w:val="ListParagraph"/>
              <w:snapToGrid w:val="0"/>
              <w:ind w:left="360"/>
              <w:contextualSpacing w:val="0"/>
              <w:rPr>
                <w:rFonts w:cstheme="minorHAnsi"/>
                <w:sz w:val="20"/>
                <w:szCs w:val="20"/>
                <w:lang w:val="en-US"/>
              </w:rPr>
            </w:pPr>
          </w:p>
          <w:p w14:paraId="3CAA43FD" w14:textId="33A2A216" w:rsidR="006F23A7" w:rsidRPr="00591528" w:rsidRDefault="00B44FF7" w:rsidP="00104D45">
            <w:pPr>
              <w:pStyle w:val="ListParagraph"/>
              <w:numPr>
                <w:ilvl w:val="0"/>
                <w:numId w:val="5"/>
              </w:numPr>
              <w:snapToGrid w:val="0"/>
              <w:contextualSpacing w:val="0"/>
              <w:rPr>
                <w:rFonts w:cstheme="minorHAnsi"/>
                <w:sz w:val="20"/>
                <w:szCs w:val="20"/>
                <w:lang w:val="en-US"/>
              </w:rPr>
            </w:pPr>
            <w:r w:rsidRPr="00104D45">
              <w:rPr>
                <w:rFonts w:cstheme="minorHAnsi"/>
                <w:b/>
                <w:bCs/>
                <w:sz w:val="20"/>
                <w:szCs w:val="20"/>
                <w:lang w:val="en-US"/>
              </w:rPr>
              <w:t>Product Safety and Standards:</w:t>
            </w:r>
            <w:r w:rsidRPr="00104D45">
              <w:rPr>
                <w:rFonts w:cstheme="minorHAnsi"/>
                <w:sz w:val="20"/>
                <w:szCs w:val="20"/>
                <w:lang w:val="en-US"/>
              </w:rPr>
              <w:t xml:space="preserve"> Companies must adhere to safety standards and regulations. Companies must comply with their products to new standards, which can incur costs.</w:t>
            </w:r>
            <w:r w:rsidR="00DD35C7" w:rsidRPr="00104D45">
              <w:rPr>
                <w:rFonts w:cstheme="minorHAnsi"/>
                <w:b/>
                <w:bCs/>
                <w:sz w:val="20"/>
                <w:szCs w:val="20"/>
                <w:lang w:val="en-US"/>
              </w:rPr>
              <w:t xml:space="preserve"> </w:t>
            </w:r>
            <w:r w:rsidR="00DD35C7" w:rsidRPr="00104D45">
              <w:rPr>
                <w:rFonts w:cstheme="minorHAnsi"/>
                <w:b/>
                <w:bCs/>
                <w:color w:val="00B050"/>
                <w:sz w:val="20"/>
                <w:szCs w:val="20"/>
                <w:lang w:val="en-US"/>
              </w:rPr>
              <w:t>[</w:t>
            </w:r>
            <w:proofErr w:type="spellStart"/>
            <w:r w:rsidR="00DD35C7" w:rsidRPr="00104D45">
              <w:rPr>
                <w:rFonts w:cstheme="minorHAnsi"/>
                <w:b/>
                <w:bCs/>
                <w:color w:val="00B050"/>
                <w:sz w:val="20"/>
                <w:szCs w:val="20"/>
                <w:lang w:val="en-US"/>
              </w:rPr>
              <w:t>Washingtonpost</w:t>
            </w:r>
            <w:proofErr w:type="spellEnd"/>
            <w:r w:rsidR="00DD35C7" w:rsidRPr="00104D45">
              <w:rPr>
                <w:rFonts w:cstheme="minorHAnsi"/>
                <w:b/>
                <w:bCs/>
                <w:color w:val="00B050"/>
                <w:sz w:val="20"/>
                <w:szCs w:val="20"/>
                <w:lang w:val="en-US"/>
              </w:rPr>
              <w:t>]</w:t>
            </w:r>
          </w:p>
        </w:tc>
      </w:tr>
    </w:tbl>
    <w:p w14:paraId="551CE72A" w14:textId="77777777" w:rsidR="00966C51" w:rsidRDefault="00966C51" w:rsidP="00750815">
      <w:pPr>
        <w:pStyle w:val="ListParagraph"/>
        <w:snapToGrid w:val="0"/>
        <w:spacing w:after="0" w:line="240" w:lineRule="auto"/>
        <w:ind w:left="936"/>
        <w:contextualSpacing w:val="0"/>
        <w:rPr>
          <w:rFonts w:cstheme="minorHAnsi"/>
          <w:b/>
          <w:bCs/>
          <w:sz w:val="20"/>
          <w:szCs w:val="20"/>
          <w:lang w:val="en-US"/>
        </w:rPr>
      </w:pPr>
    </w:p>
    <w:p w14:paraId="50DD2AC5" w14:textId="77777777" w:rsidR="00750815" w:rsidRDefault="00750815" w:rsidP="00750815">
      <w:pPr>
        <w:pStyle w:val="ListParagraph"/>
        <w:snapToGrid w:val="0"/>
        <w:spacing w:after="0" w:line="240" w:lineRule="auto"/>
        <w:ind w:left="936"/>
        <w:contextualSpacing w:val="0"/>
        <w:rPr>
          <w:rFonts w:cstheme="minorHAnsi"/>
          <w:b/>
          <w:bCs/>
          <w:sz w:val="20"/>
          <w:szCs w:val="20"/>
          <w:lang w:val="en-US"/>
        </w:rPr>
      </w:pPr>
    </w:p>
    <w:p w14:paraId="12FEABD6" w14:textId="77777777" w:rsidR="005606AE" w:rsidRDefault="005606AE" w:rsidP="005606AE">
      <w:pPr>
        <w:pStyle w:val="ListParagraph"/>
        <w:snapToGrid w:val="0"/>
        <w:spacing w:after="0" w:line="240" w:lineRule="auto"/>
        <w:ind w:left="576"/>
        <w:contextualSpacing w:val="0"/>
        <w:rPr>
          <w:rFonts w:cstheme="minorHAnsi"/>
          <w:b/>
          <w:bCs/>
          <w:sz w:val="20"/>
          <w:szCs w:val="20"/>
          <w:lang w:val="en-US"/>
        </w:rPr>
      </w:pPr>
      <w:r w:rsidRPr="00D85348">
        <w:rPr>
          <w:rFonts w:cstheme="minorHAnsi"/>
          <w:b/>
          <w:bCs/>
          <w:sz w:val="20"/>
          <w:szCs w:val="20"/>
          <w:lang w:val="en-US"/>
        </w:rPr>
        <w:lastRenderedPageBreak/>
        <w:t xml:space="preserve">Student: Yhasreen for </w:t>
      </w:r>
      <w:r>
        <w:rPr>
          <w:rFonts w:cstheme="minorHAnsi"/>
          <w:b/>
          <w:bCs/>
          <w:sz w:val="20"/>
          <w:szCs w:val="20"/>
          <w:lang w:val="en-US"/>
        </w:rPr>
        <w:t>b</w:t>
      </w:r>
      <w:r w:rsidRPr="00D85348">
        <w:rPr>
          <w:rFonts w:cstheme="minorHAnsi"/>
          <w:b/>
          <w:bCs/>
          <w:sz w:val="20"/>
          <w:szCs w:val="20"/>
          <w:lang w:val="en-US"/>
        </w:rPr>
        <w:t xml:space="preserve">ond and </w:t>
      </w:r>
      <w:r>
        <w:rPr>
          <w:rFonts w:cstheme="minorHAnsi"/>
          <w:b/>
          <w:bCs/>
          <w:sz w:val="20"/>
          <w:szCs w:val="20"/>
          <w:lang w:val="en-US"/>
        </w:rPr>
        <w:t>e</w:t>
      </w:r>
      <w:r w:rsidRPr="00D85348">
        <w:rPr>
          <w:rFonts w:cstheme="minorHAnsi"/>
          <w:b/>
          <w:bCs/>
          <w:sz w:val="20"/>
          <w:szCs w:val="20"/>
          <w:lang w:val="en-US"/>
        </w:rPr>
        <w:t>quity</w:t>
      </w:r>
      <w:r>
        <w:rPr>
          <w:rFonts w:cstheme="minorHAnsi"/>
          <w:b/>
          <w:bCs/>
          <w:sz w:val="20"/>
          <w:szCs w:val="20"/>
          <w:lang w:val="en-US"/>
        </w:rPr>
        <w:t xml:space="preserve"> frictional risk</w:t>
      </w:r>
    </w:p>
    <w:p w14:paraId="4FBEB2B7" w14:textId="77777777" w:rsidR="00750815" w:rsidRDefault="00750815" w:rsidP="00750815">
      <w:pPr>
        <w:pStyle w:val="ListParagraph"/>
        <w:snapToGrid w:val="0"/>
        <w:spacing w:after="0" w:line="240" w:lineRule="auto"/>
        <w:ind w:left="936"/>
        <w:contextualSpacing w:val="0"/>
        <w:rPr>
          <w:rFonts w:cstheme="minorHAnsi"/>
          <w:b/>
          <w:bCs/>
          <w:sz w:val="20"/>
          <w:szCs w:val="20"/>
          <w:lang w:val="en-US"/>
        </w:rPr>
      </w:pPr>
    </w:p>
    <w:tbl>
      <w:tblPr>
        <w:tblStyle w:val="TableGrid"/>
        <w:tblW w:w="0" w:type="auto"/>
        <w:tblLook w:val="04A0" w:firstRow="1" w:lastRow="0" w:firstColumn="1" w:lastColumn="0" w:noHBand="0" w:noVBand="1"/>
      </w:tblPr>
      <w:tblGrid>
        <w:gridCol w:w="473"/>
        <w:gridCol w:w="318"/>
        <w:gridCol w:w="1278"/>
        <w:gridCol w:w="6446"/>
        <w:gridCol w:w="6873"/>
      </w:tblGrid>
      <w:tr w:rsidR="00FD43CB" w14:paraId="35940179" w14:textId="77777777" w:rsidTr="00441CE2">
        <w:tc>
          <w:tcPr>
            <w:tcW w:w="2069" w:type="dxa"/>
            <w:gridSpan w:val="3"/>
            <w:vMerge w:val="restart"/>
            <w:shd w:val="clear" w:color="auto" w:fill="F2F2F2" w:themeFill="background1" w:themeFillShade="F2"/>
            <w:vAlign w:val="center"/>
          </w:tcPr>
          <w:p w14:paraId="61DAE694" w14:textId="77777777" w:rsidR="00966C51" w:rsidRPr="007306AF" w:rsidRDefault="00B44FF7" w:rsidP="00750815">
            <w:pPr>
              <w:pStyle w:val="ListParagraph"/>
              <w:snapToGrid w:val="0"/>
              <w:ind w:left="0"/>
              <w:contextualSpacing w:val="0"/>
              <w:jc w:val="center"/>
              <w:rPr>
                <w:rFonts w:cstheme="minorHAnsi"/>
                <w:b/>
                <w:bCs/>
                <w:sz w:val="20"/>
                <w:szCs w:val="20"/>
                <w:lang w:val="en-US"/>
              </w:rPr>
            </w:pPr>
            <w:r w:rsidRPr="007306AF">
              <w:rPr>
                <w:rFonts w:cstheme="minorHAnsi"/>
                <w:b/>
                <w:bCs/>
                <w:sz w:val="20"/>
                <w:szCs w:val="20"/>
                <w:lang w:val="en-US"/>
              </w:rPr>
              <w:t>Table 2</w:t>
            </w:r>
            <w:r>
              <w:rPr>
                <w:rFonts w:cstheme="minorHAnsi"/>
                <w:b/>
                <w:bCs/>
                <w:sz w:val="20"/>
                <w:szCs w:val="20"/>
                <w:lang w:val="en-US"/>
              </w:rPr>
              <w:t>b.</w:t>
            </w:r>
          </w:p>
        </w:tc>
        <w:tc>
          <w:tcPr>
            <w:tcW w:w="13319" w:type="dxa"/>
            <w:gridSpan w:val="2"/>
            <w:shd w:val="clear" w:color="auto" w:fill="F2F2F2" w:themeFill="background1" w:themeFillShade="F2"/>
            <w:vAlign w:val="center"/>
          </w:tcPr>
          <w:p w14:paraId="25CC9C46" w14:textId="77777777" w:rsidR="00966C51" w:rsidRPr="007306AF" w:rsidRDefault="00B44FF7" w:rsidP="00750815">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 xml:space="preserve">Frictional </w:t>
            </w:r>
            <w:r w:rsidRPr="007306AF">
              <w:rPr>
                <w:rFonts w:cstheme="minorHAnsi"/>
                <w:b/>
                <w:bCs/>
                <w:sz w:val="20"/>
                <w:szCs w:val="20"/>
                <w:lang w:val="en-US"/>
              </w:rPr>
              <w:t xml:space="preserve">Related </w:t>
            </w:r>
            <w:r>
              <w:rPr>
                <w:rFonts w:cstheme="minorHAnsi"/>
                <w:b/>
                <w:bCs/>
                <w:sz w:val="20"/>
                <w:szCs w:val="20"/>
                <w:lang w:val="en-US"/>
              </w:rPr>
              <w:t>Challenges</w:t>
            </w:r>
          </w:p>
        </w:tc>
      </w:tr>
      <w:tr w:rsidR="00FD43CB" w14:paraId="4F878C2C" w14:textId="77777777" w:rsidTr="00441CE2">
        <w:tc>
          <w:tcPr>
            <w:tcW w:w="2069" w:type="dxa"/>
            <w:gridSpan w:val="3"/>
            <w:vMerge/>
            <w:shd w:val="clear" w:color="auto" w:fill="F2F2F2" w:themeFill="background1" w:themeFillShade="F2"/>
          </w:tcPr>
          <w:p w14:paraId="0A0942D8" w14:textId="77777777" w:rsidR="00966C51" w:rsidRPr="007306AF" w:rsidRDefault="00966C51" w:rsidP="00750815">
            <w:pPr>
              <w:pStyle w:val="ListParagraph"/>
              <w:snapToGrid w:val="0"/>
              <w:ind w:left="0"/>
              <w:contextualSpacing w:val="0"/>
              <w:jc w:val="center"/>
              <w:rPr>
                <w:rFonts w:cstheme="minorHAnsi"/>
                <w:b/>
                <w:bCs/>
                <w:sz w:val="20"/>
                <w:szCs w:val="20"/>
                <w:lang w:val="en-US"/>
              </w:rPr>
            </w:pPr>
          </w:p>
        </w:tc>
        <w:tc>
          <w:tcPr>
            <w:tcW w:w="6446" w:type="dxa"/>
            <w:shd w:val="clear" w:color="auto" w:fill="F2F2F2" w:themeFill="background1" w:themeFillShade="F2"/>
            <w:vAlign w:val="center"/>
          </w:tcPr>
          <w:p w14:paraId="205621AD" w14:textId="77777777" w:rsidR="00966C51" w:rsidRPr="007306AF" w:rsidRDefault="00B44FF7" w:rsidP="00750815">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Financing</w:t>
            </w:r>
            <w:r w:rsidRPr="007306AF">
              <w:rPr>
                <w:rFonts w:cstheme="minorHAnsi"/>
                <w:b/>
                <w:bCs/>
                <w:sz w:val="20"/>
                <w:szCs w:val="20"/>
                <w:lang w:val="en-US"/>
              </w:rPr>
              <w:t xml:space="preserve"> issues</w:t>
            </w:r>
          </w:p>
        </w:tc>
        <w:tc>
          <w:tcPr>
            <w:tcW w:w="6873" w:type="dxa"/>
            <w:shd w:val="clear" w:color="auto" w:fill="F2F2F2" w:themeFill="background1" w:themeFillShade="F2"/>
            <w:vAlign w:val="center"/>
          </w:tcPr>
          <w:p w14:paraId="2356AF15" w14:textId="77777777" w:rsidR="00966C51" w:rsidRPr="007306AF" w:rsidRDefault="00B44FF7" w:rsidP="00750815">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Legality</w:t>
            </w:r>
            <w:r w:rsidRPr="007306AF">
              <w:rPr>
                <w:rFonts w:cstheme="minorHAnsi"/>
                <w:b/>
                <w:bCs/>
                <w:sz w:val="20"/>
                <w:szCs w:val="20"/>
                <w:lang w:val="en-US"/>
              </w:rPr>
              <w:t xml:space="preserve"> issues</w:t>
            </w:r>
          </w:p>
        </w:tc>
      </w:tr>
      <w:tr w:rsidR="00FD43CB" w14:paraId="382A7FAC" w14:textId="77777777" w:rsidTr="00441CE2">
        <w:tc>
          <w:tcPr>
            <w:tcW w:w="2069" w:type="dxa"/>
            <w:gridSpan w:val="3"/>
            <w:vMerge/>
            <w:shd w:val="clear" w:color="auto" w:fill="F2F2F2" w:themeFill="background1" w:themeFillShade="F2"/>
          </w:tcPr>
          <w:p w14:paraId="1E196222" w14:textId="77777777" w:rsidR="00966C51" w:rsidRPr="007306AF" w:rsidRDefault="00966C51" w:rsidP="00750815">
            <w:pPr>
              <w:pStyle w:val="ListParagraph"/>
              <w:snapToGrid w:val="0"/>
              <w:ind w:left="0"/>
              <w:contextualSpacing w:val="0"/>
              <w:jc w:val="center"/>
              <w:rPr>
                <w:rFonts w:cstheme="minorHAnsi"/>
                <w:b/>
                <w:bCs/>
                <w:sz w:val="20"/>
                <w:szCs w:val="20"/>
                <w:lang w:val="en-US"/>
              </w:rPr>
            </w:pPr>
          </w:p>
        </w:tc>
        <w:tc>
          <w:tcPr>
            <w:tcW w:w="6446" w:type="dxa"/>
            <w:shd w:val="clear" w:color="auto" w:fill="F2F2F2" w:themeFill="background1" w:themeFillShade="F2"/>
            <w:vAlign w:val="center"/>
          </w:tcPr>
          <w:p w14:paraId="4ED66647" w14:textId="77777777" w:rsidR="00966C51" w:rsidRPr="007306AF" w:rsidRDefault="00B44FF7" w:rsidP="00750815">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Liquidity Risk</w:t>
            </w:r>
          </w:p>
        </w:tc>
        <w:tc>
          <w:tcPr>
            <w:tcW w:w="6873" w:type="dxa"/>
            <w:shd w:val="clear" w:color="auto" w:fill="F2F2F2" w:themeFill="background1" w:themeFillShade="F2"/>
            <w:vAlign w:val="center"/>
          </w:tcPr>
          <w:p w14:paraId="121E86EA" w14:textId="77777777" w:rsidR="00966C51" w:rsidRPr="007306AF" w:rsidRDefault="00B44FF7" w:rsidP="00750815">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Regulation Risk/ Regulatory Risk</w:t>
            </w:r>
          </w:p>
        </w:tc>
      </w:tr>
      <w:tr w:rsidR="00FD43CB" w14:paraId="4EEEF92B" w14:textId="77777777" w:rsidTr="000D3C42">
        <w:tc>
          <w:tcPr>
            <w:tcW w:w="0" w:type="auto"/>
            <w:shd w:val="clear" w:color="auto" w:fill="F2F2F2" w:themeFill="background1" w:themeFillShade="F2"/>
            <w:textDirection w:val="btLr"/>
          </w:tcPr>
          <w:p w14:paraId="5170B9F5" w14:textId="77777777" w:rsidR="00966C51" w:rsidRPr="007306AF" w:rsidRDefault="00B44FF7" w:rsidP="00750815">
            <w:pPr>
              <w:pStyle w:val="ListParagraph"/>
              <w:snapToGrid w:val="0"/>
              <w:ind w:left="113" w:right="113"/>
              <w:contextualSpacing w:val="0"/>
              <w:jc w:val="center"/>
              <w:rPr>
                <w:rFonts w:cstheme="minorHAnsi"/>
                <w:b/>
                <w:bCs/>
                <w:sz w:val="20"/>
                <w:szCs w:val="20"/>
                <w:lang w:val="en-US"/>
              </w:rPr>
            </w:pPr>
            <w:r w:rsidRPr="007306AF">
              <w:rPr>
                <w:rFonts w:cstheme="minorHAnsi"/>
                <w:b/>
                <w:bCs/>
                <w:sz w:val="20"/>
                <w:szCs w:val="20"/>
                <w:lang w:val="en-US"/>
              </w:rPr>
              <w:t>Security lending scenarios</w:t>
            </w:r>
          </w:p>
        </w:tc>
        <w:tc>
          <w:tcPr>
            <w:tcW w:w="0" w:type="auto"/>
            <w:shd w:val="clear" w:color="auto" w:fill="F2F2F2" w:themeFill="background1" w:themeFillShade="F2"/>
            <w:vAlign w:val="center"/>
          </w:tcPr>
          <w:p w14:paraId="6C9AC8FD" w14:textId="77777777" w:rsidR="00966C51" w:rsidRPr="007306AF" w:rsidRDefault="00B44FF7" w:rsidP="00750815">
            <w:pPr>
              <w:pStyle w:val="ListParagraph"/>
              <w:snapToGrid w:val="0"/>
              <w:ind w:left="0"/>
              <w:contextualSpacing w:val="0"/>
              <w:jc w:val="center"/>
              <w:rPr>
                <w:rFonts w:cstheme="minorHAnsi"/>
                <w:b/>
                <w:bCs/>
                <w:sz w:val="20"/>
                <w:szCs w:val="20"/>
                <w:lang w:val="en-US"/>
              </w:rPr>
            </w:pPr>
            <w:r w:rsidRPr="007306AF">
              <w:rPr>
                <w:rFonts w:cstheme="minorHAnsi"/>
                <w:b/>
                <w:bCs/>
                <w:sz w:val="20"/>
                <w:szCs w:val="20"/>
                <w:lang w:val="en-US"/>
              </w:rPr>
              <w:t>4</w:t>
            </w:r>
          </w:p>
        </w:tc>
        <w:tc>
          <w:tcPr>
            <w:tcW w:w="1278" w:type="dxa"/>
            <w:shd w:val="clear" w:color="auto" w:fill="F2F2F2" w:themeFill="background1" w:themeFillShade="F2"/>
            <w:vAlign w:val="center"/>
          </w:tcPr>
          <w:p w14:paraId="091D7BB6" w14:textId="77777777" w:rsidR="00966C51" w:rsidRPr="007306AF" w:rsidRDefault="00B44FF7" w:rsidP="00750815">
            <w:pPr>
              <w:pStyle w:val="ListParagraph"/>
              <w:snapToGrid w:val="0"/>
              <w:ind w:left="0"/>
              <w:contextualSpacing w:val="0"/>
              <w:rPr>
                <w:rFonts w:cstheme="minorHAnsi"/>
                <w:b/>
                <w:bCs/>
                <w:sz w:val="20"/>
                <w:szCs w:val="20"/>
                <w:lang w:val="en-US"/>
              </w:rPr>
            </w:pPr>
            <w:r w:rsidRPr="007306AF">
              <w:rPr>
                <w:rFonts w:cstheme="minorHAnsi"/>
                <w:b/>
                <w:bCs/>
                <w:sz w:val="20"/>
                <w:szCs w:val="20"/>
                <w:lang w:val="en-US"/>
              </w:rPr>
              <w:t>AAPL</w:t>
            </w:r>
          </w:p>
          <w:p w14:paraId="4B1FBAE0" w14:textId="77777777" w:rsidR="00966C51" w:rsidRDefault="00B44FF7" w:rsidP="00750815">
            <w:pPr>
              <w:pStyle w:val="ListParagraph"/>
              <w:snapToGrid w:val="0"/>
              <w:ind w:left="0"/>
              <w:contextualSpacing w:val="0"/>
              <w:rPr>
                <w:rFonts w:cstheme="minorHAnsi"/>
                <w:b/>
                <w:bCs/>
                <w:sz w:val="20"/>
                <w:szCs w:val="20"/>
                <w:lang w:val="en-US"/>
              </w:rPr>
            </w:pPr>
            <w:r w:rsidRPr="007306AF">
              <w:rPr>
                <w:rFonts w:cstheme="minorHAnsi"/>
                <w:b/>
                <w:bCs/>
                <w:sz w:val="20"/>
                <w:szCs w:val="20"/>
                <w:lang w:val="en-US"/>
              </w:rPr>
              <w:t xml:space="preserve">Equity </w:t>
            </w:r>
          </w:p>
          <w:p w14:paraId="1B510156" w14:textId="77777777" w:rsidR="00966C51" w:rsidRPr="007306AF" w:rsidRDefault="00B44FF7" w:rsidP="00750815">
            <w:pPr>
              <w:pStyle w:val="ListParagraph"/>
              <w:snapToGrid w:val="0"/>
              <w:ind w:left="0"/>
              <w:contextualSpacing w:val="0"/>
              <w:rPr>
                <w:rFonts w:cstheme="minorHAnsi"/>
                <w:b/>
                <w:bCs/>
                <w:sz w:val="20"/>
                <w:szCs w:val="20"/>
                <w:lang w:val="en-US"/>
              </w:rPr>
            </w:pPr>
            <w:r w:rsidRPr="007306AF">
              <w:rPr>
                <w:rFonts w:cstheme="minorHAnsi"/>
                <w:b/>
                <w:bCs/>
                <w:sz w:val="20"/>
                <w:szCs w:val="20"/>
                <w:lang w:val="en-US"/>
              </w:rPr>
              <w:t>Investment</w:t>
            </w:r>
          </w:p>
          <w:p w14:paraId="0DAD118B" w14:textId="77777777" w:rsidR="00966C51" w:rsidRPr="007306AF" w:rsidRDefault="00966C51" w:rsidP="00750815">
            <w:pPr>
              <w:pStyle w:val="ListParagraph"/>
              <w:snapToGrid w:val="0"/>
              <w:ind w:left="0"/>
              <w:contextualSpacing w:val="0"/>
              <w:rPr>
                <w:rFonts w:cstheme="minorHAnsi"/>
                <w:b/>
                <w:bCs/>
                <w:sz w:val="20"/>
                <w:szCs w:val="20"/>
                <w:lang w:val="en-US"/>
              </w:rPr>
            </w:pPr>
          </w:p>
        </w:tc>
        <w:tc>
          <w:tcPr>
            <w:tcW w:w="6446" w:type="dxa"/>
            <w:shd w:val="clear" w:color="auto" w:fill="auto"/>
          </w:tcPr>
          <w:p w14:paraId="4386B80B" w14:textId="77777777" w:rsidR="00DF6317" w:rsidRPr="00DF6317" w:rsidRDefault="00B44FF7" w:rsidP="00750815">
            <w:pPr>
              <w:pStyle w:val="ListParagraph"/>
              <w:numPr>
                <w:ilvl w:val="0"/>
                <w:numId w:val="24"/>
              </w:numPr>
              <w:snapToGrid w:val="0"/>
              <w:contextualSpacing w:val="0"/>
              <w:rPr>
                <w:rFonts w:cstheme="minorHAnsi"/>
                <w:sz w:val="20"/>
                <w:szCs w:val="20"/>
                <w:lang w:val="en-US"/>
              </w:rPr>
            </w:pPr>
            <w:r w:rsidRPr="00DF6317">
              <w:rPr>
                <w:rFonts w:cstheme="minorHAnsi"/>
                <w:b/>
                <w:bCs/>
                <w:sz w:val="20"/>
                <w:szCs w:val="20"/>
                <w:lang w:val="en-US"/>
              </w:rPr>
              <w:t>Systemic Liquidity Crunches:</w:t>
            </w:r>
            <w:r w:rsidRPr="00DF6317">
              <w:rPr>
                <w:rFonts w:cstheme="minorHAnsi"/>
                <w:sz w:val="20"/>
                <w:szCs w:val="20"/>
                <w:lang w:val="en-US"/>
              </w:rPr>
              <w:t xml:space="preserve"> In extreme market scenarios, liquidity can dry up across multiple assets and sectors, as seen during the 2008 financial crisis. Even highly liquid stocks can experience significant price drops during such systemic events.</w:t>
            </w:r>
          </w:p>
          <w:p w14:paraId="224F60D4" w14:textId="77777777" w:rsidR="00DF6317" w:rsidRPr="00DF6317" w:rsidRDefault="00DF6317" w:rsidP="00750815">
            <w:pPr>
              <w:pStyle w:val="ListParagraph"/>
              <w:snapToGrid w:val="0"/>
              <w:ind w:left="360"/>
              <w:contextualSpacing w:val="0"/>
              <w:rPr>
                <w:rFonts w:cstheme="minorHAnsi"/>
                <w:sz w:val="20"/>
                <w:szCs w:val="20"/>
                <w:lang w:val="en-US"/>
              </w:rPr>
            </w:pPr>
          </w:p>
          <w:p w14:paraId="5A426EE5" w14:textId="77777777" w:rsidR="00966C51" w:rsidRDefault="00B44FF7" w:rsidP="00750815">
            <w:pPr>
              <w:pStyle w:val="ListParagraph"/>
              <w:numPr>
                <w:ilvl w:val="0"/>
                <w:numId w:val="24"/>
              </w:numPr>
              <w:snapToGrid w:val="0"/>
              <w:contextualSpacing w:val="0"/>
              <w:rPr>
                <w:rFonts w:cstheme="minorHAnsi"/>
                <w:sz w:val="20"/>
                <w:szCs w:val="20"/>
                <w:lang w:val="en-US"/>
              </w:rPr>
            </w:pPr>
            <w:r w:rsidRPr="00C40DFE">
              <w:rPr>
                <w:rFonts w:cstheme="minorHAnsi"/>
                <w:b/>
                <w:bCs/>
                <w:sz w:val="20"/>
                <w:szCs w:val="20"/>
                <w:lang w:val="en-US"/>
              </w:rPr>
              <w:t>ETFs and Derivatives Impact:</w:t>
            </w:r>
            <w:r w:rsidRPr="00C40DFE">
              <w:rPr>
                <w:rFonts w:cstheme="minorHAnsi"/>
                <w:sz w:val="20"/>
                <w:szCs w:val="20"/>
                <w:lang w:val="en-US"/>
              </w:rPr>
              <w:t xml:space="preserve"> The Liquidity of individual stocks can be affected by trading in related ETFs or derivatives. For instance, heavy trading in an ETF that holds AAPL can indirectly impact AAPL's Liquidity and price.</w:t>
            </w:r>
          </w:p>
          <w:p w14:paraId="41A524C7" w14:textId="77777777" w:rsidR="00966C51" w:rsidRPr="00C40DFE" w:rsidRDefault="00966C51" w:rsidP="00750815">
            <w:pPr>
              <w:pStyle w:val="ListParagraph"/>
              <w:snapToGrid w:val="0"/>
              <w:ind w:left="360"/>
              <w:contextualSpacing w:val="0"/>
              <w:rPr>
                <w:rFonts w:cstheme="minorHAnsi"/>
                <w:sz w:val="20"/>
                <w:szCs w:val="20"/>
                <w:lang w:val="en-US"/>
              </w:rPr>
            </w:pPr>
          </w:p>
          <w:p w14:paraId="7780BB1C" w14:textId="77777777" w:rsidR="00966C51" w:rsidRDefault="00B44FF7" w:rsidP="00750815">
            <w:pPr>
              <w:pStyle w:val="ListParagraph"/>
              <w:numPr>
                <w:ilvl w:val="0"/>
                <w:numId w:val="24"/>
              </w:numPr>
              <w:snapToGrid w:val="0"/>
              <w:contextualSpacing w:val="0"/>
              <w:rPr>
                <w:rFonts w:cstheme="minorHAnsi"/>
                <w:sz w:val="20"/>
                <w:szCs w:val="20"/>
                <w:lang w:val="en-US"/>
              </w:rPr>
            </w:pPr>
            <w:r w:rsidRPr="00C40DFE">
              <w:rPr>
                <w:rFonts w:cstheme="minorHAnsi"/>
                <w:b/>
                <w:bCs/>
                <w:sz w:val="20"/>
                <w:szCs w:val="20"/>
                <w:lang w:val="en-US"/>
              </w:rPr>
              <w:t>Broker-Dealer Health:</w:t>
            </w:r>
            <w:r w:rsidRPr="00C40DFE">
              <w:rPr>
                <w:rFonts w:cstheme="minorHAnsi"/>
                <w:sz w:val="20"/>
                <w:szCs w:val="20"/>
                <w:lang w:val="en-US"/>
              </w:rPr>
              <w:t xml:space="preserve"> If major broker-dealers face solvency issues, it can impact their ability to facilitate trades, potentially impacting liquidity.</w:t>
            </w:r>
          </w:p>
          <w:p w14:paraId="209712B1" w14:textId="77777777" w:rsidR="00966C51" w:rsidRPr="003A5DDA" w:rsidRDefault="00966C51" w:rsidP="00750815">
            <w:pPr>
              <w:snapToGrid w:val="0"/>
              <w:rPr>
                <w:rFonts w:cstheme="minorHAnsi"/>
                <w:sz w:val="20"/>
                <w:szCs w:val="20"/>
                <w:lang w:val="en-US"/>
              </w:rPr>
            </w:pPr>
          </w:p>
        </w:tc>
        <w:tc>
          <w:tcPr>
            <w:tcW w:w="6873" w:type="dxa"/>
            <w:shd w:val="clear" w:color="auto" w:fill="auto"/>
          </w:tcPr>
          <w:p w14:paraId="5EB4CAF8" w14:textId="17CCAB4B" w:rsidR="00966C51" w:rsidRDefault="00B97C04" w:rsidP="00750815">
            <w:pPr>
              <w:pStyle w:val="ListParagraph"/>
              <w:numPr>
                <w:ilvl w:val="0"/>
                <w:numId w:val="25"/>
              </w:numPr>
              <w:snapToGrid w:val="0"/>
              <w:contextualSpacing w:val="0"/>
              <w:rPr>
                <w:rFonts w:cstheme="minorHAnsi"/>
                <w:sz w:val="20"/>
                <w:szCs w:val="20"/>
                <w:lang w:val="en-US"/>
              </w:rPr>
            </w:pPr>
            <w:r w:rsidRPr="00A70196">
              <w:rPr>
                <w:rFonts w:cstheme="minorHAnsi"/>
                <w:b/>
                <w:bCs/>
                <w:sz w:val="20"/>
                <w:szCs w:val="20"/>
                <w:lang w:val="en-US"/>
              </w:rPr>
              <w:t>Labor</w:t>
            </w:r>
            <w:r w:rsidR="00B44FF7" w:rsidRPr="00A70196">
              <w:rPr>
                <w:rFonts w:cstheme="minorHAnsi"/>
                <w:b/>
                <w:bCs/>
                <w:sz w:val="20"/>
                <w:szCs w:val="20"/>
                <w:lang w:val="en-US"/>
              </w:rPr>
              <w:t xml:space="preserve"> and Employment Laws:</w:t>
            </w:r>
            <w:r w:rsidR="00B44FF7" w:rsidRPr="00C40DFE">
              <w:rPr>
                <w:rFonts w:cstheme="minorHAnsi"/>
                <w:sz w:val="20"/>
                <w:szCs w:val="20"/>
                <w:lang w:val="en-US"/>
              </w:rPr>
              <w:t xml:space="preserve"> Changes in </w:t>
            </w:r>
            <w:proofErr w:type="spellStart"/>
            <w:r w:rsidR="00B44FF7" w:rsidRPr="00C40DFE">
              <w:rPr>
                <w:rFonts w:cstheme="minorHAnsi"/>
                <w:sz w:val="20"/>
                <w:szCs w:val="20"/>
                <w:lang w:val="en-US"/>
              </w:rPr>
              <w:t>labour</w:t>
            </w:r>
            <w:proofErr w:type="spellEnd"/>
            <w:r w:rsidR="00B44FF7" w:rsidRPr="00C40DFE">
              <w:rPr>
                <w:rFonts w:cstheme="minorHAnsi"/>
                <w:sz w:val="20"/>
                <w:szCs w:val="20"/>
                <w:lang w:val="en-US"/>
              </w:rPr>
              <w:t xml:space="preserve"> laws, minimum wage requirements, or employee rights can influence a company's operational costs and </w:t>
            </w:r>
            <w:r w:rsidRPr="00C40DFE">
              <w:rPr>
                <w:rFonts w:cstheme="minorHAnsi"/>
                <w:sz w:val="20"/>
                <w:szCs w:val="20"/>
                <w:lang w:val="en-US"/>
              </w:rPr>
              <w:t>labor</w:t>
            </w:r>
            <w:r w:rsidR="00B44FF7" w:rsidRPr="00C40DFE">
              <w:rPr>
                <w:rFonts w:cstheme="minorHAnsi"/>
                <w:sz w:val="20"/>
                <w:szCs w:val="20"/>
                <w:lang w:val="en-US"/>
              </w:rPr>
              <w:t xml:space="preserve"> practices.</w:t>
            </w:r>
            <w:r w:rsidR="00DD35C7">
              <w:rPr>
                <w:rFonts w:cstheme="minorHAnsi"/>
                <w:sz w:val="20"/>
                <w:szCs w:val="20"/>
                <w:lang w:val="en-US"/>
              </w:rPr>
              <w:t xml:space="preserve"> </w:t>
            </w:r>
            <w:r w:rsidR="00DD35C7" w:rsidRPr="005B52BE">
              <w:rPr>
                <w:rFonts w:cstheme="minorHAnsi"/>
                <w:b/>
                <w:bCs/>
                <w:color w:val="00B050"/>
                <w:sz w:val="20"/>
                <w:szCs w:val="20"/>
                <w:lang w:val="en-US"/>
              </w:rPr>
              <w:t>[BOILA]</w:t>
            </w:r>
          </w:p>
          <w:p w14:paraId="58DB6E8C" w14:textId="77777777" w:rsidR="00966C51" w:rsidRPr="00C40DFE" w:rsidRDefault="00966C51" w:rsidP="00750815">
            <w:pPr>
              <w:pStyle w:val="ListParagraph"/>
              <w:snapToGrid w:val="0"/>
              <w:ind w:left="360"/>
              <w:contextualSpacing w:val="0"/>
              <w:rPr>
                <w:rFonts w:cstheme="minorHAnsi"/>
                <w:sz w:val="20"/>
                <w:szCs w:val="20"/>
                <w:lang w:val="en-US"/>
              </w:rPr>
            </w:pPr>
          </w:p>
          <w:p w14:paraId="752CE49F" w14:textId="77777777" w:rsidR="00966C51" w:rsidRDefault="00B44FF7" w:rsidP="00750815">
            <w:pPr>
              <w:pStyle w:val="ListParagraph"/>
              <w:numPr>
                <w:ilvl w:val="0"/>
                <w:numId w:val="25"/>
              </w:numPr>
              <w:snapToGrid w:val="0"/>
              <w:contextualSpacing w:val="0"/>
              <w:rPr>
                <w:rFonts w:cstheme="minorHAnsi"/>
                <w:sz w:val="20"/>
                <w:szCs w:val="20"/>
                <w:lang w:val="en-US"/>
              </w:rPr>
            </w:pPr>
            <w:r w:rsidRPr="00A70196">
              <w:rPr>
                <w:rFonts w:cstheme="minorHAnsi"/>
                <w:b/>
                <w:bCs/>
                <w:sz w:val="20"/>
                <w:szCs w:val="20"/>
                <w:lang w:val="en-US"/>
              </w:rPr>
              <w:t>Securities Regulation:</w:t>
            </w:r>
            <w:r w:rsidRPr="00C40DFE">
              <w:rPr>
                <w:rFonts w:cstheme="minorHAnsi"/>
                <w:sz w:val="20"/>
                <w:szCs w:val="20"/>
                <w:lang w:val="en-US"/>
              </w:rPr>
              <w:t xml:space="preserve"> Regulatory changes around securities trading, reporting requirements, or investor rights can impact how Apple interacts with its shareholders and the broader investment community.</w:t>
            </w:r>
          </w:p>
          <w:p w14:paraId="564B99F4" w14:textId="77777777" w:rsidR="00966C51" w:rsidRPr="00966C51" w:rsidRDefault="00966C51" w:rsidP="00750815">
            <w:pPr>
              <w:pStyle w:val="ListParagraph"/>
              <w:snapToGrid w:val="0"/>
              <w:contextualSpacing w:val="0"/>
              <w:rPr>
                <w:rFonts w:cstheme="minorHAnsi"/>
                <w:sz w:val="20"/>
                <w:szCs w:val="20"/>
                <w:lang w:val="en-US"/>
              </w:rPr>
            </w:pPr>
          </w:p>
          <w:p w14:paraId="2D5DF896" w14:textId="77777777" w:rsidR="00966C51" w:rsidRDefault="00B44FF7" w:rsidP="00750815">
            <w:pPr>
              <w:pStyle w:val="ListParagraph"/>
              <w:numPr>
                <w:ilvl w:val="0"/>
                <w:numId w:val="25"/>
              </w:numPr>
              <w:snapToGrid w:val="0"/>
              <w:contextualSpacing w:val="0"/>
              <w:rPr>
                <w:rFonts w:cstheme="minorHAnsi"/>
                <w:sz w:val="20"/>
                <w:szCs w:val="20"/>
                <w:lang w:val="en-US"/>
              </w:rPr>
            </w:pPr>
            <w:r w:rsidRPr="00A70196">
              <w:rPr>
                <w:rFonts w:cstheme="minorHAnsi"/>
                <w:b/>
                <w:bCs/>
                <w:sz w:val="20"/>
                <w:szCs w:val="20"/>
                <w:lang w:val="en-US"/>
              </w:rPr>
              <w:t>Foreign Operations and Jurisdictional Risk:</w:t>
            </w:r>
            <w:r w:rsidRPr="00C40DFE">
              <w:rPr>
                <w:rFonts w:cstheme="minorHAnsi"/>
                <w:sz w:val="20"/>
                <w:szCs w:val="20"/>
                <w:lang w:val="en-US"/>
              </w:rPr>
              <w:t xml:space="preserve"> Operating in multiple countries exposes a company to myriad regulatory environments. A regulatory change in one key market can have significant implications for operations.</w:t>
            </w:r>
          </w:p>
          <w:p w14:paraId="09166F42" w14:textId="77777777" w:rsidR="00966C51" w:rsidRPr="00966C51" w:rsidRDefault="00966C51" w:rsidP="00750815">
            <w:pPr>
              <w:pStyle w:val="ListParagraph"/>
              <w:snapToGrid w:val="0"/>
              <w:contextualSpacing w:val="0"/>
              <w:rPr>
                <w:rFonts w:cstheme="minorHAnsi"/>
                <w:sz w:val="20"/>
                <w:szCs w:val="20"/>
                <w:lang w:val="en-US"/>
              </w:rPr>
            </w:pPr>
          </w:p>
          <w:p w14:paraId="3CB6E582" w14:textId="77777777" w:rsidR="00966C51" w:rsidRDefault="00B44FF7" w:rsidP="00750815">
            <w:pPr>
              <w:pStyle w:val="ListParagraph"/>
              <w:numPr>
                <w:ilvl w:val="0"/>
                <w:numId w:val="25"/>
              </w:numPr>
              <w:snapToGrid w:val="0"/>
              <w:contextualSpacing w:val="0"/>
              <w:rPr>
                <w:rFonts w:cstheme="minorHAnsi"/>
                <w:sz w:val="20"/>
                <w:szCs w:val="20"/>
                <w:lang w:val="en-US"/>
              </w:rPr>
            </w:pPr>
            <w:r w:rsidRPr="00A70196">
              <w:rPr>
                <w:rFonts w:cstheme="minorHAnsi"/>
                <w:b/>
                <w:bCs/>
                <w:sz w:val="20"/>
                <w:szCs w:val="20"/>
                <w:lang w:val="en-US"/>
              </w:rPr>
              <w:t>Unexpected Policy Shifts:</w:t>
            </w:r>
            <w:r w:rsidRPr="00C40DFE">
              <w:rPr>
                <w:rFonts w:cstheme="minorHAnsi"/>
                <w:sz w:val="20"/>
                <w:szCs w:val="20"/>
                <w:lang w:val="en-US"/>
              </w:rPr>
              <w:t xml:space="preserve"> Sudden or unexpected changes in regulatory policy can introduce uncertainty and disrupt business operations, especially if companies have little time to adapt.</w:t>
            </w:r>
          </w:p>
          <w:p w14:paraId="4F8F7E59" w14:textId="77777777" w:rsidR="009D44FB" w:rsidRPr="009D44FB" w:rsidRDefault="009D44FB" w:rsidP="009D44FB">
            <w:pPr>
              <w:snapToGrid w:val="0"/>
              <w:rPr>
                <w:rFonts w:cstheme="minorHAnsi"/>
                <w:sz w:val="20"/>
                <w:szCs w:val="20"/>
                <w:lang w:val="en-US"/>
              </w:rPr>
            </w:pPr>
          </w:p>
        </w:tc>
      </w:tr>
    </w:tbl>
    <w:p w14:paraId="40D9C27C" w14:textId="77777777" w:rsidR="00A6339C" w:rsidRPr="00966C51" w:rsidRDefault="00A6339C" w:rsidP="00750815">
      <w:pPr>
        <w:pStyle w:val="ListParagraph"/>
        <w:snapToGrid w:val="0"/>
        <w:spacing w:after="0" w:line="240" w:lineRule="auto"/>
        <w:ind w:left="936"/>
        <w:contextualSpacing w:val="0"/>
        <w:rPr>
          <w:rFonts w:cstheme="minorHAnsi"/>
          <w:b/>
          <w:bCs/>
          <w:sz w:val="20"/>
          <w:szCs w:val="20"/>
        </w:rPr>
      </w:pPr>
    </w:p>
    <w:p w14:paraId="7D06DD0B" w14:textId="77777777" w:rsidR="00A6339C" w:rsidRDefault="00A6339C" w:rsidP="00750815">
      <w:pPr>
        <w:pStyle w:val="ListParagraph"/>
        <w:snapToGrid w:val="0"/>
        <w:spacing w:after="0" w:line="240" w:lineRule="auto"/>
        <w:ind w:left="936"/>
        <w:contextualSpacing w:val="0"/>
        <w:rPr>
          <w:rFonts w:cstheme="minorHAnsi"/>
          <w:b/>
          <w:bCs/>
          <w:sz w:val="20"/>
          <w:szCs w:val="20"/>
          <w:lang w:val="en-US"/>
        </w:rPr>
      </w:pPr>
    </w:p>
    <w:p w14:paraId="0B5AF293" w14:textId="77777777" w:rsidR="00A6339C" w:rsidRDefault="00A6339C" w:rsidP="00750815">
      <w:pPr>
        <w:pStyle w:val="ListParagraph"/>
        <w:snapToGrid w:val="0"/>
        <w:spacing w:after="0" w:line="240" w:lineRule="auto"/>
        <w:ind w:left="936"/>
        <w:contextualSpacing w:val="0"/>
        <w:rPr>
          <w:rFonts w:cstheme="minorHAnsi"/>
          <w:b/>
          <w:bCs/>
          <w:sz w:val="20"/>
          <w:szCs w:val="20"/>
          <w:lang w:val="en-US"/>
        </w:rPr>
      </w:pPr>
    </w:p>
    <w:p w14:paraId="3B18A361" w14:textId="77777777" w:rsidR="00A6339C" w:rsidRDefault="00A6339C" w:rsidP="00750815">
      <w:pPr>
        <w:pStyle w:val="ListParagraph"/>
        <w:snapToGrid w:val="0"/>
        <w:spacing w:after="0" w:line="240" w:lineRule="auto"/>
        <w:ind w:left="936"/>
        <w:contextualSpacing w:val="0"/>
        <w:rPr>
          <w:rFonts w:cstheme="minorHAnsi"/>
          <w:b/>
          <w:bCs/>
          <w:sz w:val="20"/>
          <w:szCs w:val="20"/>
          <w:lang w:val="en-US"/>
        </w:rPr>
      </w:pPr>
    </w:p>
    <w:p w14:paraId="3B409FFF" w14:textId="77777777" w:rsidR="00A6339C" w:rsidRDefault="00A6339C" w:rsidP="00750815">
      <w:pPr>
        <w:pStyle w:val="ListParagraph"/>
        <w:snapToGrid w:val="0"/>
        <w:spacing w:after="0" w:line="240" w:lineRule="auto"/>
        <w:ind w:left="936"/>
        <w:contextualSpacing w:val="0"/>
        <w:rPr>
          <w:rFonts w:cstheme="minorHAnsi"/>
          <w:b/>
          <w:bCs/>
          <w:sz w:val="20"/>
          <w:szCs w:val="20"/>
          <w:lang w:val="en-US"/>
        </w:rPr>
      </w:pPr>
    </w:p>
    <w:p w14:paraId="3946D8B9" w14:textId="77777777" w:rsidR="00A6339C" w:rsidRDefault="00A6339C" w:rsidP="00750815">
      <w:pPr>
        <w:pStyle w:val="ListParagraph"/>
        <w:snapToGrid w:val="0"/>
        <w:spacing w:after="0" w:line="240" w:lineRule="auto"/>
        <w:ind w:left="936"/>
        <w:contextualSpacing w:val="0"/>
        <w:rPr>
          <w:rFonts w:cstheme="minorHAnsi"/>
          <w:b/>
          <w:bCs/>
          <w:sz w:val="20"/>
          <w:szCs w:val="20"/>
          <w:lang w:val="en-US"/>
        </w:rPr>
      </w:pPr>
    </w:p>
    <w:p w14:paraId="6DF4F7F0" w14:textId="77777777" w:rsidR="00A6339C" w:rsidRDefault="00A6339C" w:rsidP="00750815">
      <w:pPr>
        <w:pStyle w:val="ListParagraph"/>
        <w:snapToGrid w:val="0"/>
        <w:spacing w:after="0" w:line="240" w:lineRule="auto"/>
        <w:ind w:left="936"/>
        <w:contextualSpacing w:val="0"/>
        <w:rPr>
          <w:rFonts w:cstheme="minorHAnsi"/>
          <w:b/>
          <w:bCs/>
          <w:sz w:val="20"/>
          <w:szCs w:val="20"/>
          <w:lang w:val="en-US"/>
        </w:rPr>
      </w:pPr>
    </w:p>
    <w:p w14:paraId="69D89E02" w14:textId="77777777" w:rsidR="00A6339C" w:rsidRDefault="00A6339C" w:rsidP="00750815">
      <w:pPr>
        <w:pStyle w:val="ListParagraph"/>
        <w:snapToGrid w:val="0"/>
        <w:spacing w:after="0" w:line="240" w:lineRule="auto"/>
        <w:ind w:left="936"/>
        <w:contextualSpacing w:val="0"/>
        <w:rPr>
          <w:rFonts w:cstheme="minorHAnsi"/>
          <w:b/>
          <w:bCs/>
          <w:sz w:val="20"/>
          <w:szCs w:val="20"/>
          <w:lang w:val="en-US"/>
        </w:rPr>
      </w:pPr>
    </w:p>
    <w:p w14:paraId="36329B41" w14:textId="77777777" w:rsidR="00A6339C" w:rsidRDefault="00A6339C" w:rsidP="00750815">
      <w:pPr>
        <w:pStyle w:val="ListParagraph"/>
        <w:snapToGrid w:val="0"/>
        <w:spacing w:after="0" w:line="240" w:lineRule="auto"/>
        <w:ind w:left="936"/>
        <w:contextualSpacing w:val="0"/>
        <w:rPr>
          <w:rFonts w:cstheme="minorHAnsi"/>
          <w:b/>
          <w:bCs/>
          <w:sz w:val="20"/>
          <w:szCs w:val="20"/>
          <w:lang w:val="en-US"/>
        </w:rPr>
      </w:pPr>
    </w:p>
    <w:p w14:paraId="4E7ACF00" w14:textId="77777777" w:rsidR="00966C51" w:rsidRDefault="00966C51" w:rsidP="00750815">
      <w:pPr>
        <w:pStyle w:val="ListParagraph"/>
        <w:snapToGrid w:val="0"/>
        <w:spacing w:after="0" w:line="240" w:lineRule="auto"/>
        <w:ind w:left="936"/>
        <w:contextualSpacing w:val="0"/>
        <w:rPr>
          <w:rFonts w:cstheme="minorHAnsi"/>
          <w:b/>
          <w:bCs/>
          <w:sz w:val="20"/>
          <w:szCs w:val="20"/>
          <w:lang w:val="en-US"/>
        </w:rPr>
      </w:pPr>
    </w:p>
    <w:p w14:paraId="58640A4A" w14:textId="77777777" w:rsidR="00966C51" w:rsidRDefault="00966C51" w:rsidP="00750815">
      <w:pPr>
        <w:pStyle w:val="ListParagraph"/>
        <w:snapToGrid w:val="0"/>
        <w:spacing w:after="0" w:line="240" w:lineRule="auto"/>
        <w:ind w:left="936"/>
        <w:contextualSpacing w:val="0"/>
        <w:rPr>
          <w:rFonts w:cstheme="minorHAnsi"/>
          <w:b/>
          <w:bCs/>
          <w:sz w:val="20"/>
          <w:szCs w:val="20"/>
          <w:lang w:val="en-US"/>
        </w:rPr>
      </w:pPr>
    </w:p>
    <w:p w14:paraId="10EBAA2D" w14:textId="77777777" w:rsidR="003A5DDA" w:rsidRDefault="003A5DDA" w:rsidP="00750815">
      <w:pPr>
        <w:pStyle w:val="ListParagraph"/>
        <w:snapToGrid w:val="0"/>
        <w:spacing w:after="0" w:line="240" w:lineRule="auto"/>
        <w:ind w:left="936"/>
        <w:contextualSpacing w:val="0"/>
        <w:rPr>
          <w:rFonts w:cstheme="minorHAnsi"/>
          <w:b/>
          <w:bCs/>
          <w:sz w:val="20"/>
          <w:szCs w:val="20"/>
          <w:lang w:val="en-US"/>
        </w:rPr>
      </w:pPr>
    </w:p>
    <w:p w14:paraId="3BEC4C67" w14:textId="77777777" w:rsidR="003A5DDA" w:rsidRDefault="003A5DDA" w:rsidP="00750815">
      <w:pPr>
        <w:pStyle w:val="ListParagraph"/>
        <w:snapToGrid w:val="0"/>
        <w:spacing w:after="0" w:line="240" w:lineRule="auto"/>
        <w:ind w:left="936"/>
        <w:contextualSpacing w:val="0"/>
        <w:rPr>
          <w:rFonts w:cstheme="minorHAnsi"/>
          <w:b/>
          <w:bCs/>
          <w:sz w:val="20"/>
          <w:szCs w:val="20"/>
          <w:lang w:val="en-US"/>
        </w:rPr>
      </w:pPr>
    </w:p>
    <w:p w14:paraId="31738C4C"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733BCCE7" w14:textId="77777777" w:rsidR="00966C51" w:rsidRDefault="00966C51" w:rsidP="00750815">
      <w:pPr>
        <w:pStyle w:val="ListParagraph"/>
        <w:snapToGrid w:val="0"/>
        <w:spacing w:after="0" w:line="240" w:lineRule="auto"/>
        <w:ind w:left="936"/>
        <w:contextualSpacing w:val="0"/>
        <w:rPr>
          <w:rFonts w:cstheme="minorHAnsi"/>
          <w:b/>
          <w:bCs/>
          <w:sz w:val="20"/>
          <w:szCs w:val="20"/>
          <w:lang w:val="en-US"/>
        </w:rPr>
      </w:pPr>
    </w:p>
    <w:p w14:paraId="5830B0AE" w14:textId="77777777" w:rsidR="00AA10FD" w:rsidRDefault="00AA10FD" w:rsidP="00750815">
      <w:pPr>
        <w:pStyle w:val="ListParagraph"/>
        <w:snapToGrid w:val="0"/>
        <w:spacing w:after="0" w:line="240" w:lineRule="auto"/>
        <w:ind w:left="936"/>
        <w:contextualSpacing w:val="0"/>
        <w:rPr>
          <w:rFonts w:cstheme="minorHAnsi"/>
          <w:b/>
          <w:bCs/>
          <w:sz w:val="20"/>
          <w:szCs w:val="20"/>
          <w:lang w:val="en-US"/>
        </w:rPr>
      </w:pPr>
    </w:p>
    <w:p w14:paraId="5EF6D94D" w14:textId="77777777" w:rsidR="00AA10FD" w:rsidRDefault="00AA10FD" w:rsidP="00750815">
      <w:pPr>
        <w:pStyle w:val="ListParagraph"/>
        <w:snapToGrid w:val="0"/>
        <w:spacing w:after="0" w:line="240" w:lineRule="auto"/>
        <w:ind w:left="936"/>
        <w:contextualSpacing w:val="0"/>
        <w:rPr>
          <w:rFonts w:cstheme="minorHAnsi"/>
          <w:b/>
          <w:bCs/>
          <w:sz w:val="20"/>
          <w:szCs w:val="20"/>
          <w:lang w:val="en-US"/>
        </w:rPr>
      </w:pPr>
    </w:p>
    <w:p w14:paraId="3EFB53DC" w14:textId="77777777" w:rsidR="00A6339C" w:rsidRDefault="00A6339C" w:rsidP="00750815">
      <w:pPr>
        <w:pStyle w:val="ListParagraph"/>
        <w:snapToGrid w:val="0"/>
        <w:spacing w:after="0" w:line="240" w:lineRule="auto"/>
        <w:ind w:left="936"/>
        <w:contextualSpacing w:val="0"/>
        <w:rPr>
          <w:rFonts w:cstheme="minorHAnsi"/>
          <w:b/>
          <w:bCs/>
          <w:sz w:val="20"/>
          <w:szCs w:val="20"/>
          <w:lang w:val="en-US"/>
        </w:rPr>
      </w:pPr>
    </w:p>
    <w:p w14:paraId="0F84F0DD" w14:textId="77777777" w:rsidR="0055380E" w:rsidRPr="00916CE8" w:rsidRDefault="00B44FF7" w:rsidP="00750815">
      <w:pPr>
        <w:pStyle w:val="ListParagraph"/>
        <w:numPr>
          <w:ilvl w:val="1"/>
          <w:numId w:val="1"/>
        </w:numPr>
        <w:snapToGrid w:val="0"/>
        <w:spacing w:after="0" w:line="240" w:lineRule="auto"/>
        <w:contextualSpacing w:val="0"/>
        <w:rPr>
          <w:rFonts w:cstheme="minorHAnsi"/>
          <w:sz w:val="20"/>
          <w:szCs w:val="20"/>
          <w:lang w:val="en-US"/>
        </w:rPr>
      </w:pPr>
      <w:r w:rsidRPr="00916CE8">
        <w:rPr>
          <w:rFonts w:cstheme="minorHAnsi"/>
          <w:b/>
          <w:bCs/>
          <w:sz w:val="20"/>
          <w:szCs w:val="20"/>
          <w:lang w:val="en-US"/>
        </w:rPr>
        <w:lastRenderedPageBreak/>
        <w:t>Student: Yhasreen for bond and equity</w:t>
      </w:r>
      <w:r w:rsidR="00F25FB2">
        <w:rPr>
          <w:rFonts w:cstheme="minorHAnsi"/>
          <w:b/>
          <w:bCs/>
          <w:sz w:val="20"/>
          <w:szCs w:val="20"/>
          <w:lang w:val="en-US"/>
        </w:rPr>
        <w:t xml:space="preserve"> </w:t>
      </w:r>
      <w:r w:rsidR="002955B6">
        <w:rPr>
          <w:rFonts w:cstheme="minorHAnsi"/>
          <w:b/>
          <w:bCs/>
          <w:sz w:val="20"/>
          <w:szCs w:val="20"/>
          <w:lang w:val="en-US"/>
        </w:rPr>
        <w:t xml:space="preserve">frictional </w:t>
      </w:r>
      <w:r w:rsidR="00F25FB2">
        <w:rPr>
          <w:rFonts w:cstheme="minorHAnsi"/>
          <w:b/>
          <w:bCs/>
          <w:sz w:val="20"/>
          <w:szCs w:val="20"/>
          <w:lang w:val="en-US"/>
        </w:rPr>
        <w:t>risk</w:t>
      </w:r>
    </w:p>
    <w:tbl>
      <w:tblPr>
        <w:tblStyle w:val="TableGrid"/>
        <w:tblW w:w="0" w:type="auto"/>
        <w:tblLook w:val="04A0" w:firstRow="1" w:lastRow="0" w:firstColumn="1" w:lastColumn="0" w:noHBand="0" w:noVBand="1"/>
      </w:tblPr>
      <w:tblGrid>
        <w:gridCol w:w="473"/>
        <w:gridCol w:w="318"/>
        <w:gridCol w:w="1278"/>
        <w:gridCol w:w="6446"/>
        <w:gridCol w:w="6873"/>
      </w:tblGrid>
      <w:tr w:rsidR="00FD43CB" w14:paraId="44D78C64" w14:textId="77777777" w:rsidTr="00520261">
        <w:tc>
          <w:tcPr>
            <w:tcW w:w="2069" w:type="dxa"/>
            <w:gridSpan w:val="3"/>
            <w:vMerge w:val="restart"/>
            <w:shd w:val="clear" w:color="auto" w:fill="F2F2F2" w:themeFill="background1" w:themeFillShade="F2"/>
            <w:vAlign w:val="center"/>
          </w:tcPr>
          <w:p w14:paraId="7A1914B7" w14:textId="77777777" w:rsidR="0055380E" w:rsidRPr="007306AF" w:rsidRDefault="00B44FF7" w:rsidP="00750815">
            <w:pPr>
              <w:pStyle w:val="ListParagraph"/>
              <w:snapToGrid w:val="0"/>
              <w:ind w:left="0"/>
              <w:contextualSpacing w:val="0"/>
              <w:jc w:val="center"/>
              <w:rPr>
                <w:rFonts w:cstheme="minorHAnsi"/>
                <w:b/>
                <w:bCs/>
                <w:sz w:val="20"/>
                <w:szCs w:val="20"/>
                <w:lang w:val="en-US"/>
              </w:rPr>
            </w:pPr>
            <w:r w:rsidRPr="007306AF">
              <w:rPr>
                <w:rFonts w:cstheme="minorHAnsi"/>
                <w:b/>
                <w:bCs/>
                <w:sz w:val="20"/>
                <w:szCs w:val="20"/>
                <w:lang w:val="en-US"/>
              </w:rPr>
              <w:t>Table 2</w:t>
            </w:r>
          </w:p>
        </w:tc>
        <w:tc>
          <w:tcPr>
            <w:tcW w:w="13319" w:type="dxa"/>
            <w:gridSpan w:val="2"/>
            <w:shd w:val="clear" w:color="auto" w:fill="F2F2F2" w:themeFill="background1" w:themeFillShade="F2"/>
            <w:vAlign w:val="center"/>
          </w:tcPr>
          <w:p w14:paraId="2F3CA6CB" w14:textId="77777777" w:rsidR="0055380E" w:rsidRPr="007306AF" w:rsidRDefault="00B44FF7" w:rsidP="00750815">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 xml:space="preserve">Frictional </w:t>
            </w:r>
            <w:r w:rsidRPr="007306AF">
              <w:rPr>
                <w:rFonts w:cstheme="minorHAnsi"/>
                <w:b/>
                <w:bCs/>
                <w:sz w:val="20"/>
                <w:szCs w:val="20"/>
                <w:lang w:val="en-US"/>
              </w:rPr>
              <w:t xml:space="preserve">Related </w:t>
            </w:r>
            <w:r>
              <w:rPr>
                <w:rFonts w:cstheme="minorHAnsi"/>
                <w:b/>
                <w:bCs/>
                <w:sz w:val="20"/>
                <w:szCs w:val="20"/>
                <w:lang w:val="en-US"/>
              </w:rPr>
              <w:t>Challenges</w:t>
            </w:r>
          </w:p>
        </w:tc>
      </w:tr>
      <w:tr w:rsidR="00FD43CB" w14:paraId="622462BC" w14:textId="77777777" w:rsidTr="00520261">
        <w:tc>
          <w:tcPr>
            <w:tcW w:w="2069" w:type="dxa"/>
            <w:gridSpan w:val="3"/>
            <w:vMerge/>
            <w:shd w:val="clear" w:color="auto" w:fill="F2F2F2" w:themeFill="background1" w:themeFillShade="F2"/>
          </w:tcPr>
          <w:p w14:paraId="1C31BF95" w14:textId="77777777" w:rsidR="0055380E" w:rsidRPr="007306AF" w:rsidRDefault="0055380E" w:rsidP="00750815">
            <w:pPr>
              <w:pStyle w:val="ListParagraph"/>
              <w:snapToGrid w:val="0"/>
              <w:ind w:left="0"/>
              <w:contextualSpacing w:val="0"/>
              <w:jc w:val="center"/>
              <w:rPr>
                <w:rFonts w:cstheme="minorHAnsi"/>
                <w:b/>
                <w:bCs/>
                <w:sz w:val="20"/>
                <w:szCs w:val="20"/>
                <w:lang w:val="en-US"/>
              </w:rPr>
            </w:pPr>
          </w:p>
        </w:tc>
        <w:tc>
          <w:tcPr>
            <w:tcW w:w="6446" w:type="dxa"/>
            <w:shd w:val="clear" w:color="auto" w:fill="F2F2F2" w:themeFill="background1" w:themeFillShade="F2"/>
            <w:vAlign w:val="center"/>
          </w:tcPr>
          <w:p w14:paraId="3B8F7625" w14:textId="77777777" w:rsidR="0055380E" w:rsidRPr="007306AF" w:rsidRDefault="00B44FF7" w:rsidP="00750815">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Financing</w:t>
            </w:r>
            <w:r w:rsidRPr="007306AF">
              <w:rPr>
                <w:rFonts w:cstheme="minorHAnsi"/>
                <w:b/>
                <w:bCs/>
                <w:sz w:val="20"/>
                <w:szCs w:val="20"/>
                <w:lang w:val="en-US"/>
              </w:rPr>
              <w:t xml:space="preserve"> issues</w:t>
            </w:r>
          </w:p>
        </w:tc>
        <w:tc>
          <w:tcPr>
            <w:tcW w:w="6873" w:type="dxa"/>
            <w:shd w:val="clear" w:color="auto" w:fill="F2F2F2" w:themeFill="background1" w:themeFillShade="F2"/>
            <w:vAlign w:val="center"/>
          </w:tcPr>
          <w:p w14:paraId="09B43A11" w14:textId="77777777" w:rsidR="0055380E" w:rsidRPr="007306AF" w:rsidRDefault="00B44FF7" w:rsidP="00750815">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Legality</w:t>
            </w:r>
            <w:r w:rsidRPr="007306AF">
              <w:rPr>
                <w:rFonts w:cstheme="minorHAnsi"/>
                <w:b/>
                <w:bCs/>
                <w:sz w:val="20"/>
                <w:szCs w:val="20"/>
                <w:lang w:val="en-US"/>
              </w:rPr>
              <w:t xml:space="preserve"> issues</w:t>
            </w:r>
          </w:p>
        </w:tc>
      </w:tr>
      <w:tr w:rsidR="00FD43CB" w14:paraId="7474F92A" w14:textId="77777777" w:rsidTr="00520261">
        <w:tc>
          <w:tcPr>
            <w:tcW w:w="2069" w:type="dxa"/>
            <w:gridSpan w:val="3"/>
            <w:vMerge/>
            <w:shd w:val="clear" w:color="auto" w:fill="F2F2F2" w:themeFill="background1" w:themeFillShade="F2"/>
          </w:tcPr>
          <w:p w14:paraId="28ECA7DB" w14:textId="77777777" w:rsidR="0055380E" w:rsidRPr="007306AF" w:rsidRDefault="0055380E" w:rsidP="00750815">
            <w:pPr>
              <w:pStyle w:val="ListParagraph"/>
              <w:snapToGrid w:val="0"/>
              <w:ind w:left="0"/>
              <w:contextualSpacing w:val="0"/>
              <w:jc w:val="center"/>
              <w:rPr>
                <w:rFonts w:cstheme="minorHAnsi"/>
                <w:b/>
                <w:bCs/>
                <w:sz w:val="20"/>
                <w:szCs w:val="20"/>
                <w:lang w:val="en-US"/>
              </w:rPr>
            </w:pPr>
          </w:p>
        </w:tc>
        <w:tc>
          <w:tcPr>
            <w:tcW w:w="6446" w:type="dxa"/>
            <w:shd w:val="clear" w:color="auto" w:fill="F2F2F2" w:themeFill="background1" w:themeFillShade="F2"/>
            <w:vAlign w:val="center"/>
          </w:tcPr>
          <w:p w14:paraId="19F04312" w14:textId="77777777" w:rsidR="0055380E" w:rsidRPr="007306AF" w:rsidRDefault="00B44FF7" w:rsidP="00750815">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Liquidity</w:t>
            </w:r>
            <w:r w:rsidR="003273EC">
              <w:rPr>
                <w:rFonts w:cstheme="minorHAnsi"/>
                <w:b/>
                <w:bCs/>
                <w:sz w:val="20"/>
                <w:szCs w:val="20"/>
                <w:lang w:val="en-US"/>
              </w:rPr>
              <w:t xml:space="preserve"> Risk</w:t>
            </w:r>
          </w:p>
        </w:tc>
        <w:tc>
          <w:tcPr>
            <w:tcW w:w="6873" w:type="dxa"/>
            <w:shd w:val="clear" w:color="auto" w:fill="F2F2F2" w:themeFill="background1" w:themeFillShade="F2"/>
            <w:vAlign w:val="center"/>
          </w:tcPr>
          <w:p w14:paraId="3149BA18" w14:textId="77777777" w:rsidR="0055380E" w:rsidRPr="007306AF" w:rsidRDefault="00B44FF7" w:rsidP="00750815">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Regulation</w:t>
            </w:r>
            <w:r w:rsidR="003273EC">
              <w:rPr>
                <w:rFonts w:cstheme="minorHAnsi"/>
                <w:b/>
                <w:bCs/>
                <w:sz w:val="20"/>
                <w:szCs w:val="20"/>
                <w:lang w:val="en-US"/>
              </w:rPr>
              <w:t xml:space="preserve"> Risk/ Regulatory Risk</w:t>
            </w:r>
          </w:p>
        </w:tc>
      </w:tr>
      <w:tr w:rsidR="00FD43CB" w14:paraId="78925166" w14:textId="77777777" w:rsidTr="000D3C42">
        <w:tc>
          <w:tcPr>
            <w:tcW w:w="0" w:type="auto"/>
            <w:shd w:val="clear" w:color="auto" w:fill="F2F2F2" w:themeFill="background1" w:themeFillShade="F2"/>
            <w:textDirection w:val="btLr"/>
          </w:tcPr>
          <w:p w14:paraId="4687C747" w14:textId="77777777" w:rsidR="0055380E" w:rsidRPr="007306AF" w:rsidRDefault="00B44FF7" w:rsidP="00750815">
            <w:pPr>
              <w:pStyle w:val="ListParagraph"/>
              <w:snapToGrid w:val="0"/>
              <w:ind w:left="0"/>
              <w:contextualSpacing w:val="0"/>
              <w:jc w:val="center"/>
              <w:rPr>
                <w:rFonts w:cstheme="minorHAnsi"/>
                <w:b/>
                <w:bCs/>
                <w:sz w:val="20"/>
                <w:szCs w:val="20"/>
                <w:lang w:val="en-US"/>
              </w:rPr>
            </w:pPr>
            <w:r w:rsidRPr="007306AF">
              <w:rPr>
                <w:rFonts w:cstheme="minorHAnsi"/>
                <w:b/>
                <w:bCs/>
                <w:sz w:val="20"/>
                <w:szCs w:val="20"/>
                <w:lang w:val="en-US"/>
              </w:rPr>
              <w:t>Security lending scenarios</w:t>
            </w:r>
          </w:p>
        </w:tc>
        <w:tc>
          <w:tcPr>
            <w:tcW w:w="0" w:type="auto"/>
            <w:shd w:val="clear" w:color="auto" w:fill="F2F2F2" w:themeFill="background1" w:themeFillShade="F2"/>
            <w:vAlign w:val="center"/>
          </w:tcPr>
          <w:p w14:paraId="61F4D4EB" w14:textId="77777777" w:rsidR="0055380E" w:rsidRPr="007306AF" w:rsidRDefault="00B44FF7" w:rsidP="00750815">
            <w:pPr>
              <w:pStyle w:val="ListParagraph"/>
              <w:snapToGrid w:val="0"/>
              <w:ind w:left="0"/>
              <w:contextualSpacing w:val="0"/>
              <w:jc w:val="center"/>
              <w:rPr>
                <w:rFonts w:cstheme="minorHAnsi"/>
                <w:b/>
                <w:bCs/>
                <w:sz w:val="20"/>
                <w:szCs w:val="20"/>
                <w:lang w:val="en-US"/>
              </w:rPr>
            </w:pPr>
            <w:r w:rsidRPr="007306AF">
              <w:rPr>
                <w:rFonts w:cstheme="minorHAnsi"/>
                <w:b/>
                <w:bCs/>
                <w:sz w:val="20"/>
                <w:szCs w:val="20"/>
                <w:lang w:val="en-US"/>
              </w:rPr>
              <w:t>5</w:t>
            </w:r>
          </w:p>
        </w:tc>
        <w:tc>
          <w:tcPr>
            <w:tcW w:w="1278" w:type="dxa"/>
            <w:shd w:val="clear" w:color="auto" w:fill="F2F2F2" w:themeFill="background1" w:themeFillShade="F2"/>
            <w:vAlign w:val="center"/>
          </w:tcPr>
          <w:p w14:paraId="08992B51" w14:textId="77777777" w:rsidR="0055380E" w:rsidRDefault="00B44FF7" w:rsidP="00750815">
            <w:pPr>
              <w:pStyle w:val="ListParagraph"/>
              <w:snapToGrid w:val="0"/>
              <w:ind w:left="0"/>
              <w:contextualSpacing w:val="0"/>
              <w:rPr>
                <w:rFonts w:cstheme="minorHAnsi"/>
                <w:b/>
                <w:bCs/>
                <w:sz w:val="20"/>
                <w:szCs w:val="20"/>
                <w:lang w:val="en-US"/>
              </w:rPr>
            </w:pPr>
            <w:r w:rsidRPr="007306AF">
              <w:rPr>
                <w:rFonts w:cstheme="minorHAnsi"/>
                <w:b/>
                <w:bCs/>
                <w:sz w:val="20"/>
                <w:szCs w:val="20"/>
                <w:lang w:val="en-US"/>
              </w:rPr>
              <w:t xml:space="preserve">2-year </w:t>
            </w:r>
          </w:p>
          <w:p w14:paraId="771F8423" w14:textId="77777777" w:rsidR="0055380E" w:rsidRPr="007306AF" w:rsidRDefault="00B44FF7" w:rsidP="00750815">
            <w:pPr>
              <w:pStyle w:val="ListParagraph"/>
              <w:snapToGrid w:val="0"/>
              <w:ind w:left="0"/>
              <w:contextualSpacing w:val="0"/>
              <w:rPr>
                <w:rFonts w:cstheme="minorHAnsi"/>
                <w:b/>
                <w:bCs/>
                <w:sz w:val="20"/>
                <w:szCs w:val="20"/>
                <w:lang w:val="en-US"/>
              </w:rPr>
            </w:pPr>
            <w:r w:rsidRPr="007306AF">
              <w:rPr>
                <w:rFonts w:cstheme="minorHAnsi"/>
                <w:b/>
                <w:bCs/>
                <w:sz w:val="20"/>
                <w:szCs w:val="20"/>
                <w:lang w:val="en-US"/>
              </w:rPr>
              <w:t xml:space="preserve">Treasury </w:t>
            </w:r>
          </w:p>
          <w:p w14:paraId="0F1D1805" w14:textId="77777777" w:rsidR="0055380E" w:rsidRDefault="00B44FF7" w:rsidP="00750815">
            <w:pPr>
              <w:pStyle w:val="ListParagraph"/>
              <w:snapToGrid w:val="0"/>
              <w:ind w:left="0"/>
              <w:contextualSpacing w:val="0"/>
              <w:rPr>
                <w:rFonts w:cstheme="minorHAnsi"/>
                <w:b/>
                <w:bCs/>
                <w:sz w:val="20"/>
                <w:szCs w:val="20"/>
                <w:lang w:val="en-US"/>
              </w:rPr>
            </w:pPr>
            <w:r w:rsidRPr="007306AF">
              <w:rPr>
                <w:rFonts w:cstheme="minorHAnsi"/>
                <w:b/>
                <w:bCs/>
                <w:sz w:val="20"/>
                <w:szCs w:val="20"/>
                <w:lang w:val="en-US"/>
              </w:rPr>
              <w:t xml:space="preserve">Bond </w:t>
            </w:r>
          </w:p>
          <w:p w14:paraId="6A2F4178" w14:textId="77777777" w:rsidR="0055380E" w:rsidRPr="007306AF" w:rsidRDefault="00B44FF7" w:rsidP="00750815">
            <w:pPr>
              <w:pStyle w:val="ListParagraph"/>
              <w:snapToGrid w:val="0"/>
              <w:ind w:left="0"/>
              <w:contextualSpacing w:val="0"/>
              <w:rPr>
                <w:rFonts w:cstheme="minorHAnsi"/>
                <w:b/>
                <w:bCs/>
                <w:sz w:val="20"/>
                <w:szCs w:val="20"/>
                <w:lang w:val="en-US"/>
              </w:rPr>
            </w:pPr>
            <w:r w:rsidRPr="007306AF">
              <w:rPr>
                <w:rFonts w:cstheme="minorHAnsi"/>
                <w:b/>
                <w:bCs/>
                <w:sz w:val="20"/>
                <w:szCs w:val="20"/>
                <w:lang w:val="en-US"/>
              </w:rPr>
              <w:t>Investment</w:t>
            </w:r>
          </w:p>
        </w:tc>
        <w:tc>
          <w:tcPr>
            <w:tcW w:w="6446" w:type="dxa"/>
            <w:shd w:val="clear" w:color="auto" w:fill="auto"/>
          </w:tcPr>
          <w:p w14:paraId="31EF87A3" w14:textId="77777777" w:rsidR="00A6339C" w:rsidRPr="00A6339C" w:rsidRDefault="00B44FF7" w:rsidP="00750815">
            <w:pPr>
              <w:pStyle w:val="ListParagraph"/>
              <w:numPr>
                <w:ilvl w:val="0"/>
                <w:numId w:val="7"/>
              </w:numPr>
              <w:snapToGrid w:val="0"/>
              <w:contextualSpacing w:val="0"/>
              <w:rPr>
                <w:rFonts w:cstheme="minorHAnsi"/>
                <w:sz w:val="20"/>
                <w:szCs w:val="20"/>
                <w:lang w:val="en-US"/>
              </w:rPr>
            </w:pPr>
            <w:r w:rsidRPr="00A6339C">
              <w:rPr>
                <w:rFonts w:cstheme="minorHAnsi"/>
                <w:b/>
                <w:bCs/>
                <w:sz w:val="20"/>
                <w:szCs w:val="20"/>
                <w:lang w:val="en-US"/>
              </w:rPr>
              <w:t>Generally, Liquidity:</w:t>
            </w:r>
            <w:r w:rsidRPr="00A6339C">
              <w:rPr>
                <w:rFonts w:cstheme="minorHAnsi"/>
                <w:sz w:val="20"/>
                <w:szCs w:val="20"/>
                <w:lang w:val="en-US"/>
              </w:rPr>
              <w:t xml:space="preserve"> U.S. Treasury bonds, including 2-year Treasury bonds, are generally considered highly liquid worldwide. The high demand and regular issuance of these securities by the U.S. government mean there is usually a ready market for buying and selling.</w:t>
            </w:r>
            <w:r>
              <w:rPr>
                <w:rFonts w:cstheme="minorHAnsi"/>
                <w:sz w:val="20"/>
                <w:szCs w:val="20"/>
                <w:lang w:val="en-US"/>
              </w:rPr>
              <w:t xml:space="preserve"> </w:t>
            </w:r>
            <w:r w:rsidRPr="00A6339C">
              <w:rPr>
                <w:rFonts w:cstheme="minorHAnsi"/>
                <w:b/>
                <w:bCs/>
                <w:sz w:val="20"/>
                <w:szCs w:val="20"/>
                <w:lang w:val="en-US"/>
              </w:rPr>
              <w:t>Reduced Activity Outside of U.S. Market Hours:</w:t>
            </w:r>
            <w:r w:rsidRPr="00A6339C">
              <w:rPr>
                <w:rFonts w:cstheme="minorHAnsi"/>
                <w:sz w:val="20"/>
                <w:szCs w:val="20"/>
                <w:lang w:val="en-US"/>
              </w:rPr>
              <w:t xml:space="preserve"> Liquidity can be slightly reduced outside the primary U.S. market hours</w:t>
            </w:r>
            <w:r w:rsidR="00D332D4">
              <w:rPr>
                <w:rFonts w:cstheme="minorHAnsi"/>
                <w:sz w:val="20"/>
                <w:szCs w:val="20"/>
                <w:lang w:val="en-US"/>
              </w:rPr>
              <w:t xml:space="preserve"> as</w:t>
            </w:r>
            <w:r w:rsidRPr="00A6339C">
              <w:rPr>
                <w:rFonts w:cstheme="minorHAnsi"/>
                <w:sz w:val="20"/>
                <w:szCs w:val="20"/>
                <w:lang w:val="en-US"/>
              </w:rPr>
              <w:t xml:space="preserve"> the bulk of the activity is during U.S. hours.</w:t>
            </w:r>
          </w:p>
          <w:p w14:paraId="4D335965" w14:textId="77777777" w:rsidR="00A6339C" w:rsidRPr="00A6339C" w:rsidRDefault="00B44FF7" w:rsidP="00750815">
            <w:pPr>
              <w:pStyle w:val="ListParagraph"/>
              <w:numPr>
                <w:ilvl w:val="0"/>
                <w:numId w:val="7"/>
              </w:numPr>
              <w:snapToGrid w:val="0"/>
              <w:contextualSpacing w:val="0"/>
              <w:rPr>
                <w:rFonts w:cstheme="minorHAnsi"/>
                <w:sz w:val="20"/>
                <w:szCs w:val="20"/>
                <w:lang w:val="en-US"/>
              </w:rPr>
            </w:pPr>
            <w:r w:rsidRPr="00A6339C">
              <w:rPr>
                <w:rFonts w:cstheme="minorHAnsi"/>
                <w:b/>
                <w:bCs/>
                <w:sz w:val="20"/>
                <w:szCs w:val="20"/>
                <w:lang w:val="en-US"/>
              </w:rPr>
              <w:t>Short Duration:</w:t>
            </w:r>
            <w:r w:rsidRPr="00A6339C">
              <w:rPr>
                <w:rFonts w:cstheme="minorHAnsi"/>
                <w:sz w:val="20"/>
                <w:szCs w:val="20"/>
                <w:lang w:val="en-US"/>
              </w:rPr>
              <w:t xml:space="preserve"> Given the short maturity of a 2-year bond, the liquidity risk is generally lower than for longer-term bonds like 30-year Treasuries. Given the shorter time horizon, investors are more willing to hold to maturity or step in and buy these bonds.</w:t>
            </w:r>
          </w:p>
          <w:p w14:paraId="45F96815" w14:textId="77777777" w:rsidR="00A6339C" w:rsidRPr="00A6339C" w:rsidRDefault="00B44FF7" w:rsidP="00750815">
            <w:pPr>
              <w:pStyle w:val="ListParagraph"/>
              <w:numPr>
                <w:ilvl w:val="0"/>
                <w:numId w:val="7"/>
              </w:numPr>
              <w:snapToGrid w:val="0"/>
              <w:contextualSpacing w:val="0"/>
              <w:rPr>
                <w:rFonts w:cstheme="minorHAnsi"/>
                <w:sz w:val="20"/>
                <w:szCs w:val="20"/>
                <w:lang w:val="en-US"/>
              </w:rPr>
            </w:pPr>
            <w:r w:rsidRPr="00A6339C">
              <w:rPr>
                <w:rFonts w:cstheme="minorHAnsi"/>
                <w:b/>
                <w:bCs/>
                <w:sz w:val="20"/>
                <w:szCs w:val="20"/>
                <w:lang w:val="en-US"/>
              </w:rPr>
              <w:t>Flight to Safe</w:t>
            </w:r>
            <w:r>
              <w:rPr>
                <w:rFonts w:cstheme="minorHAnsi"/>
                <w:b/>
                <w:bCs/>
                <w:sz w:val="20"/>
                <w:szCs w:val="20"/>
                <w:lang w:val="en-US"/>
              </w:rPr>
              <w:t xml:space="preserve"> Investments</w:t>
            </w:r>
            <w:r w:rsidRPr="00A6339C">
              <w:rPr>
                <w:rFonts w:cstheme="minorHAnsi"/>
                <w:b/>
                <w:bCs/>
                <w:sz w:val="20"/>
                <w:szCs w:val="20"/>
                <w:lang w:val="en-US"/>
              </w:rPr>
              <w:t>:</w:t>
            </w:r>
            <w:r w:rsidRPr="00A6339C">
              <w:rPr>
                <w:rFonts w:cstheme="minorHAnsi"/>
                <w:sz w:val="20"/>
                <w:szCs w:val="20"/>
                <w:lang w:val="en-US"/>
              </w:rPr>
              <w:t xml:space="preserve"> In times of economic uncertainty or market volatility, investors flock to safe-haven assets like U.S. Treasuries. This "flight to safety" can increase demand and, in turn, liquidity for 2-year Treasury bonds.</w:t>
            </w:r>
          </w:p>
          <w:p w14:paraId="7D0979BE" w14:textId="3B549817" w:rsidR="00A6339C" w:rsidRPr="00104D45" w:rsidRDefault="00B44FF7" w:rsidP="00104D45">
            <w:pPr>
              <w:pStyle w:val="ListParagraph"/>
              <w:numPr>
                <w:ilvl w:val="0"/>
                <w:numId w:val="7"/>
              </w:numPr>
              <w:snapToGrid w:val="0"/>
              <w:contextualSpacing w:val="0"/>
              <w:rPr>
                <w:rFonts w:cstheme="minorHAnsi"/>
                <w:sz w:val="20"/>
                <w:szCs w:val="20"/>
                <w:lang w:val="en-US"/>
              </w:rPr>
            </w:pPr>
            <w:r w:rsidRPr="00A6339C">
              <w:rPr>
                <w:rFonts w:cstheme="minorHAnsi"/>
                <w:b/>
                <w:bCs/>
                <w:sz w:val="20"/>
                <w:szCs w:val="20"/>
                <w:lang w:val="en-US"/>
              </w:rPr>
              <w:t>Potential Decreases in Demand:</w:t>
            </w:r>
            <w:r w:rsidRPr="00A6339C">
              <w:rPr>
                <w:rFonts w:cstheme="minorHAnsi"/>
                <w:sz w:val="20"/>
                <w:szCs w:val="20"/>
                <w:lang w:val="en-US"/>
              </w:rPr>
              <w:t xml:space="preserve"> While U.S. Treasuries are highly sought-after, shifts in investor sentiment or significant policy changes</w:t>
            </w:r>
            <w:r w:rsidR="00D332D4">
              <w:rPr>
                <w:rFonts w:cstheme="minorHAnsi"/>
                <w:sz w:val="20"/>
                <w:szCs w:val="20"/>
                <w:lang w:val="en-US"/>
              </w:rPr>
              <w:t xml:space="preserve"> </w:t>
            </w:r>
            <w:r w:rsidRPr="00A6339C">
              <w:rPr>
                <w:rFonts w:cstheme="minorHAnsi"/>
                <w:sz w:val="20"/>
                <w:szCs w:val="20"/>
                <w:lang w:val="en-US"/>
              </w:rPr>
              <w:t>from the Federal Reserve can reduce demand and liquidity.</w:t>
            </w:r>
            <w:r w:rsidR="00104D45">
              <w:rPr>
                <w:rFonts w:cstheme="minorHAnsi"/>
                <w:sz w:val="20"/>
                <w:szCs w:val="20"/>
                <w:lang w:val="en-US"/>
              </w:rPr>
              <w:t xml:space="preserve"> </w:t>
            </w:r>
            <w:r w:rsidRPr="00104D45">
              <w:rPr>
                <w:rFonts w:cstheme="minorHAnsi"/>
                <w:sz w:val="20"/>
                <w:szCs w:val="20"/>
                <w:lang w:val="en-US"/>
              </w:rPr>
              <w:t>The U.S. Treasury regularly issues new bonds. Large issuances can impact the market dynamics, including the liquidity of existing bonds.</w:t>
            </w:r>
          </w:p>
          <w:p w14:paraId="6F906049" w14:textId="77777777" w:rsidR="00A6339C" w:rsidRPr="00A6339C" w:rsidRDefault="00B44FF7" w:rsidP="00750815">
            <w:pPr>
              <w:pStyle w:val="ListParagraph"/>
              <w:numPr>
                <w:ilvl w:val="0"/>
                <w:numId w:val="7"/>
              </w:numPr>
              <w:snapToGrid w:val="0"/>
              <w:contextualSpacing w:val="0"/>
              <w:rPr>
                <w:rFonts w:cstheme="minorHAnsi"/>
                <w:sz w:val="20"/>
                <w:szCs w:val="20"/>
                <w:lang w:val="en-US"/>
              </w:rPr>
            </w:pPr>
            <w:r w:rsidRPr="00A6339C">
              <w:rPr>
                <w:rFonts w:cstheme="minorHAnsi"/>
                <w:b/>
                <w:bCs/>
                <w:sz w:val="20"/>
                <w:szCs w:val="20"/>
                <w:lang w:val="en-US"/>
              </w:rPr>
              <w:t>Foreign Holdings:</w:t>
            </w:r>
            <w:r w:rsidRPr="00A6339C">
              <w:rPr>
                <w:rFonts w:cstheme="minorHAnsi"/>
                <w:sz w:val="20"/>
                <w:szCs w:val="20"/>
                <w:lang w:val="en-US"/>
              </w:rPr>
              <w:t xml:space="preserve"> Foreign governments and entities hold a significant portion of U.S. Treasury bonds. Large sales or purchases by these entities can impact the market's liquidity.</w:t>
            </w:r>
          </w:p>
          <w:p w14:paraId="10CAD0E0" w14:textId="77777777" w:rsidR="00A6339C" w:rsidRPr="00A6339C" w:rsidRDefault="00B44FF7" w:rsidP="00750815">
            <w:pPr>
              <w:pStyle w:val="ListParagraph"/>
              <w:numPr>
                <w:ilvl w:val="0"/>
                <w:numId w:val="7"/>
              </w:numPr>
              <w:snapToGrid w:val="0"/>
              <w:contextualSpacing w:val="0"/>
              <w:rPr>
                <w:rFonts w:cstheme="minorHAnsi"/>
                <w:sz w:val="20"/>
                <w:szCs w:val="20"/>
                <w:lang w:val="en-US"/>
              </w:rPr>
            </w:pPr>
            <w:r w:rsidRPr="00A6339C">
              <w:rPr>
                <w:rFonts w:cstheme="minorHAnsi"/>
                <w:b/>
                <w:bCs/>
                <w:sz w:val="20"/>
                <w:szCs w:val="20"/>
                <w:lang w:val="en-US"/>
              </w:rPr>
              <w:t>Shifts in Yield Curve</w:t>
            </w:r>
            <w:r w:rsidRPr="00A6339C">
              <w:rPr>
                <w:rFonts w:cstheme="minorHAnsi"/>
                <w:sz w:val="20"/>
                <w:szCs w:val="20"/>
                <w:lang w:val="en-US"/>
              </w:rPr>
              <w:t>: Movements in the yield curve can affect the demand for different maturities of Treasury bonds. If there is a sudden shift in the yield curve, it might momentarily impact the liquidity of 2-year Treasury bonds.</w:t>
            </w:r>
          </w:p>
          <w:p w14:paraId="4FBBDAB2" w14:textId="77777777" w:rsidR="00A6339C" w:rsidRPr="00A6339C" w:rsidRDefault="00B44FF7" w:rsidP="00750815">
            <w:pPr>
              <w:pStyle w:val="ListParagraph"/>
              <w:numPr>
                <w:ilvl w:val="0"/>
                <w:numId w:val="7"/>
              </w:numPr>
              <w:snapToGrid w:val="0"/>
              <w:contextualSpacing w:val="0"/>
              <w:rPr>
                <w:rFonts w:cstheme="minorHAnsi"/>
                <w:sz w:val="20"/>
                <w:szCs w:val="20"/>
                <w:lang w:val="en-US"/>
              </w:rPr>
            </w:pPr>
            <w:r w:rsidRPr="00A6339C">
              <w:rPr>
                <w:rFonts w:cstheme="minorHAnsi"/>
                <w:b/>
                <w:bCs/>
                <w:sz w:val="20"/>
                <w:szCs w:val="20"/>
                <w:lang w:val="en-US"/>
              </w:rPr>
              <w:t>Market Disruptions:</w:t>
            </w:r>
            <w:r w:rsidRPr="00A6339C">
              <w:rPr>
                <w:rFonts w:cstheme="minorHAnsi"/>
                <w:sz w:val="20"/>
                <w:szCs w:val="20"/>
                <w:lang w:val="en-US"/>
              </w:rPr>
              <w:t xml:space="preserve"> Situations like a government shutdown or debates over the U.S. debt ceiling can introduce uncertainty and temporarily impact the Liquidity of Treasury bonds</w:t>
            </w:r>
            <w:r w:rsidR="00D332D4">
              <w:rPr>
                <w:rFonts w:cstheme="minorHAnsi"/>
                <w:sz w:val="20"/>
                <w:szCs w:val="20"/>
                <w:lang w:val="en-US"/>
              </w:rPr>
              <w:t>.</w:t>
            </w:r>
          </w:p>
          <w:p w14:paraId="74C1B6C7" w14:textId="77777777" w:rsidR="0055380E" w:rsidRPr="00A6339C" w:rsidRDefault="00B44FF7" w:rsidP="00750815">
            <w:pPr>
              <w:pStyle w:val="ListParagraph"/>
              <w:numPr>
                <w:ilvl w:val="0"/>
                <w:numId w:val="7"/>
              </w:numPr>
              <w:snapToGrid w:val="0"/>
              <w:contextualSpacing w:val="0"/>
              <w:rPr>
                <w:rFonts w:cstheme="minorHAnsi"/>
                <w:sz w:val="20"/>
                <w:szCs w:val="20"/>
                <w:lang w:val="en-US"/>
              </w:rPr>
            </w:pPr>
            <w:r w:rsidRPr="00A6339C">
              <w:rPr>
                <w:rFonts w:cstheme="minorHAnsi"/>
                <w:b/>
                <w:bCs/>
                <w:sz w:val="20"/>
                <w:szCs w:val="20"/>
                <w:lang w:val="en-US"/>
              </w:rPr>
              <w:t>Electronic Trading:</w:t>
            </w:r>
            <w:r w:rsidRPr="00A6339C">
              <w:rPr>
                <w:rFonts w:cstheme="minorHAnsi"/>
                <w:sz w:val="20"/>
                <w:szCs w:val="20"/>
                <w:lang w:val="en-US"/>
              </w:rPr>
              <w:t xml:space="preserve"> While electronic trading platforms have generally increased the liquidity and efficiency of the bond market, they can also lead to rapid shifts in prices and liquidity when large trades are executed quickly or if there are technological disruptions.</w:t>
            </w:r>
          </w:p>
        </w:tc>
        <w:tc>
          <w:tcPr>
            <w:tcW w:w="6873" w:type="dxa"/>
            <w:shd w:val="clear" w:color="auto" w:fill="auto"/>
          </w:tcPr>
          <w:p w14:paraId="468DE182" w14:textId="77777777" w:rsidR="00A83A9C" w:rsidRPr="00A83A9C" w:rsidRDefault="00B44FF7" w:rsidP="00750815">
            <w:pPr>
              <w:pStyle w:val="ListParagraph"/>
              <w:numPr>
                <w:ilvl w:val="0"/>
                <w:numId w:val="23"/>
              </w:numPr>
              <w:snapToGrid w:val="0"/>
              <w:contextualSpacing w:val="0"/>
              <w:rPr>
                <w:rFonts w:cstheme="minorHAnsi"/>
                <w:sz w:val="20"/>
                <w:szCs w:val="20"/>
                <w:lang w:val="en-US"/>
              </w:rPr>
            </w:pPr>
            <w:r w:rsidRPr="00A83A9C">
              <w:rPr>
                <w:rFonts w:cstheme="minorHAnsi"/>
                <w:sz w:val="20"/>
                <w:szCs w:val="20"/>
                <w:lang w:val="en-US"/>
              </w:rPr>
              <w:t xml:space="preserve">The U.S. Treasury market is </w:t>
            </w:r>
            <w:r w:rsidR="00966C51">
              <w:rPr>
                <w:rFonts w:cstheme="minorHAnsi"/>
                <w:sz w:val="20"/>
                <w:szCs w:val="20"/>
                <w:lang w:val="en-US"/>
              </w:rPr>
              <w:t>well</w:t>
            </w:r>
            <w:r w:rsidRPr="00A83A9C">
              <w:rPr>
                <w:rFonts w:cstheme="minorHAnsi"/>
                <w:sz w:val="20"/>
                <w:szCs w:val="20"/>
                <w:lang w:val="en-US"/>
              </w:rPr>
              <w:t>-established and trusted in the world.</w:t>
            </w:r>
            <w:r w:rsidR="00966C51">
              <w:rPr>
                <w:rFonts w:cstheme="minorHAnsi"/>
                <w:sz w:val="20"/>
                <w:szCs w:val="20"/>
                <w:lang w:val="en-US"/>
              </w:rPr>
              <w:t xml:space="preserve"> Hence</w:t>
            </w:r>
            <w:r w:rsidR="00D53AF8" w:rsidRPr="00A83A9C">
              <w:rPr>
                <w:rFonts w:cstheme="minorHAnsi"/>
                <w:sz w:val="20"/>
                <w:szCs w:val="20"/>
                <w:lang w:val="en-US"/>
              </w:rPr>
              <w:t xml:space="preserve">, the regulatory </w:t>
            </w:r>
            <w:r w:rsidR="00117CC4">
              <w:rPr>
                <w:rFonts w:cstheme="minorHAnsi"/>
                <w:sz w:val="20"/>
                <w:szCs w:val="20"/>
                <w:lang w:val="en-US"/>
              </w:rPr>
              <w:t>r</w:t>
            </w:r>
            <w:r w:rsidR="00D53AF8" w:rsidRPr="00A83A9C">
              <w:rPr>
                <w:rFonts w:cstheme="minorHAnsi"/>
                <w:sz w:val="20"/>
                <w:szCs w:val="20"/>
                <w:lang w:val="en-US"/>
              </w:rPr>
              <w:t>isk is relatively low compared to more complex or less transparent investments</w:t>
            </w:r>
            <w:r w:rsidR="00510CE5">
              <w:rPr>
                <w:rFonts w:cstheme="minorHAnsi"/>
                <w:sz w:val="20"/>
                <w:szCs w:val="20"/>
                <w:lang w:val="en-US"/>
              </w:rPr>
              <w:t xml:space="preserve"> or</w:t>
            </w:r>
            <w:r w:rsidR="00D53AF8" w:rsidRPr="00A83A9C">
              <w:rPr>
                <w:rFonts w:cstheme="minorHAnsi"/>
                <w:sz w:val="20"/>
                <w:szCs w:val="20"/>
                <w:lang w:val="en-US"/>
              </w:rPr>
              <w:t xml:space="preserve"> </w:t>
            </w:r>
            <w:r>
              <w:rPr>
                <w:rFonts w:cstheme="minorHAnsi"/>
                <w:sz w:val="20"/>
                <w:szCs w:val="20"/>
                <w:lang w:val="en-US"/>
              </w:rPr>
              <w:t xml:space="preserve">new </w:t>
            </w:r>
            <w:r w:rsidR="00D53AF8" w:rsidRPr="00A83A9C">
              <w:rPr>
                <w:rFonts w:cstheme="minorHAnsi"/>
                <w:sz w:val="20"/>
                <w:szCs w:val="20"/>
                <w:lang w:val="en-US"/>
              </w:rPr>
              <w:t>potential challenges to consider</w:t>
            </w:r>
            <w:r>
              <w:rPr>
                <w:rFonts w:cstheme="minorHAnsi"/>
                <w:sz w:val="20"/>
                <w:szCs w:val="20"/>
                <w:lang w:val="en-US"/>
              </w:rPr>
              <w:t>.</w:t>
            </w:r>
          </w:p>
          <w:p w14:paraId="4C1123C0" w14:textId="77777777" w:rsidR="00D53AF8" w:rsidRPr="00D53AF8" w:rsidRDefault="00B44FF7" w:rsidP="00750815">
            <w:pPr>
              <w:pStyle w:val="ListParagraph"/>
              <w:numPr>
                <w:ilvl w:val="0"/>
                <w:numId w:val="23"/>
              </w:numPr>
              <w:snapToGrid w:val="0"/>
              <w:contextualSpacing w:val="0"/>
              <w:rPr>
                <w:rFonts w:cstheme="minorHAnsi"/>
                <w:sz w:val="20"/>
                <w:szCs w:val="20"/>
                <w:lang w:val="en-US"/>
              </w:rPr>
            </w:pPr>
            <w:r w:rsidRPr="00D53AF8">
              <w:rPr>
                <w:rFonts w:cstheme="minorHAnsi"/>
                <w:b/>
                <w:bCs/>
                <w:sz w:val="20"/>
                <w:szCs w:val="20"/>
                <w:lang w:val="en-US"/>
              </w:rPr>
              <w:t>Monetary Policy Changes:</w:t>
            </w:r>
            <w:r w:rsidRPr="00D53AF8">
              <w:rPr>
                <w:rFonts w:cstheme="minorHAnsi"/>
                <w:sz w:val="20"/>
                <w:szCs w:val="20"/>
                <w:lang w:val="en-US"/>
              </w:rPr>
              <w:t xml:space="preserve"> The Federal Reserve's decisions to raise or lower interest rates can significantly impact the prices and yields of Treasury bonds. </w:t>
            </w:r>
            <w:r w:rsidRPr="006F23A7">
              <w:rPr>
                <w:rFonts w:cstheme="minorHAnsi"/>
                <w:b/>
                <w:bCs/>
                <w:color w:val="00B050"/>
                <w:sz w:val="20"/>
                <w:szCs w:val="20"/>
                <w:lang w:val="en-US"/>
              </w:rPr>
              <w:t>[</w:t>
            </w:r>
            <w:proofErr w:type="spellStart"/>
            <w:r w:rsidRPr="006F23A7">
              <w:rPr>
                <w:rFonts w:cstheme="minorHAnsi"/>
                <w:b/>
                <w:bCs/>
                <w:color w:val="00B050"/>
                <w:sz w:val="20"/>
                <w:szCs w:val="20"/>
                <w:lang w:val="en-US"/>
              </w:rPr>
              <w:t>Lovetoblog</w:t>
            </w:r>
            <w:proofErr w:type="spellEnd"/>
            <w:r w:rsidRPr="006F23A7">
              <w:rPr>
                <w:rFonts w:cstheme="minorHAnsi"/>
                <w:b/>
                <w:bCs/>
                <w:color w:val="00B050"/>
                <w:sz w:val="20"/>
                <w:szCs w:val="20"/>
                <w:lang w:val="en-US"/>
              </w:rPr>
              <w:t>]</w:t>
            </w:r>
            <w:r w:rsidRPr="006F23A7">
              <w:rPr>
                <w:rFonts w:cstheme="minorHAnsi"/>
                <w:color w:val="00B050"/>
                <w:sz w:val="20"/>
                <w:szCs w:val="20"/>
                <w:lang w:val="en-US"/>
              </w:rPr>
              <w:t xml:space="preserve"> </w:t>
            </w:r>
            <w:r w:rsidRPr="00D53AF8">
              <w:rPr>
                <w:rFonts w:cstheme="minorHAnsi"/>
                <w:sz w:val="20"/>
                <w:szCs w:val="20"/>
                <w:lang w:val="en-US"/>
              </w:rPr>
              <w:t>For instance, an unexpected rate hike might decrease the price of existing bonds, including 2-year Treasuries.</w:t>
            </w:r>
          </w:p>
          <w:p w14:paraId="48954954" w14:textId="77777777" w:rsidR="00D53AF8" w:rsidRPr="00D53AF8" w:rsidRDefault="00B44FF7" w:rsidP="00750815">
            <w:pPr>
              <w:pStyle w:val="ListParagraph"/>
              <w:numPr>
                <w:ilvl w:val="0"/>
                <w:numId w:val="23"/>
              </w:numPr>
              <w:snapToGrid w:val="0"/>
              <w:contextualSpacing w:val="0"/>
              <w:rPr>
                <w:rFonts w:cstheme="minorHAnsi"/>
                <w:sz w:val="20"/>
                <w:szCs w:val="20"/>
                <w:lang w:val="en-US"/>
              </w:rPr>
            </w:pPr>
            <w:r w:rsidRPr="00D53AF8">
              <w:rPr>
                <w:rFonts w:cstheme="minorHAnsi"/>
                <w:b/>
                <w:bCs/>
                <w:sz w:val="20"/>
                <w:szCs w:val="20"/>
                <w:lang w:val="en-US"/>
              </w:rPr>
              <w:t>Debt Ceiling Debates:</w:t>
            </w:r>
            <w:r w:rsidRPr="00D53AF8">
              <w:rPr>
                <w:rFonts w:cstheme="minorHAnsi"/>
                <w:sz w:val="20"/>
                <w:szCs w:val="20"/>
                <w:lang w:val="en-US"/>
              </w:rPr>
              <w:t xml:space="preserve"> The U.S. has a legislated debt ceiling, the maximum amount of debt the federal government may carry at any time. Debates in Congress about raising this ceiling can introduce uncertainty into the Treasury market. Even if unlikely, a prolonged debate or threat of default can have short-term impacts on U.S. Treasury securities' perceived safety and liquidity.</w:t>
            </w:r>
          </w:p>
          <w:p w14:paraId="222AE76C" w14:textId="77777777" w:rsidR="00D53AF8" w:rsidRDefault="00B44FF7" w:rsidP="00750815">
            <w:pPr>
              <w:pStyle w:val="ListParagraph"/>
              <w:numPr>
                <w:ilvl w:val="0"/>
                <w:numId w:val="23"/>
              </w:numPr>
              <w:snapToGrid w:val="0"/>
              <w:contextualSpacing w:val="0"/>
              <w:rPr>
                <w:rFonts w:cstheme="minorHAnsi"/>
                <w:sz w:val="20"/>
                <w:szCs w:val="20"/>
                <w:lang w:val="en-US"/>
              </w:rPr>
            </w:pPr>
            <w:r w:rsidRPr="00D53AF8">
              <w:rPr>
                <w:rFonts w:cstheme="minorHAnsi"/>
                <w:b/>
                <w:bCs/>
                <w:sz w:val="20"/>
                <w:szCs w:val="20"/>
                <w:lang w:val="en-US"/>
              </w:rPr>
              <w:t>Government Shutdowns:</w:t>
            </w:r>
            <w:r w:rsidRPr="00D53AF8">
              <w:rPr>
                <w:rFonts w:cstheme="minorHAnsi"/>
                <w:sz w:val="20"/>
                <w:szCs w:val="20"/>
                <w:lang w:val="en-US"/>
              </w:rPr>
              <w:t xml:space="preserve"> Situations where the U.S. government shuts down due to budgetary disagreements can introduce temporary uncertainty into the Treasury market. However, debt ceilings </w:t>
            </w:r>
            <w:r w:rsidR="00966C51" w:rsidRPr="00D53AF8">
              <w:rPr>
                <w:rFonts w:cstheme="minorHAnsi"/>
                <w:sz w:val="20"/>
                <w:szCs w:val="20"/>
                <w:lang w:val="en-US"/>
              </w:rPr>
              <w:t>were</w:t>
            </w:r>
            <w:r w:rsidRPr="00D53AF8">
              <w:rPr>
                <w:rFonts w:cstheme="minorHAnsi"/>
                <w:sz w:val="20"/>
                <w:szCs w:val="20"/>
                <w:lang w:val="en-US"/>
              </w:rPr>
              <w:t xml:space="preserve"> cleared in the past without harming the reputation of U.S. Treasuries.</w:t>
            </w:r>
          </w:p>
          <w:p w14:paraId="300FE805" w14:textId="77777777" w:rsidR="00104D45" w:rsidRPr="00D53AF8" w:rsidRDefault="00104D45" w:rsidP="00104D45">
            <w:pPr>
              <w:pStyle w:val="ListParagraph"/>
              <w:snapToGrid w:val="0"/>
              <w:ind w:left="360"/>
              <w:contextualSpacing w:val="0"/>
              <w:rPr>
                <w:rFonts w:cstheme="minorHAnsi"/>
                <w:sz w:val="20"/>
                <w:szCs w:val="20"/>
                <w:lang w:val="en-US"/>
              </w:rPr>
            </w:pPr>
          </w:p>
          <w:p w14:paraId="176F70AA" w14:textId="77777777" w:rsidR="00D53AF8" w:rsidRDefault="00B44FF7" w:rsidP="00750815">
            <w:pPr>
              <w:pStyle w:val="ListParagraph"/>
              <w:numPr>
                <w:ilvl w:val="0"/>
                <w:numId w:val="23"/>
              </w:numPr>
              <w:snapToGrid w:val="0"/>
              <w:contextualSpacing w:val="0"/>
              <w:rPr>
                <w:rFonts w:cstheme="minorHAnsi"/>
                <w:sz w:val="20"/>
                <w:szCs w:val="20"/>
                <w:lang w:val="en-US"/>
              </w:rPr>
            </w:pPr>
            <w:r w:rsidRPr="00D53AF8">
              <w:rPr>
                <w:rFonts w:cstheme="minorHAnsi"/>
                <w:b/>
                <w:bCs/>
                <w:sz w:val="20"/>
                <w:szCs w:val="20"/>
                <w:lang w:val="en-US"/>
              </w:rPr>
              <w:t>Foreign Policy and Trade Decisions:</w:t>
            </w:r>
            <w:r w:rsidRPr="00D53AF8">
              <w:rPr>
                <w:rFonts w:cstheme="minorHAnsi"/>
                <w:sz w:val="20"/>
                <w:szCs w:val="20"/>
                <w:lang w:val="en-US"/>
              </w:rPr>
              <w:t xml:space="preserve"> A significant portion of U.S. Treasuries is held by foreign entities; diplomatic tensions or trade disagreements that prompt these entities to reduce their U.S. Treasury holdings can impact the market.</w:t>
            </w:r>
          </w:p>
          <w:p w14:paraId="31753AEF" w14:textId="77777777" w:rsidR="00104D45" w:rsidRPr="00104D45" w:rsidRDefault="00104D45" w:rsidP="00104D45">
            <w:pPr>
              <w:pStyle w:val="ListParagraph"/>
              <w:rPr>
                <w:rFonts w:cstheme="minorHAnsi"/>
                <w:sz w:val="20"/>
                <w:szCs w:val="20"/>
                <w:lang w:val="en-US"/>
              </w:rPr>
            </w:pPr>
          </w:p>
          <w:p w14:paraId="2941D8AA" w14:textId="77777777" w:rsidR="00D53AF8" w:rsidRDefault="00B44FF7" w:rsidP="00750815">
            <w:pPr>
              <w:pStyle w:val="ListParagraph"/>
              <w:numPr>
                <w:ilvl w:val="0"/>
                <w:numId w:val="23"/>
              </w:numPr>
              <w:snapToGrid w:val="0"/>
              <w:contextualSpacing w:val="0"/>
              <w:rPr>
                <w:rFonts w:cstheme="minorHAnsi"/>
                <w:sz w:val="20"/>
                <w:szCs w:val="20"/>
                <w:lang w:val="en-US"/>
              </w:rPr>
            </w:pPr>
            <w:r w:rsidRPr="00473A8B">
              <w:rPr>
                <w:rFonts w:cstheme="minorHAnsi"/>
                <w:b/>
                <w:bCs/>
                <w:sz w:val="20"/>
                <w:szCs w:val="20"/>
                <w:lang w:val="en-US"/>
              </w:rPr>
              <w:t>Regulatory Changes on Financial Institutions:</w:t>
            </w:r>
            <w:r w:rsidRPr="00D53AF8">
              <w:rPr>
                <w:rFonts w:cstheme="minorHAnsi"/>
                <w:sz w:val="20"/>
                <w:szCs w:val="20"/>
                <w:lang w:val="en-US"/>
              </w:rPr>
              <w:t xml:space="preserve"> Regulations that affect large financial institutions' investment strategies or capital requirements, such as banks, might indirectly influence demand for U.S. Treasury securities.</w:t>
            </w:r>
          </w:p>
          <w:p w14:paraId="69CC9FA3" w14:textId="77777777" w:rsidR="00104D45" w:rsidRPr="00104D45" w:rsidRDefault="00104D45" w:rsidP="00104D45">
            <w:pPr>
              <w:pStyle w:val="ListParagraph"/>
              <w:rPr>
                <w:rFonts w:cstheme="minorHAnsi"/>
                <w:sz w:val="20"/>
                <w:szCs w:val="20"/>
                <w:lang w:val="en-US"/>
              </w:rPr>
            </w:pPr>
          </w:p>
          <w:p w14:paraId="5E21C05B" w14:textId="77777777" w:rsidR="00D53AF8" w:rsidRPr="00D53AF8" w:rsidRDefault="00B44FF7" w:rsidP="00750815">
            <w:pPr>
              <w:pStyle w:val="ListParagraph"/>
              <w:numPr>
                <w:ilvl w:val="0"/>
                <w:numId w:val="23"/>
              </w:numPr>
              <w:snapToGrid w:val="0"/>
              <w:contextualSpacing w:val="0"/>
              <w:rPr>
                <w:rFonts w:cstheme="minorHAnsi"/>
                <w:sz w:val="20"/>
                <w:szCs w:val="20"/>
                <w:lang w:val="en-US"/>
              </w:rPr>
            </w:pPr>
            <w:r w:rsidRPr="00473A8B">
              <w:rPr>
                <w:rFonts w:cstheme="minorHAnsi"/>
                <w:b/>
                <w:bCs/>
                <w:sz w:val="20"/>
                <w:szCs w:val="20"/>
                <w:lang w:val="en-US"/>
              </w:rPr>
              <w:t>Global Regulatory Coordination:</w:t>
            </w:r>
            <w:r w:rsidRPr="00D53AF8">
              <w:rPr>
                <w:rFonts w:cstheme="minorHAnsi"/>
                <w:sz w:val="20"/>
                <w:szCs w:val="20"/>
                <w:lang w:val="en-US"/>
              </w:rPr>
              <w:t xml:space="preserve"> Coordinated regulatory actions or guidelines by central banks or financial bodies like the Basel Committee on Banking Supervision can influence demand for safe assets and pricing dynamics, including U.S. Treasuries.</w:t>
            </w:r>
            <w:r w:rsidR="000E033F">
              <w:rPr>
                <w:rFonts w:cstheme="minorHAnsi"/>
                <w:sz w:val="20"/>
                <w:szCs w:val="20"/>
                <w:lang w:val="en-US"/>
              </w:rPr>
              <w:t xml:space="preserve"> </w:t>
            </w:r>
            <w:r w:rsidR="000E033F" w:rsidRPr="005B52BE">
              <w:rPr>
                <w:rFonts w:cstheme="minorHAnsi"/>
                <w:b/>
                <w:bCs/>
                <w:color w:val="00B050"/>
                <w:sz w:val="20"/>
                <w:szCs w:val="20"/>
                <w:lang w:val="en-US"/>
              </w:rPr>
              <w:t>[BIS]</w:t>
            </w:r>
          </w:p>
          <w:p w14:paraId="4FDD51A7" w14:textId="77777777" w:rsidR="0055380E" w:rsidRPr="00170340" w:rsidRDefault="00B44FF7" w:rsidP="00750815">
            <w:pPr>
              <w:pStyle w:val="ListParagraph"/>
              <w:numPr>
                <w:ilvl w:val="0"/>
                <w:numId w:val="23"/>
              </w:numPr>
              <w:snapToGrid w:val="0"/>
              <w:contextualSpacing w:val="0"/>
              <w:rPr>
                <w:rFonts w:cstheme="minorHAnsi"/>
                <w:sz w:val="20"/>
                <w:szCs w:val="20"/>
                <w:lang w:val="en-US"/>
              </w:rPr>
            </w:pPr>
            <w:r w:rsidRPr="00A83A9C">
              <w:rPr>
                <w:rFonts w:cstheme="minorHAnsi"/>
                <w:b/>
                <w:bCs/>
                <w:sz w:val="20"/>
                <w:szCs w:val="20"/>
                <w:lang w:val="en-US"/>
              </w:rPr>
              <w:t>Technological and Trading Regulation:</w:t>
            </w:r>
            <w:r w:rsidRPr="00D53AF8">
              <w:rPr>
                <w:rFonts w:cstheme="minorHAnsi"/>
                <w:sz w:val="20"/>
                <w:szCs w:val="20"/>
                <w:lang w:val="en-US"/>
              </w:rPr>
              <w:t xml:space="preserve"> As more trading becomes electronic and algorithm-driven, regulations that affect trading platforms, high-frequency trading, or other technological aspects of the market can influence liquidity and pricing.</w:t>
            </w:r>
          </w:p>
        </w:tc>
      </w:tr>
    </w:tbl>
    <w:p w14:paraId="2049BF2D" w14:textId="77777777" w:rsidR="00750815" w:rsidRDefault="00750815" w:rsidP="00750815">
      <w:pPr>
        <w:pStyle w:val="ListParagraph"/>
        <w:snapToGrid w:val="0"/>
        <w:spacing w:after="0" w:line="240" w:lineRule="auto"/>
        <w:ind w:left="936"/>
        <w:contextualSpacing w:val="0"/>
        <w:rPr>
          <w:rFonts w:cstheme="minorHAnsi"/>
          <w:b/>
          <w:bCs/>
          <w:sz w:val="20"/>
          <w:szCs w:val="20"/>
          <w:lang w:val="en-US"/>
        </w:rPr>
      </w:pPr>
    </w:p>
    <w:p w14:paraId="4837E469" w14:textId="686C519E" w:rsidR="002F4043" w:rsidRPr="003D64B5" w:rsidRDefault="00B44FF7" w:rsidP="00750815">
      <w:pPr>
        <w:pStyle w:val="ListParagraph"/>
        <w:numPr>
          <w:ilvl w:val="1"/>
          <w:numId w:val="1"/>
        </w:numPr>
        <w:snapToGrid w:val="0"/>
        <w:spacing w:after="0" w:line="240" w:lineRule="auto"/>
        <w:contextualSpacing w:val="0"/>
        <w:rPr>
          <w:rFonts w:cstheme="minorHAnsi"/>
          <w:b/>
          <w:bCs/>
          <w:sz w:val="20"/>
          <w:szCs w:val="20"/>
          <w:lang w:val="en-US"/>
        </w:rPr>
      </w:pPr>
      <w:r w:rsidRPr="003D64B5">
        <w:rPr>
          <w:rFonts w:cstheme="minorHAnsi"/>
          <w:b/>
          <w:bCs/>
          <w:sz w:val="20"/>
          <w:szCs w:val="20"/>
          <w:lang w:val="en-US"/>
        </w:rPr>
        <w:lastRenderedPageBreak/>
        <w:t>Student:</w:t>
      </w:r>
      <w:r w:rsidRPr="003D64B5">
        <w:rPr>
          <w:rFonts w:cstheme="minorHAnsi"/>
          <w:b/>
          <w:bCs/>
          <w:sz w:val="20"/>
          <w:szCs w:val="20"/>
        </w:rPr>
        <w:t xml:space="preserve"> </w:t>
      </w:r>
      <w:r w:rsidRPr="003D64B5">
        <w:rPr>
          <w:rFonts w:cstheme="minorHAnsi"/>
          <w:b/>
          <w:bCs/>
          <w:sz w:val="20"/>
          <w:szCs w:val="20"/>
          <w:lang w:val="en-US"/>
        </w:rPr>
        <w:t xml:space="preserve">Ebenezer Illiquid Security </w:t>
      </w:r>
      <w:r w:rsidR="00FA4CCF">
        <w:rPr>
          <w:rFonts w:cstheme="minorHAnsi"/>
          <w:b/>
          <w:bCs/>
          <w:sz w:val="20"/>
          <w:szCs w:val="20"/>
          <w:lang w:val="en-US"/>
        </w:rPr>
        <w:t>Risk</w:t>
      </w:r>
    </w:p>
    <w:p w14:paraId="326E3FB9" w14:textId="77777777" w:rsidR="003D64B5" w:rsidRPr="00F617BE" w:rsidRDefault="003D64B5" w:rsidP="00F617BE">
      <w:pPr>
        <w:snapToGrid w:val="0"/>
        <w:spacing w:after="0" w:line="240" w:lineRule="auto"/>
        <w:rPr>
          <w:rFonts w:cstheme="minorHAnsi"/>
          <w:sz w:val="20"/>
          <w:szCs w:val="20"/>
          <w:lang w:val="en-US"/>
        </w:rPr>
      </w:pPr>
    </w:p>
    <w:tbl>
      <w:tblPr>
        <w:tblStyle w:val="TableGrid"/>
        <w:tblW w:w="0" w:type="auto"/>
        <w:tblLook w:val="04A0" w:firstRow="1" w:lastRow="0" w:firstColumn="1" w:lastColumn="0" w:noHBand="0" w:noVBand="1"/>
      </w:tblPr>
      <w:tblGrid>
        <w:gridCol w:w="473"/>
        <w:gridCol w:w="318"/>
        <w:gridCol w:w="1200"/>
        <w:gridCol w:w="6577"/>
        <w:gridCol w:w="6750"/>
      </w:tblGrid>
      <w:tr w:rsidR="00F617BE" w14:paraId="36E3DC75" w14:textId="77777777" w:rsidTr="00FB7443">
        <w:tc>
          <w:tcPr>
            <w:tcW w:w="1991" w:type="dxa"/>
            <w:gridSpan w:val="3"/>
            <w:vMerge w:val="restart"/>
            <w:shd w:val="clear" w:color="auto" w:fill="F2F2F2" w:themeFill="background1" w:themeFillShade="F2"/>
            <w:vAlign w:val="center"/>
          </w:tcPr>
          <w:p w14:paraId="5F832209" w14:textId="77777777" w:rsidR="00F617BE" w:rsidRPr="007306AF" w:rsidRDefault="00F617BE" w:rsidP="00FB7443">
            <w:pPr>
              <w:pStyle w:val="ListParagraph"/>
              <w:snapToGrid w:val="0"/>
              <w:ind w:left="0"/>
              <w:contextualSpacing w:val="0"/>
              <w:jc w:val="center"/>
              <w:rPr>
                <w:rFonts w:cstheme="minorHAnsi"/>
                <w:b/>
                <w:bCs/>
                <w:sz w:val="20"/>
                <w:szCs w:val="20"/>
                <w:lang w:val="en-US"/>
              </w:rPr>
            </w:pPr>
            <w:r w:rsidRPr="007306AF">
              <w:rPr>
                <w:rFonts w:cstheme="minorHAnsi"/>
                <w:b/>
                <w:bCs/>
                <w:sz w:val="20"/>
                <w:szCs w:val="20"/>
                <w:lang w:val="en-US"/>
              </w:rPr>
              <w:t>Table 1</w:t>
            </w:r>
          </w:p>
        </w:tc>
        <w:tc>
          <w:tcPr>
            <w:tcW w:w="13327" w:type="dxa"/>
            <w:gridSpan w:val="2"/>
            <w:shd w:val="clear" w:color="auto" w:fill="F2F2F2" w:themeFill="background1" w:themeFillShade="F2"/>
            <w:vAlign w:val="center"/>
          </w:tcPr>
          <w:p w14:paraId="44BD8D55" w14:textId="77777777" w:rsidR="00F617BE" w:rsidRPr="007306AF" w:rsidRDefault="00F617BE" w:rsidP="00FB7443">
            <w:pPr>
              <w:pStyle w:val="ListParagraph"/>
              <w:snapToGrid w:val="0"/>
              <w:ind w:left="0"/>
              <w:contextualSpacing w:val="0"/>
              <w:jc w:val="center"/>
              <w:rPr>
                <w:rFonts w:cstheme="minorHAnsi"/>
                <w:b/>
                <w:bCs/>
                <w:sz w:val="20"/>
                <w:szCs w:val="20"/>
                <w:lang w:val="en-US"/>
              </w:rPr>
            </w:pPr>
            <w:r w:rsidRPr="00005F0B">
              <w:rPr>
                <w:rFonts w:cstheme="minorHAnsi"/>
                <w:b/>
                <w:bCs/>
                <w:sz w:val="20"/>
                <w:szCs w:val="20"/>
                <w:lang w:val="en-US"/>
              </w:rPr>
              <w:t>Frictional Related Challenges</w:t>
            </w:r>
          </w:p>
        </w:tc>
      </w:tr>
      <w:tr w:rsidR="00F617BE" w14:paraId="12B2F0CC" w14:textId="77777777" w:rsidTr="00FB7443">
        <w:tc>
          <w:tcPr>
            <w:tcW w:w="1991" w:type="dxa"/>
            <w:gridSpan w:val="3"/>
            <w:vMerge/>
            <w:shd w:val="clear" w:color="auto" w:fill="F2F2F2" w:themeFill="background1" w:themeFillShade="F2"/>
          </w:tcPr>
          <w:p w14:paraId="5E8D4187" w14:textId="77777777" w:rsidR="00F617BE" w:rsidRPr="007306AF" w:rsidRDefault="00F617BE" w:rsidP="00FB7443">
            <w:pPr>
              <w:pStyle w:val="ListParagraph"/>
              <w:snapToGrid w:val="0"/>
              <w:ind w:left="0"/>
              <w:contextualSpacing w:val="0"/>
              <w:jc w:val="center"/>
              <w:rPr>
                <w:rFonts w:cstheme="minorHAnsi"/>
                <w:b/>
                <w:bCs/>
                <w:sz w:val="20"/>
                <w:szCs w:val="20"/>
                <w:lang w:val="en-US"/>
              </w:rPr>
            </w:pPr>
          </w:p>
        </w:tc>
        <w:tc>
          <w:tcPr>
            <w:tcW w:w="6577" w:type="dxa"/>
            <w:shd w:val="clear" w:color="auto" w:fill="F2F2F2" w:themeFill="background1" w:themeFillShade="F2"/>
            <w:vAlign w:val="center"/>
          </w:tcPr>
          <w:p w14:paraId="6C17CDC1" w14:textId="77777777" w:rsidR="00F617BE" w:rsidRPr="007306AF" w:rsidRDefault="00F617BE" w:rsidP="00FB7443">
            <w:pPr>
              <w:pStyle w:val="ListParagraph"/>
              <w:snapToGrid w:val="0"/>
              <w:ind w:left="0"/>
              <w:contextualSpacing w:val="0"/>
              <w:jc w:val="center"/>
              <w:rPr>
                <w:rFonts w:cstheme="minorHAnsi"/>
                <w:b/>
                <w:bCs/>
                <w:sz w:val="20"/>
                <w:szCs w:val="20"/>
                <w:lang w:val="en-US"/>
              </w:rPr>
            </w:pPr>
          </w:p>
        </w:tc>
        <w:tc>
          <w:tcPr>
            <w:tcW w:w="6750" w:type="dxa"/>
            <w:shd w:val="clear" w:color="auto" w:fill="F2F2F2" w:themeFill="background1" w:themeFillShade="F2"/>
            <w:vAlign w:val="center"/>
          </w:tcPr>
          <w:p w14:paraId="683D4CA9" w14:textId="77777777" w:rsidR="00F617BE" w:rsidRPr="007306AF" w:rsidRDefault="00F617BE" w:rsidP="00FB7443">
            <w:pPr>
              <w:pStyle w:val="ListParagraph"/>
              <w:snapToGrid w:val="0"/>
              <w:ind w:left="0"/>
              <w:contextualSpacing w:val="0"/>
              <w:jc w:val="center"/>
              <w:rPr>
                <w:rFonts w:cstheme="minorHAnsi"/>
                <w:b/>
                <w:bCs/>
                <w:sz w:val="20"/>
                <w:szCs w:val="20"/>
                <w:lang w:val="en-US"/>
              </w:rPr>
            </w:pPr>
          </w:p>
        </w:tc>
      </w:tr>
      <w:tr w:rsidR="00F617BE" w14:paraId="6480CF61" w14:textId="77777777" w:rsidTr="00FB7443">
        <w:tc>
          <w:tcPr>
            <w:tcW w:w="1991" w:type="dxa"/>
            <w:gridSpan w:val="3"/>
            <w:vMerge/>
            <w:shd w:val="clear" w:color="auto" w:fill="F2F2F2" w:themeFill="background1" w:themeFillShade="F2"/>
          </w:tcPr>
          <w:p w14:paraId="75CC902F" w14:textId="77777777" w:rsidR="00F617BE" w:rsidRPr="007306AF" w:rsidRDefault="00F617BE" w:rsidP="00FB7443">
            <w:pPr>
              <w:pStyle w:val="ListParagraph"/>
              <w:snapToGrid w:val="0"/>
              <w:ind w:left="0"/>
              <w:contextualSpacing w:val="0"/>
              <w:jc w:val="center"/>
              <w:rPr>
                <w:rFonts w:cstheme="minorHAnsi"/>
                <w:b/>
                <w:bCs/>
                <w:sz w:val="20"/>
                <w:szCs w:val="20"/>
                <w:lang w:val="en-US"/>
              </w:rPr>
            </w:pPr>
          </w:p>
        </w:tc>
        <w:tc>
          <w:tcPr>
            <w:tcW w:w="6577" w:type="dxa"/>
            <w:shd w:val="clear" w:color="auto" w:fill="F2F2F2" w:themeFill="background1" w:themeFillShade="F2"/>
          </w:tcPr>
          <w:p w14:paraId="43C43F41" w14:textId="77777777" w:rsidR="00F617BE" w:rsidRPr="003A65F8" w:rsidRDefault="00F617BE" w:rsidP="00FB7443">
            <w:pPr>
              <w:pStyle w:val="ListParagraph"/>
              <w:snapToGrid w:val="0"/>
              <w:ind w:left="0"/>
              <w:contextualSpacing w:val="0"/>
              <w:jc w:val="center"/>
              <w:rPr>
                <w:rFonts w:cstheme="minorHAnsi"/>
                <w:b/>
                <w:bCs/>
                <w:sz w:val="20"/>
                <w:szCs w:val="20"/>
                <w:lang w:val="en-US"/>
              </w:rPr>
            </w:pPr>
            <w:r w:rsidRPr="00005F0B">
              <w:rPr>
                <w:b/>
                <w:bCs/>
              </w:rPr>
              <w:t>Liquidity Challenges</w:t>
            </w:r>
          </w:p>
        </w:tc>
        <w:tc>
          <w:tcPr>
            <w:tcW w:w="6750" w:type="dxa"/>
            <w:shd w:val="clear" w:color="auto" w:fill="F2F2F2" w:themeFill="background1" w:themeFillShade="F2"/>
            <w:vAlign w:val="center"/>
          </w:tcPr>
          <w:p w14:paraId="5ABB74E8" w14:textId="77777777" w:rsidR="00F617BE" w:rsidRPr="007306AF" w:rsidRDefault="00F617BE" w:rsidP="00FB7443">
            <w:pPr>
              <w:pStyle w:val="ListParagraph"/>
              <w:snapToGrid w:val="0"/>
              <w:ind w:left="0"/>
              <w:contextualSpacing w:val="0"/>
              <w:jc w:val="center"/>
              <w:rPr>
                <w:rFonts w:cstheme="minorHAnsi"/>
                <w:b/>
                <w:bCs/>
                <w:sz w:val="20"/>
                <w:szCs w:val="20"/>
                <w:lang w:val="en-US"/>
              </w:rPr>
            </w:pPr>
            <w:r w:rsidRPr="00005F0B">
              <w:rPr>
                <w:rFonts w:cstheme="minorHAnsi"/>
                <w:b/>
                <w:bCs/>
                <w:sz w:val="20"/>
                <w:szCs w:val="20"/>
                <w:lang w:val="en-US"/>
              </w:rPr>
              <w:t>Regulation Challenges</w:t>
            </w:r>
          </w:p>
        </w:tc>
      </w:tr>
      <w:tr w:rsidR="00F617BE" w14:paraId="440A8A8A" w14:textId="77777777" w:rsidTr="00FB7443">
        <w:tc>
          <w:tcPr>
            <w:tcW w:w="0" w:type="auto"/>
            <w:shd w:val="clear" w:color="auto" w:fill="F2F2F2" w:themeFill="background1" w:themeFillShade="F2"/>
            <w:textDirection w:val="btLr"/>
          </w:tcPr>
          <w:p w14:paraId="3CA0BA0B" w14:textId="77777777" w:rsidR="00F617BE" w:rsidRPr="007306AF" w:rsidRDefault="00F617BE" w:rsidP="00FB7443">
            <w:pPr>
              <w:pStyle w:val="ListParagraph"/>
              <w:snapToGrid w:val="0"/>
              <w:ind w:left="113" w:right="113"/>
              <w:contextualSpacing w:val="0"/>
              <w:jc w:val="center"/>
              <w:rPr>
                <w:rFonts w:cstheme="minorHAnsi"/>
                <w:b/>
                <w:bCs/>
                <w:sz w:val="20"/>
                <w:szCs w:val="20"/>
                <w:lang w:val="en-US"/>
              </w:rPr>
            </w:pPr>
            <w:r w:rsidRPr="007306AF">
              <w:rPr>
                <w:rFonts w:cstheme="minorHAnsi"/>
                <w:b/>
                <w:bCs/>
                <w:sz w:val="20"/>
                <w:szCs w:val="20"/>
                <w:lang w:val="en-US"/>
              </w:rPr>
              <w:t>Scenario</w:t>
            </w:r>
          </w:p>
        </w:tc>
        <w:tc>
          <w:tcPr>
            <w:tcW w:w="0" w:type="auto"/>
            <w:shd w:val="clear" w:color="auto" w:fill="F2F2F2" w:themeFill="background1" w:themeFillShade="F2"/>
            <w:vAlign w:val="center"/>
          </w:tcPr>
          <w:p w14:paraId="7D0E10DC" w14:textId="77777777" w:rsidR="00F617BE" w:rsidRPr="007306AF" w:rsidRDefault="00F617BE" w:rsidP="00FB7443">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6</w:t>
            </w:r>
          </w:p>
        </w:tc>
        <w:tc>
          <w:tcPr>
            <w:tcW w:w="1200" w:type="dxa"/>
            <w:shd w:val="clear" w:color="auto" w:fill="F2F2F2" w:themeFill="background1" w:themeFillShade="F2"/>
            <w:vAlign w:val="center"/>
          </w:tcPr>
          <w:p w14:paraId="1FA9B219" w14:textId="77777777" w:rsidR="00F617BE" w:rsidRPr="007306AF" w:rsidRDefault="00F617BE" w:rsidP="00FB7443">
            <w:pPr>
              <w:pStyle w:val="ListParagraph"/>
              <w:snapToGrid w:val="0"/>
              <w:ind w:left="0"/>
              <w:contextualSpacing w:val="0"/>
              <w:rPr>
                <w:rFonts w:cstheme="minorHAnsi"/>
                <w:b/>
                <w:bCs/>
                <w:sz w:val="20"/>
                <w:szCs w:val="20"/>
                <w:lang w:val="en-US"/>
              </w:rPr>
            </w:pPr>
            <w:r w:rsidRPr="00005F0B">
              <w:rPr>
                <w:rFonts w:cstheme="minorHAnsi"/>
                <w:b/>
                <w:bCs/>
                <w:sz w:val="20"/>
                <w:szCs w:val="20"/>
                <w:lang w:val="en-US"/>
              </w:rPr>
              <w:t>An illiquid security – Real Estate Investment</w:t>
            </w:r>
          </w:p>
        </w:tc>
        <w:tc>
          <w:tcPr>
            <w:tcW w:w="6577" w:type="dxa"/>
            <w:shd w:val="clear" w:color="auto" w:fill="auto"/>
          </w:tcPr>
          <w:p w14:paraId="4C222B65" w14:textId="77777777" w:rsidR="00F617BE" w:rsidRPr="00005F0B" w:rsidRDefault="00F617BE" w:rsidP="00FB7443">
            <w:pPr>
              <w:pStyle w:val="ListParagraph"/>
              <w:numPr>
                <w:ilvl w:val="0"/>
                <w:numId w:val="30"/>
              </w:numPr>
              <w:rPr>
                <w:b/>
                <w:bCs/>
              </w:rPr>
            </w:pPr>
            <w:r w:rsidRPr="00005F0B">
              <w:rPr>
                <w:b/>
                <w:bCs/>
              </w:rPr>
              <w:t xml:space="preserve">Limited Market Liquidity: </w:t>
            </w:r>
            <w:r w:rsidRPr="00F00B8A">
              <w:t>Real estate investments are inherently illiquid, as they often require time-consuming processes to buy or sell properties. Finding a buyer or seller for a specific property can take months or even years, limiting the ability to access cash when needed.</w:t>
            </w:r>
          </w:p>
          <w:p w14:paraId="55E79203" w14:textId="77777777" w:rsidR="00F617BE" w:rsidRPr="003A65F8" w:rsidRDefault="00F617BE" w:rsidP="00FB7443">
            <w:pPr>
              <w:pStyle w:val="ListParagraph"/>
              <w:numPr>
                <w:ilvl w:val="0"/>
                <w:numId w:val="30"/>
              </w:numPr>
              <w:snapToGrid w:val="0"/>
            </w:pPr>
            <w:r w:rsidRPr="00005F0B">
              <w:rPr>
                <w:b/>
                <w:bCs/>
              </w:rPr>
              <w:t>Market Conditions:</w:t>
            </w:r>
            <w:r w:rsidRPr="00F00B8A">
              <w:t xml:space="preserve"> Real estate markets can be cyclical and sensitive to economic conditions. Liquidity challenges may occur when market conditions are unfavourable for selling properties, such as during a downturn, resulting in longer holding periods.</w:t>
            </w:r>
          </w:p>
        </w:tc>
        <w:tc>
          <w:tcPr>
            <w:tcW w:w="6750" w:type="dxa"/>
            <w:shd w:val="clear" w:color="auto" w:fill="auto"/>
          </w:tcPr>
          <w:p w14:paraId="2FD97281" w14:textId="77777777" w:rsidR="00F617BE" w:rsidRPr="00005F0B" w:rsidRDefault="00F617BE" w:rsidP="00FB7443">
            <w:pPr>
              <w:pStyle w:val="ListParagraph"/>
              <w:numPr>
                <w:ilvl w:val="0"/>
                <w:numId w:val="30"/>
              </w:numPr>
            </w:pPr>
            <w:r w:rsidRPr="00005F0B">
              <w:rPr>
                <w:b/>
                <w:bCs/>
              </w:rPr>
              <w:t xml:space="preserve">Permitting and Approvals: </w:t>
            </w:r>
            <w:r w:rsidRPr="00147672">
              <w:t>Real estate development often</w:t>
            </w:r>
            <w:r w:rsidRPr="00005F0B">
              <w:rPr>
                <w:b/>
                <w:bCs/>
              </w:rPr>
              <w:t xml:space="preserve"> </w:t>
            </w:r>
            <w:r w:rsidRPr="00147672">
              <w:t>requires numerous permits and approvals from local authorities. Delays or complications in obtaining these permits can lead to non-linear delays in project timelines and increased costs.</w:t>
            </w:r>
          </w:p>
        </w:tc>
      </w:tr>
    </w:tbl>
    <w:p w14:paraId="068E2FA9" w14:textId="77777777" w:rsidR="003D64B5" w:rsidRDefault="003D64B5" w:rsidP="00750815">
      <w:pPr>
        <w:pStyle w:val="ListParagraph"/>
        <w:snapToGrid w:val="0"/>
        <w:spacing w:after="0" w:line="240" w:lineRule="auto"/>
        <w:ind w:left="936"/>
        <w:contextualSpacing w:val="0"/>
        <w:rPr>
          <w:rFonts w:cstheme="minorHAnsi"/>
          <w:sz w:val="20"/>
          <w:szCs w:val="20"/>
          <w:lang w:val="en-US"/>
        </w:rPr>
      </w:pPr>
    </w:p>
    <w:p w14:paraId="17C720EB" w14:textId="77777777" w:rsidR="003D64B5" w:rsidRDefault="003D64B5" w:rsidP="00750815">
      <w:pPr>
        <w:pStyle w:val="ListParagraph"/>
        <w:snapToGrid w:val="0"/>
        <w:spacing w:after="0" w:line="240" w:lineRule="auto"/>
        <w:ind w:left="936"/>
        <w:contextualSpacing w:val="0"/>
        <w:rPr>
          <w:rFonts w:cstheme="minorHAnsi"/>
          <w:sz w:val="20"/>
          <w:szCs w:val="20"/>
          <w:lang w:val="en-US"/>
        </w:rPr>
      </w:pPr>
    </w:p>
    <w:p w14:paraId="68469F75" w14:textId="77777777" w:rsidR="00416589" w:rsidRDefault="00416589" w:rsidP="00F617BE">
      <w:pPr>
        <w:snapToGrid w:val="0"/>
        <w:spacing w:after="0" w:line="240" w:lineRule="auto"/>
        <w:rPr>
          <w:rFonts w:cstheme="minorHAnsi"/>
          <w:sz w:val="20"/>
          <w:szCs w:val="20"/>
          <w:lang w:val="en-US"/>
        </w:rPr>
      </w:pPr>
    </w:p>
    <w:p w14:paraId="64F30DFA" w14:textId="77777777" w:rsidR="00B13673" w:rsidRDefault="00B13673" w:rsidP="00F617BE">
      <w:pPr>
        <w:snapToGrid w:val="0"/>
        <w:spacing w:after="0" w:line="240" w:lineRule="auto"/>
        <w:rPr>
          <w:rFonts w:cstheme="minorHAnsi"/>
          <w:sz w:val="20"/>
          <w:szCs w:val="20"/>
          <w:lang w:val="en-US"/>
        </w:rPr>
      </w:pPr>
    </w:p>
    <w:p w14:paraId="5F89B2B7" w14:textId="77777777" w:rsidR="00B13673" w:rsidRDefault="00B13673" w:rsidP="00F617BE">
      <w:pPr>
        <w:snapToGrid w:val="0"/>
        <w:spacing w:after="0" w:line="240" w:lineRule="auto"/>
        <w:rPr>
          <w:rFonts w:cstheme="minorHAnsi"/>
          <w:sz w:val="20"/>
          <w:szCs w:val="20"/>
          <w:lang w:val="en-US"/>
        </w:rPr>
      </w:pPr>
    </w:p>
    <w:p w14:paraId="6CB68AAF" w14:textId="77777777" w:rsidR="00B13673" w:rsidRDefault="00B13673" w:rsidP="00F617BE">
      <w:pPr>
        <w:snapToGrid w:val="0"/>
        <w:spacing w:after="0" w:line="240" w:lineRule="auto"/>
        <w:rPr>
          <w:rFonts w:cstheme="minorHAnsi"/>
          <w:sz w:val="20"/>
          <w:szCs w:val="20"/>
          <w:lang w:val="en-US"/>
        </w:rPr>
      </w:pPr>
    </w:p>
    <w:p w14:paraId="5C4EDE7E" w14:textId="77777777" w:rsidR="00B13673" w:rsidRDefault="00B13673" w:rsidP="00F617BE">
      <w:pPr>
        <w:snapToGrid w:val="0"/>
        <w:spacing w:after="0" w:line="240" w:lineRule="auto"/>
        <w:rPr>
          <w:rFonts w:cstheme="minorHAnsi"/>
          <w:sz w:val="20"/>
          <w:szCs w:val="20"/>
          <w:lang w:val="en-US"/>
        </w:rPr>
      </w:pPr>
    </w:p>
    <w:p w14:paraId="02C3A441" w14:textId="77777777" w:rsidR="00B13673" w:rsidRDefault="00B13673" w:rsidP="00F617BE">
      <w:pPr>
        <w:snapToGrid w:val="0"/>
        <w:spacing w:after="0" w:line="240" w:lineRule="auto"/>
        <w:rPr>
          <w:rFonts w:cstheme="minorHAnsi"/>
          <w:sz w:val="20"/>
          <w:szCs w:val="20"/>
          <w:lang w:val="en-US"/>
        </w:rPr>
      </w:pPr>
    </w:p>
    <w:p w14:paraId="3BB9170B" w14:textId="77777777" w:rsidR="00B13673" w:rsidRDefault="00B13673" w:rsidP="00F617BE">
      <w:pPr>
        <w:snapToGrid w:val="0"/>
        <w:spacing w:after="0" w:line="240" w:lineRule="auto"/>
        <w:rPr>
          <w:rFonts w:cstheme="minorHAnsi"/>
          <w:sz w:val="20"/>
          <w:szCs w:val="20"/>
          <w:lang w:val="en-US"/>
        </w:rPr>
      </w:pPr>
    </w:p>
    <w:p w14:paraId="48AD6005" w14:textId="77777777" w:rsidR="00B13673" w:rsidRDefault="00B13673" w:rsidP="00F617BE">
      <w:pPr>
        <w:snapToGrid w:val="0"/>
        <w:spacing w:after="0" w:line="240" w:lineRule="auto"/>
        <w:rPr>
          <w:rFonts w:cstheme="minorHAnsi"/>
          <w:sz w:val="20"/>
          <w:szCs w:val="20"/>
          <w:lang w:val="en-US"/>
        </w:rPr>
      </w:pPr>
    </w:p>
    <w:p w14:paraId="22A20128" w14:textId="77777777" w:rsidR="00B13673" w:rsidRDefault="00B13673" w:rsidP="00F617BE">
      <w:pPr>
        <w:snapToGrid w:val="0"/>
        <w:spacing w:after="0" w:line="240" w:lineRule="auto"/>
        <w:rPr>
          <w:rFonts w:cstheme="minorHAnsi"/>
          <w:sz w:val="20"/>
          <w:szCs w:val="20"/>
          <w:lang w:val="en-US"/>
        </w:rPr>
      </w:pPr>
    </w:p>
    <w:p w14:paraId="431F46CB" w14:textId="77777777" w:rsidR="00B13673" w:rsidRDefault="00B13673" w:rsidP="00F617BE">
      <w:pPr>
        <w:snapToGrid w:val="0"/>
        <w:spacing w:after="0" w:line="240" w:lineRule="auto"/>
        <w:rPr>
          <w:rFonts w:cstheme="minorHAnsi"/>
          <w:sz w:val="20"/>
          <w:szCs w:val="20"/>
          <w:lang w:val="en-US"/>
        </w:rPr>
      </w:pPr>
    </w:p>
    <w:p w14:paraId="6B5DC744" w14:textId="77777777" w:rsidR="00B13673" w:rsidRDefault="00B13673" w:rsidP="00F617BE">
      <w:pPr>
        <w:snapToGrid w:val="0"/>
        <w:spacing w:after="0" w:line="240" w:lineRule="auto"/>
        <w:rPr>
          <w:rFonts w:cstheme="minorHAnsi"/>
          <w:sz w:val="20"/>
          <w:szCs w:val="20"/>
          <w:lang w:val="en-US"/>
        </w:rPr>
      </w:pPr>
    </w:p>
    <w:p w14:paraId="6023C042" w14:textId="77777777" w:rsidR="00B13673" w:rsidRDefault="00B13673" w:rsidP="00F617BE">
      <w:pPr>
        <w:snapToGrid w:val="0"/>
        <w:spacing w:after="0" w:line="240" w:lineRule="auto"/>
        <w:rPr>
          <w:rFonts w:cstheme="minorHAnsi"/>
          <w:sz w:val="20"/>
          <w:szCs w:val="20"/>
          <w:lang w:val="en-US"/>
        </w:rPr>
      </w:pPr>
    </w:p>
    <w:p w14:paraId="756DD427" w14:textId="77777777" w:rsidR="00B13673" w:rsidRDefault="00B13673" w:rsidP="00F617BE">
      <w:pPr>
        <w:snapToGrid w:val="0"/>
        <w:spacing w:after="0" w:line="240" w:lineRule="auto"/>
        <w:rPr>
          <w:rFonts w:cstheme="minorHAnsi"/>
          <w:sz w:val="20"/>
          <w:szCs w:val="20"/>
          <w:lang w:val="en-US"/>
        </w:rPr>
      </w:pPr>
    </w:p>
    <w:p w14:paraId="2FF42F28" w14:textId="77777777" w:rsidR="00B13673" w:rsidRDefault="00B13673" w:rsidP="00F617BE">
      <w:pPr>
        <w:snapToGrid w:val="0"/>
        <w:spacing w:after="0" w:line="240" w:lineRule="auto"/>
        <w:rPr>
          <w:rFonts w:cstheme="minorHAnsi"/>
          <w:sz w:val="20"/>
          <w:szCs w:val="20"/>
          <w:lang w:val="en-US"/>
        </w:rPr>
      </w:pPr>
    </w:p>
    <w:p w14:paraId="39672498" w14:textId="77777777" w:rsidR="00B13673" w:rsidRDefault="00B13673" w:rsidP="00F617BE">
      <w:pPr>
        <w:snapToGrid w:val="0"/>
        <w:spacing w:after="0" w:line="240" w:lineRule="auto"/>
        <w:rPr>
          <w:rFonts w:cstheme="minorHAnsi"/>
          <w:sz w:val="20"/>
          <w:szCs w:val="20"/>
          <w:lang w:val="en-US"/>
        </w:rPr>
      </w:pPr>
    </w:p>
    <w:p w14:paraId="513157C1" w14:textId="77777777" w:rsidR="00B13673" w:rsidRDefault="00B13673" w:rsidP="00F617BE">
      <w:pPr>
        <w:snapToGrid w:val="0"/>
        <w:spacing w:after="0" w:line="240" w:lineRule="auto"/>
        <w:rPr>
          <w:rFonts w:cstheme="minorHAnsi"/>
          <w:sz w:val="20"/>
          <w:szCs w:val="20"/>
          <w:lang w:val="en-US"/>
        </w:rPr>
      </w:pPr>
    </w:p>
    <w:p w14:paraId="440151E3" w14:textId="77777777" w:rsidR="00B13673" w:rsidRDefault="00B13673" w:rsidP="00F617BE">
      <w:pPr>
        <w:snapToGrid w:val="0"/>
        <w:spacing w:after="0" w:line="240" w:lineRule="auto"/>
        <w:rPr>
          <w:rFonts w:cstheme="minorHAnsi"/>
          <w:sz w:val="20"/>
          <w:szCs w:val="20"/>
          <w:lang w:val="en-US"/>
        </w:rPr>
      </w:pPr>
    </w:p>
    <w:p w14:paraId="3EE869FD" w14:textId="77777777" w:rsidR="00B13673" w:rsidRDefault="00B13673" w:rsidP="00F617BE">
      <w:pPr>
        <w:snapToGrid w:val="0"/>
        <w:spacing w:after="0" w:line="240" w:lineRule="auto"/>
        <w:rPr>
          <w:rFonts w:cstheme="minorHAnsi"/>
          <w:sz w:val="20"/>
          <w:szCs w:val="20"/>
          <w:lang w:val="en-US"/>
        </w:rPr>
      </w:pPr>
    </w:p>
    <w:p w14:paraId="55C87F38" w14:textId="77777777" w:rsidR="00B13673" w:rsidRPr="00F617BE" w:rsidRDefault="00B13673" w:rsidP="00F617BE">
      <w:pPr>
        <w:snapToGrid w:val="0"/>
        <w:spacing w:after="0" w:line="240" w:lineRule="auto"/>
        <w:rPr>
          <w:rFonts w:cstheme="minorHAnsi"/>
          <w:sz w:val="20"/>
          <w:szCs w:val="20"/>
          <w:lang w:val="en-US"/>
        </w:rPr>
      </w:pPr>
    </w:p>
    <w:p w14:paraId="786047F5" w14:textId="77777777" w:rsidR="007D68BA" w:rsidRDefault="007D68BA" w:rsidP="00750815">
      <w:pPr>
        <w:pStyle w:val="ListParagraph"/>
        <w:snapToGrid w:val="0"/>
        <w:spacing w:after="0" w:line="240" w:lineRule="auto"/>
        <w:ind w:left="936"/>
        <w:contextualSpacing w:val="0"/>
        <w:rPr>
          <w:rFonts w:cstheme="minorHAnsi"/>
          <w:sz w:val="20"/>
          <w:szCs w:val="20"/>
          <w:lang w:val="en-US"/>
        </w:rPr>
      </w:pPr>
    </w:p>
    <w:p w14:paraId="6BF77A55" w14:textId="77777777" w:rsidR="00455E83" w:rsidRDefault="00455E83" w:rsidP="00750815">
      <w:pPr>
        <w:pStyle w:val="ListParagraph"/>
        <w:snapToGrid w:val="0"/>
        <w:spacing w:after="0" w:line="240" w:lineRule="auto"/>
        <w:ind w:left="936"/>
        <w:contextualSpacing w:val="0"/>
        <w:rPr>
          <w:rFonts w:cstheme="minorHAnsi"/>
          <w:sz w:val="20"/>
          <w:szCs w:val="20"/>
          <w:lang w:val="en-US"/>
        </w:rPr>
      </w:pPr>
    </w:p>
    <w:p w14:paraId="20B576E5" w14:textId="77777777" w:rsidR="00F4266C" w:rsidRPr="00B32380" w:rsidRDefault="00B44FF7" w:rsidP="005606AE">
      <w:pPr>
        <w:pStyle w:val="ListParagraph"/>
        <w:numPr>
          <w:ilvl w:val="0"/>
          <w:numId w:val="1"/>
        </w:numPr>
        <w:snapToGrid w:val="0"/>
        <w:spacing w:after="0" w:line="240" w:lineRule="auto"/>
        <w:contextualSpacing w:val="0"/>
        <w:rPr>
          <w:rFonts w:cstheme="minorHAnsi"/>
          <w:b/>
          <w:bCs/>
          <w:sz w:val="28"/>
          <w:szCs w:val="28"/>
          <w:lang w:val="en-US"/>
        </w:rPr>
      </w:pPr>
      <w:r w:rsidRPr="00B32380">
        <w:rPr>
          <w:rFonts w:cstheme="minorHAnsi"/>
          <w:b/>
          <w:bCs/>
          <w:sz w:val="28"/>
          <w:szCs w:val="28"/>
          <w:lang w:val="en-US"/>
        </w:rPr>
        <w:lastRenderedPageBreak/>
        <w:t>Step 3. Identifying Data</w:t>
      </w:r>
      <w:r w:rsidR="00685B24" w:rsidRPr="00B32380">
        <w:rPr>
          <w:rFonts w:cstheme="minorHAnsi"/>
          <w:b/>
          <w:bCs/>
          <w:sz w:val="28"/>
          <w:szCs w:val="28"/>
          <w:lang w:val="en-US"/>
        </w:rPr>
        <w:t xml:space="preserve"> </w:t>
      </w:r>
      <w:r w:rsidR="000267A5" w:rsidRPr="00B32380">
        <w:rPr>
          <w:rFonts w:cstheme="minorHAnsi"/>
          <w:b/>
          <w:bCs/>
          <w:sz w:val="28"/>
          <w:szCs w:val="28"/>
          <w:lang w:val="en-US"/>
        </w:rPr>
        <w:t>C</w:t>
      </w:r>
      <w:r w:rsidR="00CD0047" w:rsidRPr="00B32380">
        <w:rPr>
          <w:rFonts w:cstheme="minorHAnsi"/>
          <w:b/>
          <w:bCs/>
          <w:sz w:val="28"/>
          <w:szCs w:val="28"/>
          <w:lang w:val="en-US"/>
        </w:rPr>
        <w:t>haracteristics</w:t>
      </w:r>
      <w:r w:rsidR="00875351" w:rsidRPr="00B32380">
        <w:rPr>
          <w:rFonts w:cstheme="minorHAnsi"/>
          <w:b/>
          <w:bCs/>
          <w:sz w:val="28"/>
          <w:szCs w:val="28"/>
          <w:lang w:val="en-US"/>
        </w:rPr>
        <w:t xml:space="preserve"> Part A</w:t>
      </w:r>
    </w:p>
    <w:p w14:paraId="6C9EF074" w14:textId="77777777" w:rsidR="002F4043" w:rsidRPr="00B32380" w:rsidRDefault="00B44FF7" w:rsidP="005606AE">
      <w:pPr>
        <w:pStyle w:val="ListParagraph"/>
        <w:numPr>
          <w:ilvl w:val="1"/>
          <w:numId w:val="1"/>
        </w:numPr>
        <w:snapToGrid w:val="0"/>
        <w:spacing w:after="0" w:line="240" w:lineRule="auto"/>
        <w:contextualSpacing w:val="0"/>
        <w:rPr>
          <w:rFonts w:cstheme="minorHAnsi"/>
          <w:b/>
          <w:bCs/>
          <w:sz w:val="20"/>
          <w:szCs w:val="20"/>
          <w:lang w:val="en-US"/>
        </w:rPr>
      </w:pPr>
      <w:r w:rsidRPr="00B32380">
        <w:rPr>
          <w:rFonts w:cstheme="minorHAnsi"/>
          <w:b/>
          <w:bCs/>
          <w:sz w:val="20"/>
          <w:szCs w:val="20"/>
          <w:lang w:val="en-US"/>
        </w:rPr>
        <w:t>Student:</w:t>
      </w:r>
      <w:r w:rsidRPr="00B32380">
        <w:rPr>
          <w:rFonts w:cstheme="minorHAnsi"/>
          <w:b/>
          <w:bCs/>
          <w:sz w:val="20"/>
          <w:szCs w:val="20"/>
        </w:rPr>
        <w:t xml:space="preserve"> </w:t>
      </w:r>
      <w:r w:rsidRPr="00B32380">
        <w:rPr>
          <w:rFonts w:cstheme="minorHAnsi"/>
          <w:b/>
          <w:bCs/>
          <w:sz w:val="20"/>
          <w:szCs w:val="20"/>
          <w:lang w:val="en-US"/>
        </w:rPr>
        <w:t xml:space="preserve">Oratile - </w:t>
      </w:r>
      <w:r w:rsidRPr="00B32380">
        <w:rPr>
          <w:rFonts w:cstheme="minorHAnsi"/>
          <w:b/>
          <w:bCs/>
          <w:sz w:val="20"/>
          <w:szCs w:val="20"/>
        </w:rPr>
        <w:t>Personal unsecured loan at fixed rate Credit card</w:t>
      </w:r>
      <w:r w:rsidRPr="00B32380">
        <w:rPr>
          <w:rFonts w:cstheme="minorHAnsi"/>
          <w:b/>
          <w:bCs/>
          <w:sz w:val="20"/>
          <w:szCs w:val="20"/>
          <w:lang w:val="en-US"/>
        </w:rPr>
        <w:t xml:space="preserve"> Data C</w:t>
      </w:r>
      <w:r w:rsidR="00F25FB2">
        <w:rPr>
          <w:rFonts w:cstheme="minorHAnsi"/>
          <w:b/>
          <w:bCs/>
          <w:sz w:val="20"/>
          <w:szCs w:val="20"/>
          <w:lang w:val="en-US"/>
        </w:rPr>
        <w:t>haracteristics</w:t>
      </w:r>
    </w:p>
    <w:p w14:paraId="231DE02B" w14:textId="77777777" w:rsidR="00EA649F" w:rsidRDefault="00EA649F" w:rsidP="00750815">
      <w:pPr>
        <w:pStyle w:val="ListParagraph"/>
        <w:snapToGrid w:val="0"/>
        <w:spacing w:after="0" w:line="240" w:lineRule="auto"/>
        <w:ind w:left="936"/>
        <w:contextualSpacing w:val="0"/>
        <w:rPr>
          <w:rFonts w:cstheme="minorHAnsi"/>
          <w:b/>
          <w:bCs/>
          <w:sz w:val="20"/>
          <w:szCs w:val="20"/>
          <w:lang w:val="en-US"/>
        </w:rPr>
      </w:pPr>
    </w:p>
    <w:tbl>
      <w:tblPr>
        <w:tblStyle w:val="TableGrid"/>
        <w:tblW w:w="0" w:type="auto"/>
        <w:tblLook w:val="04A0" w:firstRow="1" w:lastRow="0" w:firstColumn="1" w:lastColumn="0" w:noHBand="0" w:noVBand="1"/>
      </w:tblPr>
      <w:tblGrid>
        <w:gridCol w:w="473"/>
        <w:gridCol w:w="318"/>
        <w:gridCol w:w="222"/>
        <w:gridCol w:w="318"/>
        <w:gridCol w:w="1806"/>
        <w:gridCol w:w="11047"/>
      </w:tblGrid>
      <w:tr w:rsidR="00833EB8" w14:paraId="769FF674" w14:textId="77777777" w:rsidTr="00DD2B58">
        <w:trPr>
          <w:trHeight w:val="374"/>
        </w:trPr>
        <w:tc>
          <w:tcPr>
            <w:tcW w:w="0" w:type="auto"/>
            <w:gridSpan w:val="3"/>
            <w:shd w:val="clear" w:color="auto" w:fill="F2F2F2" w:themeFill="background1" w:themeFillShade="F2"/>
            <w:vAlign w:val="center"/>
          </w:tcPr>
          <w:p w14:paraId="790E1B43" w14:textId="77777777" w:rsidR="00833EB8" w:rsidRPr="00071CD0" w:rsidRDefault="00833EB8" w:rsidP="00DD2B58">
            <w:pPr>
              <w:snapToGrid w:val="0"/>
              <w:jc w:val="center"/>
              <w:rPr>
                <w:rFonts w:cstheme="minorHAnsi"/>
                <w:b/>
                <w:bCs/>
                <w:sz w:val="20"/>
                <w:szCs w:val="20"/>
                <w:lang w:val="en-US"/>
              </w:rPr>
            </w:pPr>
            <w:r w:rsidRPr="00071CD0">
              <w:rPr>
                <w:rFonts w:cstheme="minorHAnsi"/>
                <w:b/>
                <w:bCs/>
                <w:sz w:val="20"/>
                <w:szCs w:val="20"/>
                <w:lang w:val="en-US"/>
              </w:rPr>
              <w:t>Table 3.</w:t>
            </w:r>
          </w:p>
        </w:tc>
        <w:tc>
          <w:tcPr>
            <w:tcW w:w="13171" w:type="dxa"/>
            <w:gridSpan w:val="3"/>
            <w:shd w:val="clear" w:color="auto" w:fill="F2F2F2" w:themeFill="background1" w:themeFillShade="F2"/>
            <w:vAlign w:val="center"/>
          </w:tcPr>
          <w:p w14:paraId="2D38C9BC" w14:textId="35A8C0F4" w:rsidR="00833EB8" w:rsidRPr="00071CD0" w:rsidRDefault="00833EB8" w:rsidP="00DD2B58">
            <w:pPr>
              <w:pStyle w:val="ListParagraph"/>
              <w:snapToGrid w:val="0"/>
              <w:ind w:left="0"/>
              <w:contextualSpacing w:val="0"/>
              <w:jc w:val="center"/>
              <w:rPr>
                <w:rFonts w:cstheme="minorHAnsi"/>
                <w:b/>
                <w:bCs/>
                <w:sz w:val="20"/>
                <w:szCs w:val="20"/>
                <w:lang w:val="en-US"/>
              </w:rPr>
            </w:pPr>
            <w:r w:rsidRPr="00071CD0">
              <w:rPr>
                <w:rFonts w:cstheme="minorHAnsi"/>
                <w:b/>
                <w:bCs/>
                <w:sz w:val="20"/>
                <w:szCs w:val="20"/>
                <w:lang w:val="en-US"/>
              </w:rPr>
              <w:t>Data C</w:t>
            </w:r>
            <w:r>
              <w:rPr>
                <w:rFonts w:cstheme="minorHAnsi"/>
                <w:b/>
                <w:bCs/>
                <w:sz w:val="20"/>
                <w:szCs w:val="20"/>
                <w:lang w:val="en-US"/>
              </w:rPr>
              <w:t>haracteristics C</w:t>
            </w:r>
            <w:r w:rsidRPr="00071CD0">
              <w:rPr>
                <w:rFonts w:cstheme="minorHAnsi"/>
                <w:b/>
                <w:bCs/>
                <w:sz w:val="20"/>
                <w:szCs w:val="20"/>
                <w:lang w:val="en-US"/>
              </w:rPr>
              <w:t>ollection</w:t>
            </w:r>
            <w:r>
              <w:rPr>
                <w:rFonts w:cstheme="minorHAnsi"/>
                <w:b/>
                <w:bCs/>
                <w:sz w:val="20"/>
                <w:szCs w:val="20"/>
                <w:lang w:val="en-US"/>
              </w:rPr>
              <w:t xml:space="preserve"> </w:t>
            </w:r>
          </w:p>
        </w:tc>
      </w:tr>
      <w:tr w:rsidR="00833EB8" w14:paraId="4CAE073F" w14:textId="77777777" w:rsidTr="00DD2B58">
        <w:trPr>
          <w:trHeight w:val="27"/>
        </w:trPr>
        <w:tc>
          <w:tcPr>
            <w:tcW w:w="0" w:type="auto"/>
            <w:vMerge w:val="restart"/>
            <w:shd w:val="clear" w:color="auto" w:fill="F2F2F2" w:themeFill="background1" w:themeFillShade="F2"/>
            <w:textDirection w:val="btLr"/>
            <w:vAlign w:val="center"/>
          </w:tcPr>
          <w:p w14:paraId="71BEB314" w14:textId="43D867D1" w:rsidR="00833EB8" w:rsidRPr="00071CD0" w:rsidRDefault="00101FED" w:rsidP="00DD2B58">
            <w:pPr>
              <w:pStyle w:val="ListParagraph"/>
              <w:snapToGrid w:val="0"/>
              <w:ind w:left="113" w:right="113"/>
              <w:contextualSpacing w:val="0"/>
              <w:jc w:val="center"/>
              <w:rPr>
                <w:rFonts w:cstheme="minorHAnsi"/>
                <w:b/>
                <w:bCs/>
                <w:sz w:val="20"/>
                <w:szCs w:val="20"/>
                <w:lang w:val="en-US"/>
              </w:rPr>
            </w:pPr>
            <w:r>
              <w:rPr>
                <w:rFonts w:cstheme="minorHAnsi"/>
                <w:b/>
                <w:bCs/>
                <w:sz w:val="20"/>
                <w:szCs w:val="20"/>
                <w:lang w:val="en-US"/>
              </w:rPr>
              <w:t>CREDIT CARD LOAN</w:t>
            </w:r>
          </w:p>
        </w:tc>
        <w:tc>
          <w:tcPr>
            <w:tcW w:w="0" w:type="auto"/>
            <w:vMerge w:val="restart"/>
            <w:shd w:val="clear" w:color="auto" w:fill="F2F2F2" w:themeFill="background1" w:themeFillShade="F2"/>
            <w:vAlign w:val="center"/>
          </w:tcPr>
          <w:p w14:paraId="3BE8F8AF" w14:textId="5FECF37E" w:rsidR="00833EB8" w:rsidRPr="00071CD0" w:rsidRDefault="0082350D" w:rsidP="00DD2B58">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1</w:t>
            </w:r>
          </w:p>
        </w:tc>
        <w:tc>
          <w:tcPr>
            <w:tcW w:w="0" w:type="auto"/>
            <w:vMerge w:val="restart"/>
            <w:shd w:val="clear" w:color="auto" w:fill="F2F2F2" w:themeFill="background1" w:themeFillShade="F2"/>
            <w:vAlign w:val="center"/>
          </w:tcPr>
          <w:p w14:paraId="131CE0AE" w14:textId="4589A484" w:rsidR="00833EB8" w:rsidRPr="00071CD0" w:rsidRDefault="00833EB8" w:rsidP="00DD2B58">
            <w:pPr>
              <w:pStyle w:val="ListParagraph"/>
              <w:snapToGrid w:val="0"/>
              <w:ind w:left="0"/>
              <w:contextualSpacing w:val="0"/>
              <w:rPr>
                <w:rFonts w:cstheme="minorHAnsi"/>
                <w:b/>
                <w:bCs/>
                <w:sz w:val="20"/>
                <w:szCs w:val="20"/>
                <w:lang w:val="en-US"/>
              </w:rPr>
            </w:pPr>
          </w:p>
        </w:tc>
        <w:tc>
          <w:tcPr>
            <w:tcW w:w="0" w:type="auto"/>
            <w:shd w:val="clear" w:color="auto" w:fill="F2F2F2" w:themeFill="background1" w:themeFillShade="F2"/>
          </w:tcPr>
          <w:p w14:paraId="55E422B7" w14:textId="77777777" w:rsidR="00833EB8" w:rsidRPr="00071CD0" w:rsidRDefault="00833EB8" w:rsidP="00DD2B58">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1</w:t>
            </w:r>
          </w:p>
        </w:tc>
        <w:tc>
          <w:tcPr>
            <w:tcW w:w="0" w:type="auto"/>
            <w:shd w:val="clear" w:color="auto" w:fill="F2F2F2" w:themeFill="background1" w:themeFillShade="F2"/>
          </w:tcPr>
          <w:p w14:paraId="2C14A677" w14:textId="77777777" w:rsidR="00833EB8" w:rsidRPr="00071CD0" w:rsidRDefault="00833EB8" w:rsidP="00DD2B58">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Data type</w:t>
            </w:r>
          </w:p>
        </w:tc>
        <w:tc>
          <w:tcPr>
            <w:tcW w:w="11047" w:type="dxa"/>
            <w:shd w:val="clear" w:color="auto" w:fill="auto"/>
          </w:tcPr>
          <w:p w14:paraId="5ACF2CE9" w14:textId="26F943BF" w:rsidR="00833EB8" w:rsidRDefault="0082350D" w:rsidP="00DD2B58">
            <w:pPr>
              <w:pStyle w:val="ListParagraph"/>
              <w:numPr>
                <w:ilvl w:val="0"/>
                <w:numId w:val="10"/>
              </w:numPr>
              <w:snapToGrid w:val="0"/>
              <w:contextualSpacing w:val="0"/>
              <w:rPr>
                <w:rFonts w:cstheme="minorHAnsi"/>
                <w:sz w:val="20"/>
                <w:szCs w:val="20"/>
                <w:lang w:val="en-US"/>
              </w:rPr>
            </w:pPr>
            <w:r>
              <w:rPr>
                <w:rFonts w:cstheme="minorHAnsi"/>
                <w:sz w:val="20"/>
                <w:szCs w:val="20"/>
                <w:lang w:val="en-US"/>
              </w:rPr>
              <w:t>Asset</w:t>
            </w:r>
          </w:p>
          <w:p w14:paraId="6C712BE6" w14:textId="23CFEFE7" w:rsidR="0082350D" w:rsidRPr="000D0707" w:rsidRDefault="00F617BE" w:rsidP="00DD2B58">
            <w:pPr>
              <w:pStyle w:val="ListParagraph"/>
              <w:numPr>
                <w:ilvl w:val="0"/>
                <w:numId w:val="10"/>
              </w:numPr>
              <w:snapToGrid w:val="0"/>
              <w:contextualSpacing w:val="0"/>
              <w:rPr>
                <w:rFonts w:cstheme="minorHAnsi"/>
                <w:sz w:val="20"/>
                <w:szCs w:val="20"/>
                <w:lang w:val="en-US"/>
              </w:rPr>
            </w:pPr>
            <w:r>
              <w:rPr>
                <w:rFonts w:cstheme="minorHAnsi"/>
                <w:sz w:val="20"/>
                <w:szCs w:val="20"/>
                <w:lang w:val="en-US"/>
              </w:rPr>
              <w:t>Economic</w:t>
            </w:r>
          </w:p>
        </w:tc>
      </w:tr>
      <w:tr w:rsidR="00833EB8" w14:paraId="3F0EF449" w14:textId="77777777" w:rsidTr="00DD2B58">
        <w:trPr>
          <w:trHeight w:val="23"/>
        </w:trPr>
        <w:tc>
          <w:tcPr>
            <w:tcW w:w="0" w:type="auto"/>
            <w:vMerge/>
            <w:shd w:val="clear" w:color="auto" w:fill="F2F2F2" w:themeFill="background1" w:themeFillShade="F2"/>
            <w:vAlign w:val="center"/>
          </w:tcPr>
          <w:p w14:paraId="4B58DCEB" w14:textId="77777777" w:rsidR="00833EB8" w:rsidRPr="00071CD0" w:rsidRDefault="00833EB8" w:rsidP="00DD2B58">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2B2005D4" w14:textId="77777777" w:rsidR="00833EB8" w:rsidRPr="00071CD0" w:rsidRDefault="00833EB8" w:rsidP="00DD2B58">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068C636C" w14:textId="77777777" w:rsidR="00833EB8" w:rsidRPr="00071CD0" w:rsidRDefault="00833EB8" w:rsidP="00DD2B58">
            <w:pPr>
              <w:pStyle w:val="ListParagraph"/>
              <w:snapToGrid w:val="0"/>
              <w:ind w:left="0"/>
              <w:contextualSpacing w:val="0"/>
              <w:rPr>
                <w:rFonts w:cstheme="minorHAnsi"/>
                <w:b/>
                <w:bCs/>
                <w:sz w:val="20"/>
                <w:szCs w:val="20"/>
                <w:lang w:val="en-US"/>
              </w:rPr>
            </w:pPr>
          </w:p>
        </w:tc>
        <w:tc>
          <w:tcPr>
            <w:tcW w:w="0" w:type="auto"/>
            <w:shd w:val="clear" w:color="auto" w:fill="F2F2F2" w:themeFill="background1" w:themeFillShade="F2"/>
          </w:tcPr>
          <w:p w14:paraId="52CECBB3" w14:textId="77777777" w:rsidR="00833EB8" w:rsidRPr="00071CD0" w:rsidRDefault="00833EB8" w:rsidP="00DD2B58">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2</w:t>
            </w:r>
          </w:p>
        </w:tc>
        <w:tc>
          <w:tcPr>
            <w:tcW w:w="0" w:type="auto"/>
            <w:shd w:val="clear" w:color="auto" w:fill="F2F2F2" w:themeFill="background1" w:themeFillShade="F2"/>
          </w:tcPr>
          <w:p w14:paraId="626964F9" w14:textId="77777777" w:rsidR="00833EB8" w:rsidRPr="00071CD0" w:rsidRDefault="00833EB8" w:rsidP="00DD2B58">
            <w:pPr>
              <w:snapToGrid w:val="0"/>
              <w:rPr>
                <w:rFonts w:cstheme="minorHAnsi"/>
                <w:b/>
                <w:bCs/>
                <w:sz w:val="20"/>
                <w:szCs w:val="20"/>
                <w:lang w:val="en-US"/>
              </w:rPr>
            </w:pPr>
            <w:r w:rsidRPr="00071CD0">
              <w:rPr>
                <w:rFonts w:cstheme="minorHAnsi"/>
                <w:b/>
                <w:bCs/>
                <w:sz w:val="20"/>
                <w:szCs w:val="20"/>
                <w:lang w:val="en-US"/>
              </w:rPr>
              <w:t>Data preprocessing</w:t>
            </w:r>
          </w:p>
        </w:tc>
        <w:tc>
          <w:tcPr>
            <w:tcW w:w="11047" w:type="dxa"/>
            <w:shd w:val="clear" w:color="auto" w:fill="auto"/>
          </w:tcPr>
          <w:p w14:paraId="6D2C7130" w14:textId="77777777" w:rsidR="00833EB8" w:rsidRDefault="006C7C1E" w:rsidP="00DD2B58">
            <w:pPr>
              <w:pStyle w:val="ListParagraph"/>
              <w:numPr>
                <w:ilvl w:val="0"/>
                <w:numId w:val="11"/>
              </w:numPr>
              <w:snapToGrid w:val="0"/>
              <w:contextualSpacing w:val="0"/>
              <w:rPr>
                <w:rFonts w:cstheme="minorHAnsi"/>
                <w:sz w:val="20"/>
                <w:szCs w:val="20"/>
                <w:lang w:val="en-US"/>
              </w:rPr>
            </w:pPr>
            <w:r>
              <w:rPr>
                <w:rFonts w:cstheme="minorHAnsi"/>
                <w:sz w:val="20"/>
                <w:szCs w:val="20"/>
                <w:lang w:val="en-US"/>
              </w:rPr>
              <w:t>Raw Prices</w:t>
            </w:r>
          </w:p>
          <w:p w14:paraId="1E91163D" w14:textId="0C318031" w:rsidR="006C7C1E" w:rsidRPr="007306AF" w:rsidRDefault="006C7C1E" w:rsidP="00DD2B58">
            <w:pPr>
              <w:pStyle w:val="ListParagraph"/>
              <w:numPr>
                <w:ilvl w:val="0"/>
                <w:numId w:val="11"/>
              </w:numPr>
              <w:snapToGrid w:val="0"/>
              <w:contextualSpacing w:val="0"/>
              <w:rPr>
                <w:rFonts w:cstheme="minorHAnsi"/>
                <w:sz w:val="20"/>
                <w:szCs w:val="20"/>
                <w:lang w:val="en-US"/>
              </w:rPr>
            </w:pPr>
            <w:r>
              <w:rPr>
                <w:rFonts w:cstheme="minorHAnsi"/>
                <w:sz w:val="20"/>
                <w:szCs w:val="20"/>
                <w:lang w:val="en-US"/>
              </w:rPr>
              <w:t>Levels</w:t>
            </w:r>
          </w:p>
        </w:tc>
      </w:tr>
      <w:tr w:rsidR="00833EB8" w14:paraId="535CCBC2" w14:textId="77777777" w:rsidTr="00DD2B58">
        <w:trPr>
          <w:trHeight w:val="23"/>
        </w:trPr>
        <w:tc>
          <w:tcPr>
            <w:tcW w:w="0" w:type="auto"/>
            <w:vMerge/>
            <w:shd w:val="clear" w:color="auto" w:fill="F2F2F2" w:themeFill="background1" w:themeFillShade="F2"/>
            <w:vAlign w:val="center"/>
          </w:tcPr>
          <w:p w14:paraId="3BBE5961" w14:textId="77777777" w:rsidR="00833EB8" w:rsidRPr="00071CD0" w:rsidRDefault="00833EB8" w:rsidP="00DD2B58">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1077B54F" w14:textId="77777777" w:rsidR="00833EB8" w:rsidRPr="00071CD0" w:rsidRDefault="00833EB8" w:rsidP="00DD2B58">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5B734DB9" w14:textId="77777777" w:rsidR="00833EB8" w:rsidRPr="00071CD0" w:rsidRDefault="00833EB8" w:rsidP="00DD2B58">
            <w:pPr>
              <w:pStyle w:val="ListParagraph"/>
              <w:snapToGrid w:val="0"/>
              <w:ind w:left="0"/>
              <w:contextualSpacing w:val="0"/>
              <w:rPr>
                <w:rFonts w:cstheme="minorHAnsi"/>
                <w:b/>
                <w:bCs/>
                <w:sz w:val="20"/>
                <w:szCs w:val="20"/>
                <w:lang w:val="en-US"/>
              </w:rPr>
            </w:pPr>
          </w:p>
        </w:tc>
        <w:tc>
          <w:tcPr>
            <w:tcW w:w="0" w:type="auto"/>
            <w:shd w:val="clear" w:color="auto" w:fill="F2F2F2" w:themeFill="background1" w:themeFillShade="F2"/>
          </w:tcPr>
          <w:p w14:paraId="71798A9F" w14:textId="77777777" w:rsidR="00833EB8" w:rsidRPr="00071CD0" w:rsidRDefault="00833EB8" w:rsidP="00DD2B58">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3</w:t>
            </w:r>
          </w:p>
        </w:tc>
        <w:tc>
          <w:tcPr>
            <w:tcW w:w="0" w:type="auto"/>
            <w:shd w:val="clear" w:color="auto" w:fill="F2F2F2" w:themeFill="background1" w:themeFillShade="F2"/>
          </w:tcPr>
          <w:p w14:paraId="5EC7DC7D" w14:textId="77777777" w:rsidR="00833EB8" w:rsidRPr="00071CD0" w:rsidRDefault="00833EB8" w:rsidP="00DD2B58">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Data frequency</w:t>
            </w:r>
          </w:p>
        </w:tc>
        <w:tc>
          <w:tcPr>
            <w:tcW w:w="11047" w:type="dxa"/>
            <w:shd w:val="clear" w:color="auto" w:fill="auto"/>
          </w:tcPr>
          <w:p w14:paraId="59C99622" w14:textId="77777777" w:rsidR="00833EB8" w:rsidRDefault="006C7C1E" w:rsidP="00DD2B58">
            <w:pPr>
              <w:pStyle w:val="ListParagraph"/>
              <w:numPr>
                <w:ilvl w:val="0"/>
                <w:numId w:val="12"/>
              </w:numPr>
              <w:snapToGrid w:val="0"/>
              <w:contextualSpacing w:val="0"/>
              <w:rPr>
                <w:rFonts w:cstheme="minorHAnsi"/>
                <w:sz w:val="20"/>
                <w:szCs w:val="20"/>
                <w:lang w:val="en-US"/>
              </w:rPr>
            </w:pPr>
            <w:r>
              <w:rPr>
                <w:rFonts w:cstheme="minorHAnsi"/>
                <w:sz w:val="20"/>
                <w:szCs w:val="20"/>
                <w:lang w:val="en-US"/>
              </w:rPr>
              <w:t>Monthly</w:t>
            </w:r>
          </w:p>
          <w:p w14:paraId="27F88DF1" w14:textId="35CE9A70" w:rsidR="006C7C1E" w:rsidRDefault="006C7C1E" w:rsidP="00DD2B58">
            <w:pPr>
              <w:pStyle w:val="ListParagraph"/>
              <w:numPr>
                <w:ilvl w:val="0"/>
                <w:numId w:val="12"/>
              </w:numPr>
              <w:snapToGrid w:val="0"/>
              <w:contextualSpacing w:val="0"/>
              <w:rPr>
                <w:rFonts w:cstheme="minorHAnsi"/>
                <w:sz w:val="20"/>
                <w:szCs w:val="20"/>
                <w:lang w:val="en-US"/>
              </w:rPr>
            </w:pPr>
            <w:r>
              <w:rPr>
                <w:rFonts w:cstheme="minorHAnsi"/>
                <w:sz w:val="20"/>
                <w:szCs w:val="20"/>
                <w:lang w:val="en-US"/>
              </w:rPr>
              <w:t>Quarterly</w:t>
            </w:r>
          </w:p>
          <w:p w14:paraId="38CE09DA" w14:textId="70312578" w:rsidR="006C7C1E" w:rsidRPr="007306AF" w:rsidRDefault="006C7C1E" w:rsidP="00DD2B58">
            <w:pPr>
              <w:pStyle w:val="ListParagraph"/>
              <w:numPr>
                <w:ilvl w:val="0"/>
                <w:numId w:val="12"/>
              </w:numPr>
              <w:snapToGrid w:val="0"/>
              <w:contextualSpacing w:val="0"/>
              <w:rPr>
                <w:rFonts w:cstheme="minorHAnsi"/>
                <w:sz w:val="20"/>
                <w:szCs w:val="20"/>
                <w:lang w:val="en-US"/>
              </w:rPr>
            </w:pPr>
            <w:r>
              <w:rPr>
                <w:rFonts w:cstheme="minorHAnsi"/>
                <w:sz w:val="20"/>
                <w:szCs w:val="20"/>
                <w:lang w:val="en-US"/>
              </w:rPr>
              <w:t xml:space="preserve">Annually </w:t>
            </w:r>
          </w:p>
        </w:tc>
      </w:tr>
      <w:tr w:rsidR="00833EB8" w14:paraId="06CE1061" w14:textId="77777777" w:rsidTr="00DD2B58">
        <w:trPr>
          <w:trHeight w:val="23"/>
        </w:trPr>
        <w:tc>
          <w:tcPr>
            <w:tcW w:w="0" w:type="auto"/>
            <w:vMerge/>
            <w:shd w:val="clear" w:color="auto" w:fill="F2F2F2" w:themeFill="background1" w:themeFillShade="F2"/>
            <w:vAlign w:val="center"/>
          </w:tcPr>
          <w:p w14:paraId="2A01A9F8" w14:textId="77777777" w:rsidR="00833EB8" w:rsidRPr="00071CD0" w:rsidRDefault="00833EB8" w:rsidP="00DD2B58">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1CE2566E" w14:textId="77777777" w:rsidR="00833EB8" w:rsidRPr="00071CD0" w:rsidRDefault="00833EB8" w:rsidP="00DD2B58">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321A6A71" w14:textId="77777777" w:rsidR="00833EB8" w:rsidRPr="00071CD0" w:rsidRDefault="00833EB8" w:rsidP="00DD2B58">
            <w:pPr>
              <w:pStyle w:val="ListParagraph"/>
              <w:snapToGrid w:val="0"/>
              <w:ind w:left="0"/>
              <w:contextualSpacing w:val="0"/>
              <w:rPr>
                <w:rFonts w:cstheme="minorHAnsi"/>
                <w:b/>
                <w:bCs/>
                <w:sz w:val="20"/>
                <w:szCs w:val="20"/>
                <w:lang w:val="en-US"/>
              </w:rPr>
            </w:pPr>
          </w:p>
        </w:tc>
        <w:tc>
          <w:tcPr>
            <w:tcW w:w="0" w:type="auto"/>
            <w:shd w:val="clear" w:color="auto" w:fill="F2F2F2" w:themeFill="background1" w:themeFillShade="F2"/>
          </w:tcPr>
          <w:p w14:paraId="3A723888" w14:textId="77777777" w:rsidR="00833EB8" w:rsidRPr="00071CD0" w:rsidRDefault="00833EB8" w:rsidP="00DD2B58">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4</w:t>
            </w:r>
          </w:p>
        </w:tc>
        <w:tc>
          <w:tcPr>
            <w:tcW w:w="0" w:type="auto"/>
            <w:shd w:val="clear" w:color="auto" w:fill="F2F2F2" w:themeFill="background1" w:themeFillShade="F2"/>
          </w:tcPr>
          <w:p w14:paraId="4AEF9E2F" w14:textId="77777777" w:rsidR="00833EB8" w:rsidRPr="00071CD0" w:rsidRDefault="00833EB8" w:rsidP="00DD2B58">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Data class</w:t>
            </w:r>
          </w:p>
        </w:tc>
        <w:tc>
          <w:tcPr>
            <w:tcW w:w="11047" w:type="dxa"/>
            <w:shd w:val="clear" w:color="auto" w:fill="auto"/>
          </w:tcPr>
          <w:p w14:paraId="4D8997D7" w14:textId="40C0ABBF" w:rsidR="00833EB8" w:rsidRDefault="006C7C1E" w:rsidP="00DD2B58">
            <w:pPr>
              <w:pStyle w:val="ListParagraph"/>
              <w:snapToGrid w:val="0"/>
              <w:ind w:left="0"/>
              <w:contextualSpacing w:val="0"/>
              <w:rPr>
                <w:rFonts w:cstheme="minorHAnsi"/>
                <w:sz w:val="20"/>
                <w:szCs w:val="20"/>
                <w:lang w:val="en-US"/>
              </w:rPr>
            </w:pPr>
            <w:r>
              <w:rPr>
                <w:rFonts w:cstheme="minorHAnsi"/>
                <w:sz w:val="20"/>
                <w:szCs w:val="20"/>
                <w:lang w:val="en-US"/>
              </w:rPr>
              <w:t>1.    Credit</w:t>
            </w:r>
          </w:p>
          <w:p w14:paraId="659456AD" w14:textId="305DB166" w:rsidR="006C7C1E" w:rsidRPr="007306AF" w:rsidRDefault="006C7C1E" w:rsidP="00DD2B58">
            <w:pPr>
              <w:pStyle w:val="ListParagraph"/>
              <w:snapToGrid w:val="0"/>
              <w:ind w:left="0"/>
              <w:contextualSpacing w:val="0"/>
              <w:rPr>
                <w:rFonts w:cstheme="minorHAnsi"/>
                <w:sz w:val="20"/>
                <w:szCs w:val="20"/>
                <w:lang w:val="en-US"/>
              </w:rPr>
            </w:pPr>
            <w:r>
              <w:rPr>
                <w:rFonts w:cstheme="minorHAnsi"/>
                <w:sz w:val="20"/>
                <w:szCs w:val="20"/>
                <w:lang w:val="en-US"/>
              </w:rPr>
              <w:t>2.    Consumer Finance</w:t>
            </w:r>
          </w:p>
        </w:tc>
      </w:tr>
      <w:tr w:rsidR="00833EB8" w14:paraId="535F1F71" w14:textId="77777777" w:rsidTr="00DD2B58">
        <w:trPr>
          <w:trHeight w:val="23"/>
        </w:trPr>
        <w:tc>
          <w:tcPr>
            <w:tcW w:w="0" w:type="auto"/>
            <w:vMerge/>
            <w:shd w:val="clear" w:color="auto" w:fill="F2F2F2" w:themeFill="background1" w:themeFillShade="F2"/>
            <w:vAlign w:val="center"/>
          </w:tcPr>
          <w:p w14:paraId="2A571170" w14:textId="77777777" w:rsidR="00833EB8" w:rsidRPr="00071CD0" w:rsidRDefault="00833EB8" w:rsidP="00DD2B58">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6944B201" w14:textId="77777777" w:rsidR="00833EB8" w:rsidRPr="00071CD0" w:rsidRDefault="00833EB8" w:rsidP="00DD2B58">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0B6DB2AC" w14:textId="77777777" w:rsidR="00833EB8" w:rsidRPr="00071CD0" w:rsidRDefault="00833EB8" w:rsidP="00DD2B58">
            <w:pPr>
              <w:pStyle w:val="ListParagraph"/>
              <w:snapToGrid w:val="0"/>
              <w:ind w:left="0"/>
              <w:contextualSpacing w:val="0"/>
              <w:rPr>
                <w:rFonts w:cstheme="minorHAnsi"/>
                <w:b/>
                <w:bCs/>
                <w:sz w:val="20"/>
                <w:szCs w:val="20"/>
                <w:lang w:val="en-US"/>
              </w:rPr>
            </w:pPr>
          </w:p>
        </w:tc>
        <w:tc>
          <w:tcPr>
            <w:tcW w:w="0" w:type="auto"/>
            <w:shd w:val="clear" w:color="auto" w:fill="F2F2F2" w:themeFill="background1" w:themeFillShade="F2"/>
          </w:tcPr>
          <w:p w14:paraId="0A6C2FF4" w14:textId="77777777" w:rsidR="00833EB8" w:rsidRPr="00071CD0" w:rsidRDefault="00833EB8" w:rsidP="00DD2B58">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5</w:t>
            </w:r>
          </w:p>
        </w:tc>
        <w:tc>
          <w:tcPr>
            <w:tcW w:w="0" w:type="auto"/>
            <w:shd w:val="clear" w:color="auto" w:fill="F2F2F2" w:themeFill="background1" w:themeFillShade="F2"/>
          </w:tcPr>
          <w:p w14:paraId="73785158" w14:textId="77777777" w:rsidR="00833EB8" w:rsidRPr="00071CD0" w:rsidRDefault="00833EB8" w:rsidP="00DD2B58">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Data source</w:t>
            </w:r>
          </w:p>
        </w:tc>
        <w:tc>
          <w:tcPr>
            <w:tcW w:w="11047" w:type="dxa"/>
            <w:shd w:val="clear" w:color="auto" w:fill="auto"/>
          </w:tcPr>
          <w:p w14:paraId="48D5061E" w14:textId="77777777" w:rsidR="006C7C1E" w:rsidRDefault="006C7C1E" w:rsidP="006C7C1E">
            <w:pPr>
              <w:pStyle w:val="ListParagraph"/>
              <w:numPr>
                <w:ilvl w:val="0"/>
                <w:numId w:val="19"/>
              </w:numPr>
              <w:snapToGrid w:val="0"/>
              <w:contextualSpacing w:val="0"/>
              <w:rPr>
                <w:rFonts w:cstheme="minorHAnsi"/>
                <w:sz w:val="20"/>
                <w:szCs w:val="20"/>
                <w:lang w:val="en-US"/>
              </w:rPr>
            </w:pPr>
            <w:r>
              <w:rPr>
                <w:rFonts w:cstheme="minorHAnsi"/>
                <w:sz w:val="20"/>
                <w:szCs w:val="20"/>
                <w:lang w:val="en-US"/>
              </w:rPr>
              <w:t>Credit card companies</w:t>
            </w:r>
          </w:p>
          <w:p w14:paraId="6B8CBE05" w14:textId="7591D6A5" w:rsidR="006C7C1E" w:rsidRDefault="006C7C1E" w:rsidP="006C7C1E">
            <w:pPr>
              <w:pStyle w:val="ListParagraph"/>
              <w:numPr>
                <w:ilvl w:val="0"/>
                <w:numId w:val="19"/>
              </w:numPr>
              <w:snapToGrid w:val="0"/>
              <w:contextualSpacing w:val="0"/>
              <w:rPr>
                <w:rFonts w:cstheme="minorHAnsi"/>
                <w:sz w:val="20"/>
                <w:szCs w:val="20"/>
                <w:lang w:val="en-US"/>
              </w:rPr>
            </w:pPr>
            <w:r>
              <w:rPr>
                <w:rFonts w:cstheme="minorHAnsi"/>
                <w:sz w:val="20"/>
                <w:szCs w:val="20"/>
                <w:lang w:val="en-US"/>
              </w:rPr>
              <w:t xml:space="preserve">Credit </w:t>
            </w:r>
            <w:r w:rsidR="00F617BE">
              <w:rPr>
                <w:rFonts w:cstheme="minorHAnsi"/>
                <w:sz w:val="20"/>
                <w:szCs w:val="20"/>
                <w:lang w:val="en-US"/>
              </w:rPr>
              <w:t>Bureaus</w:t>
            </w:r>
          </w:p>
          <w:p w14:paraId="41D63FEC" w14:textId="0E5D0862" w:rsidR="006C7C1E" w:rsidRPr="006C7C1E" w:rsidRDefault="006C7C1E" w:rsidP="006C7C1E">
            <w:pPr>
              <w:pStyle w:val="ListParagraph"/>
              <w:numPr>
                <w:ilvl w:val="0"/>
                <w:numId w:val="19"/>
              </w:numPr>
              <w:snapToGrid w:val="0"/>
              <w:contextualSpacing w:val="0"/>
              <w:rPr>
                <w:rFonts w:cstheme="minorHAnsi"/>
                <w:sz w:val="20"/>
                <w:szCs w:val="20"/>
                <w:lang w:val="en-US"/>
              </w:rPr>
            </w:pPr>
            <w:r>
              <w:rPr>
                <w:rFonts w:cstheme="minorHAnsi"/>
                <w:sz w:val="20"/>
                <w:szCs w:val="20"/>
                <w:lang w:val="en-US"/>
              </w:rPr>
              <w:t>Financial Institutions</w:t>
            </w:r>
          </w:p>
        </w:tc>
      </w:tr>
      <w:tr w:rsidR="00833EB8" w14:paraId="3F12C2F3" w14:textId="77777777" w:rsidTr="00DD2B58">
        <w:trPr>
          <w:trHeight w:val="23"/>
        </w:trPr>
        <w:tc>
          <w:tcPr>
            <w:tcW w:w="0" w:type="auto"/>
            <w:vMerge/>
            <w:shd w:val="clear" w:color="auto" w:fill="F2F2F2" w:themeFill="background1" w:themeFillShade="F2"/>
            <w:vAlign w:val="center"/>
          </w:tcPr>
          <w:p w14:paraId="034622AC" w14:textId="77777777" w:rsidR="00833EB8" w:rsidRPr="00071CD0" w:rsidRDefault="00833EB8" w:rsidP="00DD2B58">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34ACD430" w14:textId="77777777" w:rsidR="00833EB8" w:rsidRPr="00071CD0" w:rsidRDefault="00833EB8" w:rsidP="00DD2B58">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6554F5A7" w14:textId="77777777" w:rsidR="00833EB8" w:rsidRPr="00071CD0" w:rsidRDefault="00833EB8" w:rsidP="00DD2B58">
            <w:pPr>
              <w:pStyle w:val="ListParagraph"/>
              <w:snapToGrid w:val="0"/>
              <w:ind w:left="0"/>
              <w:contextualSpacing w:val="0"/>
              <w:rPr>
                <w:rFonts w:cstheme="minorHAnsi"/>
                <w:b/>
                <w:bCs/>
                <w:sz w:val="20"/>
                <w:szCs w:val="20"/>
                <w:lang w:val="en-US"/>
              </w:rPr>
            </w:pPr>
          </w:p>
        </w:tc>
        <w:tc>
          <w:tcPr>
            <w:tcW w:w="0" w:type="auto"/>
            <w:shd w:val="clear" w:color="auto" w:fill="F2F2F2" w:themeFill="background1" w:themeFillShade="F2"/>
          </w:tcPr>
          <w:p w14:paraId="0760EBB3" w14:textId="77777777" w:rsidR="00833EB8" w:rsidRPr="00071CD0" w:rsidRDefault="00833EB8" w:rsidP="00DD2B58">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6</w:t>
            </w:r>
          </w:p>
        </w:tc>
        <w:tc>
          <w:tcPr>
            <w:tcW w:w="0" w:type="auto"/>
            <w:shd w:val="clear" w:color="auto" w:fill="F2F2F2" w:themeFill="background1" w:themeFillShade="F2"/>
          </w:tcPr>
          <w:p w14:paraId="2C3EF850" w14:textId="77777777" w:rsidR="00833EB8" w:rsidRPr="00071CD0" w:rsidRDefault="00833EB8" w:rsidP="00DD2B58">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Data Variety</w:t>
            </w:r>
          </w:p>
        </w:tc>
        <w:tc>
          <w:tcPr>
            <w:tcW w:w="11047" w:type="dxa"/>
            <w:shd w:val="clear" w:color="auto" w:fill="auto"/>
          </w:tcPr>
          <w:p w14:paraId="698B07A5" w14:textId="7A36338A" w:rsidR="00833EB8" w:rsidRDefault="006C7C1E" w:rsidP="006C7C1E">
            <w:pPr>
              <w:pStyle w:val="ListParagraph"/>
              <w:numPr>
                <w:ilvl w:val="0"/>
                <w:numId w:val="13"/>
              </w:numPr>
              <w:snapToGrid w:val="0"/>
              <w:contextualSpacing w:val="0"/>
              <w:rPr>
                <w:rFonts w:cstheme="minorHAnsi"/>
                <w:sz w:val="20"/>
                <w:szCs w:val="20"/>
                <w:lang w:val="en-US"/>
              </w:rPr>
            </w:pPr>
            <w:r>
              <w:rPr>
                <w:rFonts w:cstheme="minorHAnsi"/>
                <w:sz w:val="20"/>
                <w:szCs w:val="20"/>
                <w:lang w:val="en-US"/>
              </w:rPr>
              <w:t xml:space="preserve">Account </w:t>
            </w:r>
            <w:r w:rsidR="00F617BE">
              <w:rPr>
                <w:rFonts w:cstheme="minorHAnsi"/>
                <w:sz w:val="20"/>
                <w:szCs w:val="20"/>
                <w:lang w:val="en-US"/>
              </w:rPr>
              <w:t>Balances</w:t>
            </w:r>
          </w:p>
          <w:p w14:paraId="2C911529" w14:textId="77777777" w:rsidR="006C7C1E" w:rsidRDefault="006C7C1E" w:rsidP="006C7C1E">
            <w:pPr>
              <w:pStyle w:val="ListParagraph"/>
              <w:numPr>
                <w:ilvl w:val="0"/>
                <w:numId w:val="13"/>
              </w:numPr>
              <w:snapToGrid w:val="0"/>
              <w:contextualSpacing w:val="0"/>
              <w:rPr>
                <w:rFonts w:cstheme="minorHAnsi"/>
                <w:sz w:val="20"/>
                <w:szCs w:val="20"/>
                <w:lang w:val="en-US"/>
              </w:rPr>
            </w:pPr>
            <w:r>
              <w:rPr>
                <w:rFonts w:cstheme="minorHAnsi"/>
                <w:sz w:val="20"/>
                <w:szCs w:val="20"/>
                <w:lang w:val="en-US"/>
              </w:rPr>
              <w:t>Credit limits</w:t>
            </w:r>
          </w:p>
          <w:p w14:paraId="10AC83E0" w14:textId="77777777" w:rsidR="006C7C1E" w:rsidRDefault="006C7C1E" w:rsidP="006C7C1E">
            <w:pPr>
              <w:pStyle w:val="ListParagraph"/>
              <w:numPr>
                <w:ilvl w:val="0"/>
                <w:numId w:val="13"/>
              </w:numPr>
              <w:snapToGrid w:val="0"/>
              <w:contextualSpacing w:val="0"/>
              <w:rPr>
                <w:rFonts w:cstheme="minorHAnsi"/>
                <w:sz w:val="20"/>
                <w:szCs w:val="20"/>
                <w:lang w:val="en-US"/>
              </w:rPr>
            </w:pPr>
            <w:r>
              <w:rPr>
                <w:rFonts w:cstheme="minorHAnsi"/>
                <w:sz w:val="20"/>
                <w:szCs w:val="20"/>
                <w:lang w:val="en-US"/>
              </w:rPr>
              <w:t>Credit utilization rates</w:t>
            </w:r>
          </w:p>
          <w:p w14:paraId="1657BDA3" w14:textId="0D54ECC7" w:rsidR="006C7C1E" w:rsidRPr="006C7C1E" w:rsidRDefault="006C7C1E" w:rsidP="006C7C1E">
            <w:pPr>
              <w:pStyle w:val="ListParagraph"/>
              <w:numPr>
                <w:ilvl w:val="0"/>
                <w:numId w:val="13"/>
              </w:numPr>
              <w:snapToGrid w:val="0"/>
              <w:contextualSpacing w:val="0"/>
              <w:rPr>
                <w:rFonts w:cstheme="minorHAnsi"/>
                <w:sz w:val="20"/>
                <w:szCs w:val="20"/>
                <w:lang w:val="en-US"/>
              </w:rPr>
            </w:pPr>
            <w:r>
              <w:rPr>
                <w:rFonts w:cstheme="minorHAnsi"/>
                <w:sz w:val="20"/>
                <w:szCs w:val="20"/>
                <w:lang w:val="en-US"/>
              </w:rPr>
              <w:t>Payment history</w:t>
            </w:r>
          </w:p>
        </w:tc>
      </w:tr>
    </w:tbl>
    <w:p w14:paraId="6A84E61A" w14:textId="77777777" w:rsidR="00EA649F" w:rsidRPr="00B32380" w:rsidRDefault="00EA649F" w:rsidP="00750815">
      <w:pPr>
        <w:pStyle w:val="ListParagraph"/>
        <w:snapToGrid w:val="0"/>
        <w:spacing w:after="0" w:line="240" w:lineRule="auto"/>
        <w:ind w:left="936"/>
        <w:contextualSpacing w:val="0"/>
        <w:rPr>
          <w:rFonts w:cstheme="minorHAnsi"/>
          <w:b/>
          <w:bCs/>
          <w:sz w:val="20"/>
          <w:szCs w:val="20"/>
          <w:lang w:val="en-US"/>
        </w:rPr>
      </w:pPr>
    </w:p>
    <w:p w14:paraId="797D3501" w14:textId="77777777" w:rsidR="00B13673" w:rsidRDefault="00B13673" w:rsidP="00B13673">
      <w:pPr>
        <w:pStyle w:val="ListParagraph"/>
        <w:snapToGrid w:val="0"/>
        <w:spacing w:after="0" w:line="240" w:lineRule="auto"/>
        <w:ind w:left="936"/>
        <w:contextualSpacing w:val="0"/>
        <w:rPr>
          <w:rFonts w:cstheme="minorHAnsi"/>
          <w:b/>
          <w:bCs/>
          <w:sz w:val="20"/>
          <w:szCs w:val="20"/>
          <w:lang w:val="en-US"/>
        </w:rPr>
      </w:pPr>
    </w:p>
    <w:p w14:paraId="4005C28B" w14:textId="77777777" w:rsidR="00B13673" w:rsidRDefault="00B13673" w:rsidP="00B13673">
      <w:pPr>
        <w:pStyle w:val="ListParagraph"/>
        <w:snapToGrid w:val="0"/>
        <w:spacing w:after="0" w:line="240" w:lineRule="auto"/>
        <w:ind w:left="936"/>
        <w:contextualSpacing w:val="0"/>
        <w:rPr>
          <w:rFonts w:cstheme="minorHAnsi"/>
          <w:b/>
          <w:bCs/>
          <w:sz w:val="20"/>
          <w:szCs w:val="20"/>
          <w:lang w:val="en-US"/>
        </w:rPr>
      </w:pPr>
    </w:p>
    <w:p w14:paraId="3B4201E3" w14:textId="77777777" w:rsidR="00B13673" w:rsidRDefault="00B13673" w:rsidP="00B13673">
      <w:pPr>
        <w:pStyle w:val="ListParagraph"/>
        <w:snapToGrid w:val="0"/>
        <w:spacing w:after="0" w:line="240" w:lineRule="auto"/>
        <w:ind w:left="936"/>
        <w:contextualSpacing w:val="0"/>
        <w:rPr>
          <w:rFonts w:cstheme="minorHAnsi"/>
          <w:b/>
          <w:bCs/>
          <w:sz w:val="20"/>
          <w:szCs w:val="20"/>
          <w:lang w:val="en-US"/>
        </w:rPr>
      </w:pPr>
    </w:p>
    <w:p w14:paraId="6DF9AFA8" w14:textId="77777777" w:rsidR="00B13673" w:rsidRDefault="00B13673" w:rsidP="00B13673">
      <w:pPr>
        <w:pStyle w:val="ListParagraph"/>
        <w:snapToGrid w:val="0"/>
        <w:spacing w:after="0" w:line="240" w:lineRule="auto"/>
        <w:ind w:left="936"/>
        <w:contextualSpacing w:val="0"/>
        <w:rPr>
          <w:rFonts w:cstheme="minorHAnsi"/>
          <w:b/>
          <w:bCs/>
          <w:sz w:val="20"/>
          <w:szCs w:val="20"/>
          <w:lang w:val="en-US"/>
        </w:rPr>
      </w:pPr>
    </w:p>
    <w:p w14:paraId="5FB4F403" w14:textId="77777777" w:rsidR="00B13673" w:rsidRDefault="00B13673" w:rsidP="00B13673">
      <w:pPr>
        <w:pStyle w:val="ListParagraph"/>
        <w:snapToGrid w:val="0"/>
        <w:spacing w:after="0" w:line="240" w:lineRule="auto"/>
        <w:ind w:left="936"/>
        <w:contextualSpacing w:val="0"/>
        <w:rPr>
          <w:rFonts w:cstheme="minorHAnsi"/>
          <w:b/>
          <w:bCs/>
          <w:sz w:val="20"/>
          <w:szCs w:val="20"/>
          <w:lang w:val="en-US"/>
        </w:rPr>
      </w:pPr>
    </w:p>
    <w:p w14:paraId="342DED7C" w14:textId="77777777" w:rsidR="00B13673" w:rsidRDefault="00B13673" w:rsidP="00B13673">
      <w:pPr>
        <w:pStyle w:val="ListParagraph"/>
        <w:snapToGrid w:val="0"/>
        <w:spacing w:after="0" w:line="240" w:lineRule="auto"/>
        <w:ind w:left="936"/>
        <w:contextualSpacing w:val="0"/>
        <w:rPr>
          <w:rFonts w:cstheme="minorHAnsi"/>
          <w:b/>
          <w:bCs/>
          <w:sz w:val="20"/>
          <w:szCs w:val="20"/>
          <w:lang w:val="en-US"/>
        </w:rPr>
      </w:pPr>
    </w:p>
    <w:p w14:paraId="5041204E" w14:textId="77777777" w:rsidR="00B13673" w:rsidRDefault="00B13673" w:rsidP="00B13673">
      <w:pPr>
        <w:pStyle w:val="ListParagraph"/>
        <w:snapToGrid w:val="0"/>
        <w:spacing w:after="0" w:line="240" w:lineRule="auto"/>
        <w:ind w:left="936"/>
        <w:contextualSpacing w:val="0"/>
        <w:rPr>
          <w:rFonts w:cstheme="minorHAnsi"/>
          <w:b/>
          <w:bCs/>
          <w:sz w:val="20"/>
          <w:szCs w:val="20"/>
          <w:lang w:val="en-US"/>
        </w:rPr>
      </w:pPr>
    </w:p>
    <w:p w14:paraId="0E86BA2C" w14:textId="77777777" w:rsidR="00B13673" w:rsidRDefault="00B13673" w:rsidP="00B13673">
      <w:pPr>
        <w:pStyle w:val="ListParagraph"/>
        <w:snapToGrid w:val="0"/>
        <w:spacing w:after="0" w:line="240" w:lineRule="auto"/>
        <w:ind w:left="936"/>
        <w:contextualSpacing w:val="0"/>
        <w:rPr>
          <w:rFonts w:cstheme="minorHAnsi"/>
          <w:b/>
          <w:bCs/>
          <w:sz w:val="20"/>
          <w:szCs w:val="20"/>
          <w:lang w:val="en-US"/>
        </w:rPr>
      </w:pPr>
    </w:p>
    <w:p w14:paraId="71F85993" w14:textId="77777777" w:rsidR="00B13673" w:rsidRDefault="00B13673" w:rsidP="00B13673">
      <w:pPr>
        <w:pStyle w:val="ListParagraph"/>
        <w:snapToGrid w:val="0"/>
        <w:spacing w:after="0" w:line="240" w:lineRule="auto"/>
        <w:ind w:left="936"/>
        <w:contextualSpacing w:val="0"/>
        <w:rPr>
          <w:rFonts w:cstheme="minorHAnsi"/>
          <w:b/>
          <w:bCs/>
          <w:sz w:val="20"/>
          <w:szCs w:val="20"/>
          <w:lang w:val="en-US"/>
        </w:rPr>
      </w:pPr>
    </w:p>
    <w:p w14:paraId="62A0E5D6" w14:textId="77777777" w:rsidR="00B13673" w:rsidRDefault="00B13673" w:rsidP="00B13673">
      <w:pPr>
        <w:pStyle w:val="ListParagraph"/>
        <w:snapToGrid w:val="0"/>
        <w:spacing w:after="0" w:line="240" w:lineRule="auto"/>
        <w:ind w:left="936"/>
        <w:contextualSpacing w:val="0"/>
        <w:rPr>
          <w:rFonts w:cstheme="minorHAnsi"/>
          <w:b/>
          <w:bCs/>
          <w:sz w:val="20"/>
          <w:szCs w:val="20"/>
          <w:lang w:val="en-US"/>
        </w:rPr>
      </w:pPr>
    </w:p>
    <w:p w14:paraId="3ADDA4BD" w14:textId="77777777" w:rsidR="00B13673" w:rsidRDefault="00B13673" w:rsidP="00B13673">
      <w:pPr>
        <w:pStyle w:val="ListParagraph"/>
        <w:snapToGrid w:val="0"/>
        <w:spacing w:after="0" w:line="240" w:lineRule="auto"/>
        <w:ind w:left="936"/>
        <w:contextualSpacing w:val="0"/>
        <w:rPr>
          <w:rFonts w:cstheme="minorHAnsi"/>
          <w:b/>
          <w:bCs/>
          <w:sz w:val="20"/>
          <w:szCs w:val="20"/>
          <w:lang w:val="en-US"/>
        </w:rPr>
      </w:pPr>
    </w:p>
    <w:p w14:paraId="4C82D6FD" w14:textId="77777777" w:rsidR="00B13673" w:rsidRDefault="00B13673" w:rsidP="00B13673">
      <w:pPr>
        <w:pStyle w:val="ListParagraph"/>
        <w:snapToGrid w:val="0"/>
        <w:spacing w:after="0" w:line="240" w:lineRule="auto"/>
        <w:ind w:left="936"/>
        <w:contextualSpacing w:val="0"/>
        <w:rPr>
          <w:rFonts w:cstheme="minorHAnsi"/>
          <w:b/>
          <w:bCs/>
          <w:sz w:val="20"/>
          <w:szCs w:val="20"/>
          <w:lang w:val="en-US"/>
        </w:rPr>
      </w:pPr>
    </w:p>
    <w:p w14:paraId="5C583C7F" w14:textId="77777777" w:rsidR="00B13673" w:rsidRDefault="00B13673" w:rsidP="00B13673">
      <w:pPr>
        <w:pStyle w:val="ListParagraph"/>
        <w:snapToGrid w:val="0"/>
        <w:spacing w:after="0" w:line="240" w:lineRule="auto"/>
        <w:ind w:left="936"/>
        <w:contextualSpacing w:val="0"/>
        <w:rPr>
          <w:rFonts w:cstheme="minorHAnsi"/>
          <w:b/>
          <w:bCs/>
          <w:sz w:val="20"/>
          <w:szCs w:val="20"/>
          <w:lang w:val="en-US"/>
        </w:rPr>
      </w:pPr>
    </w:p>
    <w:p w14:paraId="1B69B9DD" w14:textId="77777777" w:rsidR="00B13673" w:rsidRDefault="00B13673" w:rsidP="00B13673">
      <w:pPr>
        <w:pStyle w:val="ListParagraph"/>
        <w:snapToGrid w:val="0"/>
        <w:spacing w:after="0" w:line="240" w:lineRule="auto"/>
        <w:ind w:left="936"/>
        <w:contextualSpacing w:val="0"/>
        <w:rPr>
          <w:rFonts w:cstheme="minorHAnsi"/>
          <w:b/>
          <w:bCs/>
          <w:sz w:val="20"/>
          <w:szCs w:val="20"/>
          <w:lang w:val="en-US"/>
        </w:rPr>
      </w:pPr>
    </w:p>
    <w:p w14:paraId="66296D72" w14:textId="77777777" w:rsidR="00B13673" w:rsidRDefault="00B13673" w:rsidP="00B13673">
      <w:pPr>
        <w:pStyle w:val="ListParagraph"/>
        <w:snapToGrid w:val="0"/>
        <w:spacing w:after="0" w:line="240" w:lineRule="auto"/>
        <w:ind w:left="936"/>
        <w:contextualSpacing w:val="0"/>
        <w:rPr>
          <w:rFonts w:cstheme="minorHAnsi"/>
          <w:b/>
          <w:bCs/>
          <w:sz w:val="20"/>
          <w:szCs w:val="20"/>
          <w:lang w:val="en-US"/>
        </w:rPr>
      </w:pPr>
    </w:p>
    <w:p w14:paraId="06AF08EF" w14:textId="77777777" w:rsidR="00B13673" w:rsidRDefault="00B13673" w:rsidP="00B13673">
      <w:pPr>
        <w:pStyle w:val="ListParagraph"/>
        <w:snapToGrid w:val="0"/>
        <w:spacing w:after="0" w:line="240" w:lineRule="auto"/>
        <w:ind w:left="936"/>
        <w:contextualSpacing w:val="0"/>
        <w:rPr>
          <w:rFonts w:cstheme="minorHAnsi"/>
          <w:b/>
          <w:bCs/>
          <w:sz w:val="20"/>
          <w:szCs w:val="20"/>
          <w:lang w:val="en-US"/>
        </w:rPr>
      </w:pPr>
    </w:p>
    <w:p w14:paraId="20047361" w14:textId="77777777" w:rsidR="00B13673" w:rsidRDefault="00B13673" w:rsidP="00B13673">
      <w:pPr>
        <w:pStyle w:val="ListParagraph"/>
        <w:snapToGrid w:val="0"/>
        <w:spacing w:after="0" w:line="240" w:lineRule="auto"/>
        <w:ind w:left="936"/>
        <w:contextualSpacing w:val="0"/>
        <w:rPr>
          <w:rFonts w:cstheme="minorHAnsi"/>
          <w:b/>
          <w:bCs/>
          <w:sz w:val="20"/>
          <w:szCs w:val="20"/>
          <w:lang w:val="en-US"/>
        </w:rPr>
      </w:pPr>
    </w:p>
    <w:p w14:paraId="3AE6D7CC" w14:textId="77777777" w:rsidR="00B13673" w:rsidRDefault="00B13673" w:rsidP="00B13673">
      <w:pPr>
        <w:pStyle w:val="ListParagraph"/>
        <w:snapToGrid w:val="0"/>
        <w:spacing w:after="0" w:line="240" w:lineRule="auto"/>
        <w:ind w:left="936"/>
        <w:contextualSpacing w:val="0"/>
        <w:rPr>
          <w:rFonts w:cstheme="minorHAnsi"/>
          <w:b/>
          <w:bCs/>
          <w:sz w:val="20"/>
          <w:szCs w:val="20"/>
          <w:lang w:val="en-US"/>
        </w:rPr>
      </w:pPr>
    </w:p>
    <w:p w14:paraId="077C5A1A" w14:textId="77A113B0" w:rsidR="002F4043" w:rsidRPr="00B32380" w:rsidRDefault="00B44FF7" w:rsidP="005606AE">
      <w:pPr>
        <w:pStyle w:val="ListParagraph"/>
        <w:numPr>
          <w:ilvl w:val="1"/>
          <w:numId w:val="1"/>
        </w:numPr>
        <w:snapToGrid w:val="0"/>
        <w:spacing w:after="0" w:line="240" w:lineRule="auto"/>
        <w:contextualSpacing w:val="0"/>
        <w:rPr>
          <w:rFonts w:cstheme="minorHAnsi"/>
          <w:b/>
          <w:bCs/>
          <w:sz w:val="20"/>
          <w:szCs w:val="20"/>
          <w:lang w:val="en-US"/>
        </w:rPr>
      </w:pPr>
      <w:r w:rsidRPr="00B32380">
        <w:rPr>
          <w:rFonts w:cstheme="minorHAnsi"/>
          <w:b/>
          <w:bCs/>
          <w:sz w:val="20"/>
          <w:szCs w:val="20"/>
          <w:lang w:val="en-US"/>
        </w:rPr>
        <w:t xml:space="preserve">Student Oratile - </w:t>
      </w:r>
      <w:r w:rsidRPr="00B32380">
        <w:rPr>
          <w:rFonts w:cstheme="minorHAnsi"/>
          <w:b/>
          <w:bCs/>
          <w:sz w:val="20"/>
          <w:szCs w:val="20"/>
        </w:rPr>
        <w:t>Personal unsecured loan at floating rate Car loan or home loan</w:t>
      </w:r>
      <w:r w:rsidRPr="00B32380">
        <w:rPr>
          <w:rFonts w:cstheme="minorHAnsi"/>
          <w:b/>
          <w:bCs/>
          <w:sz w:val="20"/>
          <w:szCs w:val="20"/>
          <w:lang w:val="en-US"/>
        </w:rPr>
        <w:t xml:space="preserve"> Data </w:t>
      </w:r>
      <w:r w:rsidR="00F25FB2">
        <w:rPr>
          <w:rFonts w:cstheme="minorHAnsi"/>
          <w:b/>
          <w:bCs/>
          <w:sz w:val="20"/>
          <w:szCs w:val="20"/>
          <w:lang w:val="en-US"/>
        </w:rPr>
        <w:t>Characteristics</w:t>
      </w:r>
    </w:p>
    <w:p w14:paraId="6B2058B2" w14:textId="77777777" w:rsidR="00EA649F" w:rsidRDefault="00EA649F" w:rsidP="00750815">
      <w:pPr>
        <w:pStyle w:val="ListParagraph"/>
        <w:snapToGrid w:val="0"/>
        <w:spacing w:after="0" w:line="240" w:lineRule="auto"/>
        <w:ind w:left="936"/>
        <w:contextualSpacing w:val="0"/>
        <w:rPr>
          <w:rFonts w:cstheme="minorHAnsi"/>
          <w:b/>
          <w:bCs/>
          <w:sz w:val="20"/>
          <w:szCs w:val="20"/>
          <w:lang w:val="en-US"/>
        </w:rPr>
      </w:pPr>
    </w:p>
    <w:tbl>
      <w:tblPr>
        <w:tblStyle w:val="TableGrid"/>
        <w:tblW w:w="0" w:type="auto"/>
        <w:tblLook w:val="04A0" w:firstRow="1" w:lastRow="0" w:firstColumn="1" w:lastColumn="0" w:noHBand="0" w:noVBand="1"/>
      </w:tblPr>
      <w:tblGrid>
        <w:gridCol w:w="512"/>
        <w:gridCol w:w="344"/>
        <w:gridCol w:w="318"/>
        <w:gridCol w:w="1806"/>
        <w:gridCol w:w="11047"/>
      </w:tblGrid>
      <w:tr w:rsidR="005606AE" w14:paraId="53DC4BD4" w14:textId="77777777" w:rsidTr="005606AE">
        <w:trPr>
          <w:trHeight w:val="27"/>
        </w:trPr>
        <w:tc>
          <w:tcPr>
            <w:tcW w:w="0" w:type="auto"/>
            <w:gridSpan w:val="2"/>
            <w:shd w:val="clear" w:color="auto" w:fill="F2F2F2" w:themeFill="background1" w:themeFillShade="F2"/>
            <w:vAlign w:val="center"/>
          </w:tcPr>
          <w:p w14:paraId="5862AB4D" w14:textId="6965F007" w:rsidR="005606AE" w:rsidRDefault="005606AE" w:rsidP="00DD2B58">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Table 3.</w:t>
            </w:r>
          </w:p>
        </w:tc>
        <w:tc>
          <w:tcPr>
            <w:tcW w:w="13171" w:type="dxa"/>
            <w:gridSpan w:val="3"/>
            <w:shd w:val="clear" w:color="auto" w:fill="F2F2F2" w:themeFill="background1" w:themeFillShade="F2"/>
          </w:tcPr>
          <w:p w14:paraId="10B6E783" w14:textId="4731BDC5" w:rsidR="005606AE" w:rsidRPr="005606AE" w:rsidRDefault="005606AE" w:rsidP="005606AE">
            <w:pPr>
              <w:pStyle w:val="ListParagraph"/>
              <w:snapToGrid w:val="0"/>
              <w:ind w:left="360"/>
              <w:contextualSpacing w:val="0"/>
              <w:jc w:val="center"/>
              <w:rPr>
                <w:rFonts w:cstheme="minorHAnsi"/>
                <w:b/>
                <w:bCs/>
                <w:sz w:val="20"/>
                <w:szCs w:val="20"/>
                <w:lang w:val="en-US"/>
              </w:rPr>
            </w:pPr>
            <w:r w:rsidRPr="005606AE">
              <w:rPr>
                <w:rFonts w:cstheme="minorHAnsi"/>
                <w:b/>
                <w:bCs/>
                <w:sz w:val="20"/>
                <w:szCs w:val="20"/>
                <w:lang w:val="en-US"/>
              </w:rPr>
              <w:t>Data Characteristics Collection</w:t>
            </w:r>
          </w:p>
        </w:tc>
      </w:tr>
      <w:tr w:rsidR="00B13673" w14:paraId="3E97A18E" w14:textId="77777777" w:rsidTr="00DD2B58">
        <w:trPr>
          <w:trHeight w:val="27"/>
        </w:trPr>
        <w:tc>
          <w:tcPr>
            <w:tcW w:w="0" w:type="auto"/>
            <w:vMerge w:val="restart"/>
            <w:shd w:val="clear" w:color="auto" w:fill="F2F2F2" w:themeFill="background1" w:themeFillShade="F2"/>
            <w:textDirection w:val="btLr"/>
            <w:vAlign w:val="center"/>
          </w:tcPr>
          <w:p w14:paraId="7FE577FD" w14:textId="4627EFFA" w:rsidR="00B13673" w:rsidRPr="00071CD0" w:rsidRDefault="00B13673" w:rsidP="00101FED">
            <w:pPr>
              <w:pStyle w:val="ListParagraph"/>
              <w:snapToGrid w:val="0"/>
              <w:ind w:left="113" w:right="113"/>
              <w:contextualSpacing w:val="0"/>
              <w:jc w:val="center"/>
              <w:rPr>
                <w:rFonts w:cstheme="minorHAnsi"/>
                <w:b/>
                <w:bCs/>
                <w:sz w:val="20"/>
                <w:szCs w:val="20"/>
                <w:lang w:val="en-US"/>
              </w:rPr>
            </w:pPr>
            <w:r>
              <w:rPr>
                <w:rFonts w:cstheme="minorHAnsi"/>
                <w:b/>
                <w:bCs/>
                <w:sz w:val="20"/>
                <w:szCs w:val="20"/>
                <w:lang w:val="en-US"/>
              </w:rPr>
              <w:t>HOME OR AUTOMIBILE LOAN</w:t>
            </w:r>
          </w:p>
        </w:tc>
        <w:tc>
          <w:tcPr>
            <w:tcW w:w="0" w:type="auto"/>
            <w:vMerge w:val="restart"/>
            <w:shd w:val="clear" w:color="auto" w:fill="F2F2F2" w:themeFill="background1" w:themeFillShade="F2"/>
            <w:vAlign w:val="center"/>
          </w:tcPr>
          <w:p w14:paraId="2139244A" w14:textId="09F8B513" w:rsidR="00B13673" w:rsidRPr="00071CD0" w:rsidRDefault="00B13673" w:rsidP="00DD2B58">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2</w:t>
            </w:r>
          </w:p>
        </w:tc>
        <w:tc>
          <w:tcPr>
            <w:tcW w:w="0" w:type="auto"/>
            <w:shd w:val="clear" w:color="auto" w:fill="F2F2F2" w:themeFill="background1" w:themeFillShade="F2"/>
          </w:tcPr>
          <w:p w14:paraId="5F210550" w14:textId="77777777" w:rsidR="00B13673" w:rsidRPr="00071CD0" w:rsidRDefault="00B13673" w:rsidP="00DD2B58">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1</w:t>
            </w:r>
          </w:p>
        </w:tc>
        <w:tc>
          <w:tcPr>
            <w:tcW w:w="0" w:type="auto"/>
            <w:shd w:val="clear" w:color="auto" w:fill="F2F2F2" w:themeFill="background1" w:themeFillShade="F2"/>
          </w:tcPr>
          <w:p w14:paraId="10D5BCE2" w14:textId="77777777" w:rsidR="00B13673" w:rsidRPr="00071CD0" w:rsidRDefault="00B13673" w:rsidP="00DD2B58">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Data type</w:t>
            </w:r>
          </w:p>
        </w:tc>
        <w:tc>
          <w:tcPr>
            <w:tcW w:w="11047" w:type="dxa"/>
            <w:shd w:val="clear" w:color="auto" w:fill="auto"/>
          </w:tcPr>
          <w:p w14:paraId="09670E1F" w14:textId="77777777" w:rsidR="00B13673" w:rsidRDefault="00B13673" w:rsidP="006C7C1E">
            <w:pPr>
              <w:pStyle w:val="ListParagraph"/>
              <w:snapToGrid w:val="0"/>
              <w:ind w:left="360"/>
              <w:contextualSpacing w:val="0"/>
              <w:rPr>
                <w:rFonts w:cstheme="minorHAnsi"/>
                <w:sz w:val="20"/>
                <w:szCs w:val="20"/>
                <w:lang w:val="en-US"/>
              </w:rPr>
            </w:pPr>
            <w:r>
              <w:rPr>
                <w:rFonts w:cstheme="minorHAnsi"/>
                <w:sz w:val="20"/>
                <w:szCs w:val="20"/>
                <w:lang w:val="en-US"/>
              </w:rPr>
              <w:t xml:space="preserve">Assets </w:t>
            </w:r>
          </w:p>
          <w:p w14:paraId="2D9EC27B" w14:textId="1A9A0961" w:rsidR="00B13673" w:rsidRPr="000D0707" w:rsidRDefault="00B13673" w:rsidP="006C7C1E">
            <w:pPr>
              <w:pStyle w:val="ListParagraph"/>
              <w:snapToGrid w:val="0"/>
              <w:ind w:left="360"/>
              <w:contextualSpacing w:val="0"/>
              <w:rPr>
                <w:rFonts w:cstheme="minorHAnsi"/>
                <w:sz w:val="20"/>
                <w:szCs w:val="20"/>
                <w:lang w:val="en-US"/>
              </w:rPr>
            </w:pPr>
            <w:r>
              <w:rPr>
                <w:rFonts w:cstheme="minorHAnsi"/>
                <w:sz w:val="20"/>
                <w:szCs w:val="20"/>
                <w:lang w:val="en-US"/>
              </w:rPr>
              <w:t xml:space="preserve">Economic </w:t>
            </w:r>
          </w:p>
        </w:tc>
      </w:tr>
      <w:tr w:rsidR="00B13673" w14:paraId="528833A7" w14:textId="77777777" w:rsidTr="00DD2B58">
        <w:trPr>
          <w:trHeight w:val="23"/>
        </w:trPr>
        <w:tc>
          <w:tcPr>
            <w:tcW w:w="0" w:type="auto"/>
            <w:vMerge/>
            <w:shd w:val="clear" w:color="auto" w:fill="F2F2F2" w:themeFill="background1" w:themeFillShade="F2"/>
            <w:vAlign w:val="center"/>
          </w:tcPr>
          <w:p w14:paraId="5A1D9941" w14:textId="77777777" w:rsidR="00B13673" w:rsidRPr="00071CD0" w:rsidRDefault="00B13673" w:rsidP="00DD2B58">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3C8D3632" w14:textId="77777777" w:rsidR="00B13673" w:rsidRPr="00071CD0" w:rsidRDefault="00B13673" w:rsidP="00DD2B58">
            <w:pPr>
              <w:pStyle w:val="ListParagraph"/>
              <w:snapToGrid w:val="0"/>
              <w:ind w:left="0"/>
              <w:contextualSpacing w:val="0"/>
              <w:jc w:val="center"/>
              <w:rPr>
                <w:rFonts w:cstheme="minorHAnsi"/>
                <w:b/>
                <w:bCs/>
                <w:sz w:val="20"/>
                <w:szCs w:val="20"/>
                <w:lang w:val="en-US"/>
              </w:rPr>
            </w:pPr>
          </w:p>
        </w:tc>
        <w:tc>
          <w:tcPr>
            <w:tcW w:w="0" w:type="auto"/>
            <w:shd w:val="clear" w:color="auto" w:fill="F2F2F2" w:themeFill="background1" w:themeFillShade="F2"/>
          </w:tcPr>
          <w:p w14:paraId="08CBDDBE" w14:textId="77777777" w:rsidR="00B13673" w:rsidRPr="00071CD0" w:rsidRDefault="00B13673" w:rsidP="00DD2B58">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2</w:t>
            </w:r>
          </w:p>
        </w:tc>
        <w:tc>
          <w:tcPr>
            <w:tcW w:w="0" w:type="auto"/>
            <w:shd w:val="clear" w:color="auto" w:fill="F2F2F2" w:themeFill="background1" w:themeFillShade="F2"/>
          </w:tcPr>
          <w:p w14:paraId="1006743B" w14:textId="77777777" w:rsidR="00B13673" w:rsidRPr="00071CD0" w:rsidRDefault="00B13673" w:rsidP="00DD2B58">
            <w:pPr>
              <w:snapToGrid w:val="0"/>
              <w:rPr>
                <w:rFonts w:cstheme="minorHAnsi"/>
                <w:b/>
                <w:bCs/>
                <w:sz w:val="20"/>
                <w:szCs w:val="20"/>
                <w:lang w:val="en-US"/>
              </w:rPr>
            </w:pPr>
            <w:r w:rsidRPr="00071CD0">
              <w:rPr>
                <w:rFonts w:cstheme="minorHAnsi"/>
                <w:b/>
                <w:bCs/>
                <w:sz w:val="20"/>
                <w:szCs w:val="20"/>
                <w:lang w:val="en-US"/>
              </w:rPr>
              <w:t>Data preprocessing</w:t>
            </w:r>
          </w:p>
        </w:tc>
        <w:tc>
          <w:tcPr>
            <w:tcW w:w="11047" w:type="dxa"/>
            <w:shd w:val="clear" w:color="auto" w:fill="auto"/>
          </w:tcPr>
          <w:p w14:paraId="62A5A35E" w14:textId="05634B05" w:rsidR="00B13673" w:rsidRPr="006C7C1E" w:rsidRDefault="00B13673" w:rsidP="006C7C1E">
            <w:pPr>
              <w:pStyle w:val="ListParagraph"/>
              <w:numPr>
                <w:ilvl w:val="0"/>
                <w:numId w:val="26"/>
              </w:numPr>
              <w:snapToGrid w:val="0"/>
              <w:rPr>
                <w:rFonts w:cstheme="minorHAnsi"/>
                <w:sz w:val="20"/>
                <w:szCs w:val="20"/>
                <w:lang w:val="en-US"/>
              </w:rPr>
            </w:pPr>
            <w:r w:rsidRPr="006C7C1E">
              <w:rPr>
                <w:rFonts w:cstheme="minorHAnsi"/>
                <w:sz w:val="20"/>
                <w:szCs w:val="20"/>
                <w:lang w:val="en-US"/>
              </w:rPr>
              <w:t>unprocessed raw price</w:t>
            </w:r>
          </w:p>
          <w:p w14:paraId="0779463D" w14:textId="18A8D6CB" w:rsidR="00B13673" w:rsidRPr="006C7C1E" w:rsidRDefault="00B13673" w:rsidP="006C7C1E">
            <w:pPr>
              <w:pStyle w:val="ListParagraph"/>
              <w:numPr>
                <w:ilvl w:val="0"/>
                <w:numId w:val="26"/>
              </w:numPr>
              <w:snapToGrid w:val="0"/>
              <w:rPr>
                <w:rFonts w:cstheme="minorHAnsi"/>
                <w:sz w:val="20"/>
                <w:szCs w:val="20"/>
                <w:lang w:val="en-US"/>
              </w:rPr>
            </w:pPr>
            <w:r w:rsidRPr="006C7C1E">
              <w:rPr>
                <w:rFonts w:cstheme="minorHAnsi"/>
                <w:sz w:val="20"/>
                <w:szCs w:val="20"/>
                <w:lang w:val="en-US"/>
              </w:rPr>
              <w:t>levels</w:t>
            </w:r>
          </w:p>
        </w:tc>
      </w:tr>
      <w:tr w:rsidR="00B13673" w14:paraId="64681693" w14:textId="77777777" w:rsidTr="00DD2B58">
        <w:trPr>
          <w:trHeight w:val="23"/>
        </w:trPr>
        <w:tc>
          <w:tcPr>
            <w:tcW w:w="0" w:type="auto"/>
            <w:vMerge/>
            <w:shd w:val="clear" w:color="auto" w:fill="F2F2F2" w:themeFill="background1" w:themeFillShade="F2"/>
            <w:vAlign w:val="center"/>
          </w:tcPr>
          <w:p w14:paraId="4E326EED" w14:textId="77777777" w:rsidR="00B13673" w:rsidRPr="00071CD0" w:rsidRDefault="00B13673" w:rsidP="00DD2B58">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7FD64B17" w14:textId="77777777" w:rsidR="00B13673" w:rsidRPr="00071CD0" w:rsidRDefault="00B13673" w:rsidP="00DD2B58">
            <w:pPr>
              <w:pStyle w:val="ListParagraph"/>
              <w:snapToGrid w:val="0"/>
              <w:ind w:left="0"/>
              <w:contextualSpacing w:val="0"/>
              <w:jc w:val="center"/>
              <w:rPr>
                <w:rFonts w:cstheme="minorHAnsi"/>
                <w:b/>
                <w:bCs/>
                <w:sz w:val="20"/>
                <w:szCs w:val="20"/>
                <w:lang w:val="en-US"/>
              </w:rPr>
            </w:pPr>
          </w:p>
        </w:tc>
        <w:tc>
          <w:tcPr>
            <w:tcW w:w="0" w:type="auto"/>
            <w:shd w:val="clear" w:color="auto" w:fill="F2F2F2" w:themeFill="background1" w:themeFillShade="F2"/>
          </w:tcPr>
          <w:p w14:paraId="6CAFD536" w14:textId="77777777" w:rsidR="00B13673" w:rsidRPr="00071CD0" w:rsidRDefault="00B13673" w:rsidP="00DD2B58">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3</w:t>
            </w:r>
          </w:p>
        </w:tc>
        <w:tc>
          <w:tcPr>
            <w:tcW w:w="0" w:type="auto"/>
            <w:shd w:val="clear" w:color="auto" w:fill="F2F2F2" w:themeFill="background1" w:themeFillShade="F2"/>
          </w:tcPr>
          <w:p w14:paraId="3093675D" w14:textId="77777777" w:rsidR="00B13673" w:rsidRPr="00071CD0" w:rsidRDefault="00B13673" w:rsidP="00DD2B58">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Data frequency</w:t>
            </w:r>
          </w:p>
        </w:tc>
        <w:tc>
          <w:tcPr>
            <w:tcW w:w="11047" w:type="dxa"/>
            <w:shd w:val="clear" w:color="auto" w:fill="auto"/>
          </w:tcPr>
          <w:p w14:paraId="32D4751F" w14:textId="77777777" w:rsidR="00B13673" w:rsidRDefault="00B13673" w:rsidP="00DD2B58">
            <w:pPr>
              <w:pStyle w:val="ListParagraph"/>
              <w:numPr>
                <w:ilvl w:val="0"/>
                <w:numId w:val="12"/>
              </w:numPr>
              <w:snapToGrid w:val="0"/>
              <w:contextualSpacing w:val="0"/>
              <w:rPr>
                <w:rFonts w:cstheme="minorHAnsi"/>
                <w:sz w:val="20"/>
                <w:szCs w:val="20"/>
                <w:lang w:val="en-US"/>
              </w:rPr>
            </w:pPr>
            <w:r>
              <w:rPr>
                <w:rFonts w:cstheme="minorHAnsi"/>
                <w:sz w:val="20"/>
                <w:szCs w:val="20"/>
                <w:lang w:val="en-US"/>
              </w:rPr>
              <w:t>monthly</w:t>
            </w:r>
          </w:p>
          <w:p w14:paraId="4170A43A" w14:textId="0CB5AECB" w:rsidR="00B13673" w:rsidRDefault="00B13673" w:rsidP="00DD2B58">
            <w:pPr>
              <w:pStyle w:val="ListParagraph"/>
              <w:numPr>
                <w:ilvl w:val="0"/>
                <w:numId w:val="12"/>
              </w:numPr>
              <w:snapToGrid w:val="0"/>
              <w:contextualSpacing w:val="0"/>
              <w:rPr>
                <w:rFonts w:cstheme="minorHAnsi"/>
                <w:sz w:val="20"/>
                <w:szCs w:val="20"/>
                <w:lang w:val="en-US"/>
              </w:rPr>
            </w:pPr>
            <w:r>
              <w:rPr>
                <w:rFonts w:cstheme="minorHAnsi"/>
                <w:sz w:val="20"/>
                <w:szCs w:val="20"/>
                <w:lang w:val="en-US"/>
              </w:rPr>
              <w:t>quarterly</w:t>
            </w:r>
          </w:p>
          <w:p w14:paraId="3B87D0F5" w14:textId="52938F41" w:rsidR="00B13673" w:rsidRPr="007306AF" w:rsidRDefault="00B13673" w:rsidP="00DD2B58">
            <w:pPr>
              <w:pStyle w:val="ListParagraph"/>
              <w:numPr>
                <w:ilvl w:val="0"/>
                <w:numId w:val="12"/>
              </w:numPr>
              <w:snapToGrid w:val="0"/>
              <w:contextualSpacing w:val="0"/>
              <w:rPr>
                <w:rFonts w:cstheme="minorHAnsi"/>
                <w:sz w:val="20"/>
                <w:szCs w:val="20"/>
                <w:lang w:val="en-US"/>
              </w:rPr>
            </w:pPr>
            <w:r>
              <w:rPr>
                <w:rFonts w:cstheme="minorHAnsi"/>
                <w:sz w:val="20"/>
                <w:szCs w:val="20"/>
                <w:lang w:val="en-US"/>
              </w:rPr>
              <w:t>annually</w:t>
            </w:r>
          </w:p>
        </w:tc>
      </w:tr>
      <w:tr w:rsidR="00B13673" w14:paraId="1139FCAA" w14:textId="77777777" w:rsidTr="00DD2B58">
        <w:trPr>
          <w:trHeight w:val="23"/>
        </w:trPr>
        <w:tc>
          <w:tcPr>
            <w:tcW w:w="0" w:type="auto"/>
            <w:vMerge/>
            <w:shd w:val="clear" w:color="auto" w:fill="F2F2F2" w:themeFill="background1" w:themeFillShade="F2"/>
            <w:vAlign w:val="center"/>
          </w:tcPr>
          <w:p w14:paraId="083701DD" w14:textId="77777777" w:rsidR="00B13673" w:rsidRPr="00071CD0" w:rsidRDefault="00B13673" w:rsidP="00DD2B58">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414F2372" w14:textId="77777777" w:rsidR="00B13673" w:rsidRPr="00071CD0" w:rsidRDefault="00B13673" w:rsidP="00DD2B58">
            <w:pPr>
              <w:pStyle w:val="ListParagraph"/>
              <w:snapToGrid w:val="0"/>
              <w:ind w:left="0"/>
              <w:contextualSpacing w:val="0"/>
              <w:jc w:val="center"/>
              <w:rPr>
                <w:rFonts w:cstheme="minorHAnsi"/>
                <w:b/>
                <w:bCs/>
                <w:sz w:val="20"/>
                <w:szCs w:val="20"/>
                <w:lang w:val="en-US"/>
              </w:rPr>
            </w:pPr>
          </w:p>
        </w:tc>
        <w:tc>
          <w:tcPr>
            <w:tcW w:w="0" w:type="auto"/>
            <w:shd w:val="clear" w:color="auto" w:fill="F2F2F2" w:themeFill="background1" w:themeFillShade="F2"/>
          </w:tcPr>
          <w:p w14:paraId="397AC57D" w14:textId="77777777" w:rsidR="00B13673" w:rsidRPr="00071CD0" w:rsidRDefault="00B13673" w:rsidP="00DD2B58">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4</w:t>
            </w:r>
          </w:p>
        </w:tc>
        <w:tc>
          <w:tcPr>
            <w:tcW w:w="0" w:type="auto"/>
            <w:shd w:val="clear" w:color="auto" w:fill="F2F2F2" w:themeFill="background1" w:themeFillShade="F2"/>
          </w:tcPr>
          <w:p w14:paraId="35F72ECB" w14:textId="77777777" w:rsidR="00B13673" w:rsidRPr="00071CD0" w:rsidRDefault="00B13673" w:rsidP="00DD2B58">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Data class</w:t>
            </w:r>
          </w:p>
        </w:tc>
        <w:tc>
          <w:tcPr>
            <w:tcW w:w="11047" w:type="dxa"/>
            <w:shd w:val="clear" w:color="auto" w:fill="auto"/>
          </w:tcPr>
          <w:p w14:paraId="7F9EA7D3" w14:textId="77777777" w:rsidR="00B13673" w:rsidRDefault="00B13673" w:rsidP="00DD2B58">
            <w:pPr>
              <w:pStyle w:val="ListParagraph"/>
              <w:snapToGrid w:val="0"/>
              <w:ind w:left="0"/>
              <w:contextualSpacing w:val="0"/>
              <w:rPr>
                <w:rFonts w:cstheme="minorHAnsi"/>
                <w:sz w:val="20"/>
                <w:szCs w:val="20"/>
                <w:lang w:val="en-US"/>
              </w:rPr>
            </w:pPr>
            <w:r>
              <w:rPr>
                <w:rFonts w:cstheme="minorHAnsi"/>
                <w:sz w:val="20"/>
                <w:szCs w:val="20"/>
                <w:lang w:val="en-US"/>
              </w:rPr>
              <w:t>Real estate</w:t>
            </w:r>
          </w:p>
          <w:p w14:paraId="66CAE82D" w14:textId="252BF90A" w:rsidR="00B13673" w:rsidRPr="007306AF" w:rsidRDefault="00B13673" w:rsidP="00DD2B58">
            <w:pPr>
              <w:pStyle w:val="ListParagraph"/>
              <w:snapToGrid w:val="0"/>
              <w:ind w:left="0"/>
              <w:contextualSpacing w:val="0"/>
              <w:rPr>
                <w:rFonts w:cstheme="minorHAnsi"/>
                <w:sz w:val="20"/>
                <w:szCs w:val="20"/>
                <w:lang w:val="en-US"/>
              </w:rPr>
            </w:pPr>
            <w:r>
              <w:rPr>
                <w:rFonts w:cstheme="minorHAnsi"/>
                <w:sz w:val="20"/>
                <w:szCs w:val="20"/>
                <w:lang w:val="en-US"/>
              </w:rPr>
              <w:t>Consumer finance</w:t>
            </w:r>
          </w:p>
        </w:tc>
      </w:tr>
      <w:tr w:rsidR="00B13673" w14:paraId="52357810" w14:textId="77777777" w:rsidTr="00DD2B58">
        <w:trPr>
          <w:trHeight w:val="23"/>
        </w:trPr>
        <w:tc>
          <w:tcPr>
            <w:tcW w:w="0" w:type="auto"/>
            <w:vMerge/>
            <w:shd w:val="clear" w:color="auto" w:fill="F2F2F2" w:themeFill="background1" w:themeFillShade="F2"/>
            <w:vAlign w:val="center"/>
          </w:tcPr>
          <w:p w14:paraId="789EB1F6" w14:textId="77777777" w:rsidR="00B13673" w:rsidRPr="00071CD0" w:rsidRDefault="00B13673" w:rsidP="00DD2B58">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7B1E3103" w14:textId="77777777" w:rsidR="00B13673" w:rsidRPr="00071CD0" w:rsidRDefault="00B13673" w:rsidP="00DD2B58">
            <w:pPr>
              <w:pStyle w:val="ListParagraph"/>
              <w:snapToGrid w:val="0"/>
              <w:ind w:left="0"/>
              <w:contextualSpacing w:val="0"/>
              <w:jc w:val="center"/>
              <w:rPr>
                <w:rFonts w:cstheme="minorHAnsi"/>
                <w:b/>
                <w:bCs/>
                <w:sz w:val="20"/>
                <w:szCs w:val="20"/>
                <w:lang w:val="en-US"/>
              </w:rPr>
            </w:pPr>
          </w:p>
        </w:tc>
        <w:tc>
          <w:tcPr>
            <w:tcW w:w="0" w:type="auto"/>
            <w:shd w:val="clear" w:color="auto" w:fill="F2F2F2" w:themeFill="background1" w:themeFillShade="F2"/>
          </w:tcPr>
          <w:p w14:paraId="6E8A360C" w14:textId="77777777" w:rsidR="00B13673" w:rsidRPr="00071CD0" w:rsidRDefault="00B13673" w:rsidP="00DD2B58">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5</w:t>
            </w:r>
          </w:p>
        </w:tc>
        <w:tc>
          <w:tcPr>
            <w:tcW w:w="0" w:type="auto"/>
            <w:shd w:val="clear" w:color="auto" w:fill="F2F2F2" w:themeFill="background1" w:themeFillShade="F2"/>
          </w:tcPr>
          <w:p w14:paraId="47485BA7" w14:textId="77777777" w:rsidR="00B13673" w:rsidRPr="00071CD0" w:rsidRDefault="00B13673" w:rsidP="00DD2B58">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Data source</w:t>
            </w:r>
          </w:p>
        </w:tc>
        <w:tc>
          <w:tcPr>
            <w:tcW w:w="11047" w:type="dxa"/>
            <w:shd w:val="clear" w:color="auto" w:fill="auto"/>
          </w:tcPr>
          <w:p w14:paraId="45BF173F" w14:textId="77777777" w:rsidR="00B13673" w:rsidRDefault="00B13673" w:rsidP="00DD2B58">
            <w:pPr>
              <w:pStyle w:val="ListParagraph"/>
              <w:numPr>
                <w:ilvl w:val="0"/>
                <w:numId w:val="19"/>
              </w:numPr>
              <w:snapToGrid w:val="0"/>
              <w:contextualSpacing w:val="0"/>
              <w:rPr>
                <w:rFonts w:cstheme="minorHAnsi"/>
                <w:sz w:val="20"/>
                <w:szCs w:val="20"/>
                <w:lang w:val="en-US"/>
              </w:rPr>
            </w:pPr>
            <w:r>
              <w:rPr>
                <w:rFonts w:cstheme="minorHAnsi"/>
                <w:sz w:val="20"/>
                <w:szCs w:val="20"/>
                <w:lang w:val="en-US"/>
              </w:rPr>
              <w:t>Mortgage lenders</w:t>
            </w:r>
          </w:p>
          <w:p w14:paraId="72D39DFE" w14:textId="77777777" w:rsidR="00B13673" w:rsidRDefault="00B13673" w:rsidP="00DD2B58">
            <w:pPr>
              <w:pStyle w:val="ListParagraph"/>
              <w:numPr>
                <w:ilvl w:val="0"/>
                <w:numId w:val="19"/>
              </w:numPr>
              <w:snapToGrid w:val="0"/>
              <w:contextualSpacing w:val="0"/>
              <w:rPr>
                <w:rFonts w:cstheme="minorHAnsi"/>
                <w:sz w:val="20"/>
                <w:szCs w:val="20"/>
                <w:lang w:val="en-US"/>
              </w:rPr>
            </w:pPr>
            <w:r>
              <w:rPr>
                <w:rFonts w:cstheme="minorHAnsi"/>
                <w:sz w:val="20"/>
                <w:szCs w:val="20"/>
                <w:lang w:val="en-US"/>
              </w:rPr>
              <w:t>Real estate database</w:t>
            </w:r>
          </w:p>
          <w:p w14:paraId="5D1037B1" w14:textId="6083AEFC" w:rsidR="00B13673" w:rsidRPr="007306AF" w:rsidRDefault="00B13673" w:rsidP="00DD2B58">
            <w:pPr>
              <w:pStyle w:val="ListParagraph"/>
              <w:numPr>
                <w:ilvl w:val="0"/>
                <w:numId w:val="19"/>
              </w:numPr>
              <w:snapToGrid w:val="0"/>
              <w:contextualSpacing w:val="0"/>
              <w:rPr>
                <w:rFonts w:cstheme="minorHAnsi"/>
                <w:sz w:val="20"/>
                <w:szCs w:val="20"/>
                <w:lang w:val="en-US"/>
              </w:rPr>
            </w:pPr>
            <w:r>
              <w:rPr>
                <w:rFonts w:cstheme="minorHAnsi"/>
                <w:sz w:val="20"/>
                <w:szCs w:val="20"/>
                <w:lang w:val="en-US"/>
              </w:rPr>
              <w:t>Financial institutions</w:t>
            </w:r>
          </w:p>
        </w:tc>
      </w:tr>
      <w:tr w:rsidR="00B13673" w14:paraId="2ED50CF9" w14:textId="77777777" w:rsidTr="00DD2B58">
        <w:trPr>
          <w:trHeight w:val="23"/>
        </w:trPr>
        <w:tc>
          <w:tcPr>
            <w:tcW w:w="0" w:type="auto"/>
            <w:vMerge/>
            <w:shd w:val="clear" w:color="auto" w:fill="F2F2F2" w:themeFill="background1" w:themeFillShade="F2"/>
            <w:vAlign w:val="center"/>
          </w:tcPr>
          <w:p w14:paraId="684BD3D4" w14:textId="77777777" w:rsidR="00B13673" w:rsidRPr="00071CD0" w:rsidRDefault="00B13673" w:rsidP="00DD2B58">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400A59F0" w14:textId="77777777" w:rsidR="00B13673" w:rsidRPr="00071CD0" w:rsidRDefault="00B13673" w:rsidP="00DD2B58">
            <w:pPr>
              <w:pStyle w:val="ListParagraph"/>
              <w:snapToGrid w:val="0"/>
              <w:ind w:left="0"/>
              <w:contextualSpacing w:val="0"/>
              <w:jc w:val="center"/>
              <w:rPr>
                <w:rFonts w:cstheme="minorHAnsi"/>
                <w:b/>
                <w:bCs/>
                <w:sz w:val="20"/>
                <w:szCs w:val="20"/>
                <w:lang w:val="en-US"/>
              </w:rPr>
            </w:pPr>
          </w:p>
        </w:tc>
        <w:tc>
          <w:tcPr>
            <w:tcW w:w="0" w:type="auto"/>
            <w:shd w:val="clear" w:color="auto" w:fill="F2F2F2" w:themeFill="background1" w:themeFillShade="F2"/>
          </w:tcPr>
          <w:p w14:paraId="0A93EF86" w14:textId="77777777" w:rsidR="00B13673" w:rsidRPr="00071CD0" w:rsidRDefault="00B13673" w:rsidP="00DD2B58">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6</w:t>
            </w:r>
          </w:p>
        </w:tc>
        <w:tc>
          <w:tcPr>
            <w:tcW w:w="0" w:type="auto"/>
            <w:shd w:val="clear" w:color="auto" w:fill="F2F2F2" w:themeFill="background1" w:themeFillShade="F2"/>
          </w:tcPr>
          <w:p w14:paraId="6858A737" w14:textId="77777777" w:rsidR="00B13673" w:rsidRPr="00071CD0" w:rsidRDefault="00B13673" w:rsidP="00DD2B58">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Data Variety</w:t>
            </w:r>
          </w:p>
        </w:tc>
        <w:tc>
          <w:tcPr>
            <w:tcW w:w="11047" w:type="dxa"/>
            <w:shd w:val="clear" w:color="auto" w:fill="auto"/>
          </w:tcPr>
          <w:p w14:paraId="65FF31C0" w14:textId="77777777" w:rsidR="00B13673" w:rsidRDefault="00B13673" w:rsidP="006C7C1E">
            <w:pPr>
              <w:pStyle w:val="ListParagraph"/>
              <w:snapToGrid w:val="0"/>
              <w:ind w:left="360"/>
              <w:contextualSpacing w:val="0"/>
              <w:rPr>
                <w:rFonts w:cstheme="minorHAnsi"/>
                <w:sz w:val="20"/>
                <w:szCs w:val="20"/>
                <w:lang w:val="en-US"/>
              </w:rPr>
            </w:pPr>
            <w:r>
              <w:rPr>
                <w:rFonts w:cstheme="minorHAnsi"/>
                <w:sz w:val="20"/>
                <w:szCs w:val="20"/>
                <w:lang w:val="en-US"/>
              </w:rPr>
              <w:t>Mortgage rates</w:t>
            </w:r>
          </w:p>
          <w:p w14:paraId="62FB595C" w14:textId="77777777" w:rsidR="00B13673" w:rsidRDefault="00B13673" w:rsidP="006C7C1E">
            <w:pPr>
              <w:pStyle w:val="ListParagraph"/>
              <w:snapToGrid w:val="0"/>
              <w:ind w:left="360"/>
              <w:contextualSpacing w:val="0"/>
              <w:rPr>
                <w:rFonts w:cstheme="minorHAnsi"/>
                <w:sz w:val="20"/>
                <w:szCs w:val="20"/>
                <w:lang w:val="en-US"/>
              </w:rPr>
            </w:pPr>
            <w:r>
              <w:rPr>
                <w:rFonts w:cstheme="minorHAnsi"/>
                <w:sz w:val="20"/>
                <w:szCs w:val="20"/>
                <w:lang w:val="en-US"/>
              </w:rPr>
              <w:t>Housing market indices</w:t>
            </w:r>
          </w:p>
          <w:p w14:paraId="28BBA2A8" w14:textId="77777777" w:rsidR="00B13673" w:rsidRDefault="00B13673" w:rsidP="006C7C1E">
            <w:pPr>
              <w:pStyle w:val="ListParagraph"/>
              <w:snapToGrid w:val="0"/>
              <w:ind w:left="360"/>
              <w:contextualSpacing w:val="0"/>
              <w:rPr>
                <w:rFonts w:cstheme="minorHAnsi"/>
                <w:sz w:val="20"/>
                <w:szCs w:val="20"/>
                <w:lang w:val="en-US"/>
              </w:rPr>
            </w:pPr>
            <w:r>
              <w:rPr>
                <w:rFonts w:cstheme="minorHAnsi"/>
                <w:sz w:val="20"/>
                <w:szCs w:val="20"/>
                <w:lang w:val="en-US"/>
              </w:rPr>
              <w:t>Property values</w:t>
            </w:r>
          </w:p>
          <w:p w14:paraId="5B3F84C3" w14:textId="0C10958B" w:rsidR="00B13673" w:rsidRPr="007306AF" w:rsidRDefault="00B13673" w:rsidP="006C7C1E">
            <w:pPr>
              <w:pStyle w:val="ListParagraph"/>
              <w:snapToGrid w:val="0"/>
              <w:ind w:left="360"/>
              <w:contextualSpacing w:val="0"/>
              <w:rPr>
                <w:rFonts w:cstheme="minorHAnsi"/>
                <w:sz w:val="20"/>
                <w:szCs w:val="20"/>
                <w:lang w:val="en-US"/>
              </w:rPr>
            </w:pPr>
            <w:r>
              <w:rPr>
                <w:rFonts w:cstheme="minorHAnsi"/>
                <w:sz w:val="20"/>
                <w:szCs w:val="20"/>
                <w:lang w:val="en-US"/>
              </w:rPr>
              <w:t>Loan-to-value ratios</w:t>
            </w:r>
          </w:p>
        </w:tc>
      </w:tr>
    </w:tbl>
    <w:p w14:paraId="52F7A265" w14:textId="77777777" w:rsidR="00EA649F" w:rsidRDefault="00EA649F" w:rsidP="00750815">
      <w:pPr>
        <w:pStyle w:val="ListParagraph"/>
        <w:snapToGrid w:val="0"/>
        <w:spacing w:after="0" w:line="240" w:lineRule="auto"/>
        <w:ind w:left="936"/>
        <w:contextualSpacing w:val="0"/>
        <w:rPr>
          <w:rFonts w:cstheme="minorHAnsi"/>
          <w:b/>
          <w:bCs/>
          <w:sz w:val="20"/>
          <w:szCs w:val="20"/>
          <w:lang w:val="en-US"/>
        </w:rPr>
      </w:pPr>
    </w:p>
    <w:p w14:paraId="011DCEBE" w14:textId="77777777" w:rsidR="00EA649F" w:rsidRDefault="00EA649F" w:rsidP="00750815">
      <w:pPr>
        <w:pStyle w:val="ListParagraph"/>
        <w:snapToGrid w:val="0"/>
        <w:spacing w:after="0" w:line="240" w:lineRule="auto"/>
        <w:ind w:left="936"/>
        <w:contextualSpacing w:val="0"/>
        <w:rPr>
          <w:rFonts w:cstheme="minorHAnsi"/>
          <w:b/>
          <w:bCs/>
          <w:sz w:val="20"/>
          <w:szCs w:val="20"/>
          <w:lang w:val="en-US"/>
        </w:rPr>
      </w:pPr>
    </w:p>
    <w:p w14:paraId="2F5EB83A"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0C30F0C2"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7257AADE"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2C9BDFD7"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241310FF"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6391DF7F"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7227132E"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07B252E7"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60D06402"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5F051B8F"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66876010" w14:textId="77777777" w:rsidR="005606AE" w:rsidRDefault="005606AE" w:rsidP="00750815">
      <w:pPr>
        <w:pStyle w:val="ListParagraph"/>
        <w:snapToGrid w:val="0"/>
        <w:spacing w:after="0" w:line="240" w:lineRule="auto"/>
        <w:ind w:left="936"/>
        <w:contextualSpacing w:val="0"/>
        <w:rPr>
          <w:rFonts w:cstheme="minorHAnsi"/>
          <w:b/>
          <w:bCs/>
          <w:sz w:val="20"/>
          <w:szCs w:val="20"/>
          <w:lang w:val="en-US"/>
        </w:rPr>
      </w:pPr>
    </w:p>
    <w:p w14:paraId="12A12EFB"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65773713"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7D52AE9D"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22C6215D" w14:textId="77777777" w:rsidR="00B13673" w:rsidRDefault="00B13673" w:rsidP="00750815">
      <w:pPr>
        <w:pStyle w:val="ListParagraph"/>
        <w:snapToGrid w:val="0"/>
        <w:spacing w:after="0" w:line="240" w:lineRule="auto"/>
        <w:ind w:left="936"/>
        <w:contextualSpacing w:val="0"/>
        <w:rPr>
          <w:rFonts w:cstheme="minorHAnsi"/>
          <w:b/>
          <w:bCs/>
          <w:sz w:val="20"/>
          <w:szCs w:val="20"/>
          <w:lang w:val="en-US"/>
        </w:rPr>
      </w:pPr>
    </w:p>
    <w:p w14:paraId="6F90FE87" w14:textId="77777777" w:rsidR="00EA649F" w:rsidRDefault="00EA649F" w:rsidP="00750815">
      <w:pPr>
        <w:pStyle w:val="ListParagraph"/>
        <w:snapToGrid w:val="0"/>
        <w:spacing w:after="0" w:line="240" w:lineRule="auto"/>
        <w:ind w:left="936"/>
        <w:contextualSpacing w:val="0"/>
        <w:rPr>
          <w:rFonts w:cstheme="minorHAnsi"/>
          <w:b/>
          <w:bCs/>
          <w:sz w:val="20"/>
          <w:szCs w:val="20"/>
          <w:lang w:val="en-US"/>
        </w:rPr>
      </w:pPr>
    </w:p>
    <w:p w14:paraId="28816107" w14:textId="77777777" w:rsidR="00EA649F" w:rsidRPr="00B32380" w:rsidRDefault="00EA649F" w:rsidP="00750815">
      <w:pPr>
        <w:pStyle w:val="ListParagraph"/>
        <w:snapToGrid w:val="0"/>
        <w:spacing w:after="0" w:line="240" w:lineRule="auto"/>
        <w:ind w:left="936"/>
        <w:contextualSpacing w:val="0"/>
        <w:rPr>
          <w:rFonts w:cstheme="minorHAnsi"/>
          <w:b/>
          <w:bCs/>
          <w:sz w:val="20"/>
          <w:szCs w:val="20"/>
          <w:lang w:val="en-US"/>
        </w:rPr>
      </w:pPr>
    </w:p>
    <w:p w14:paraId="067422C9" w14:textId="46693AAD" w:rsidR="002F4043" w:rsidRPr="00B13673" w:rsidRDefault="00B44FF7" w:rsidP="005606AE">
      <w:pPr>
        <w:pStyle w:val="ListParagraph"/>
        <w:numPr>
          <w:ilvl w:val="1"/>
          <w:numId w:val="1"/>
        </w:numPr>
        <w:snapToGrid w:val="0"/>
        <w:spacing w:after="0" w:line="240" w:lineRule="auto"/>
        <w:rPr>
          <w:rFonts w:cstheme="minorHAnsi"/>
          <w:b/>
          <w:bCs/>
          <w:sz w:val="20"/>
          <w:szCs w:val="20"/>
          <w:lang w:val="en-US"/>
        </w:rPr>
      </w:pPr>
      <w:r w:rsidRPr="00B13673">
        <w:rPr>
          <w:rFonts w:cstheme="minorHAnsi"/>
          <w:b/>
          <w:bCs/>
          <w:sz w:val="20"/>
          <w:szCs w:val="20"/>
          <w:lang w:val="en-US"/>
        </w:rPr>
        <w:lastRenderedPageBreak/>
        <w:t>Student:</w:t>
      </w:r>
      <w:r w:rsidRPr="00B13673">
        <w:rPr>
          <w:rFonts w:cstheme="minorHAnsi"/>
          <w:b/>
          <w:bCs/>
          <w:sz w:val="20"/>
          <w:szCs w:val="20"/>
        </w:rPr>
        <w:t xml:space="preserve"> </w:t>
      </w:r>
      <w:r w:rsidRPr="00B13673">
        <w:rPr>
          <w:rFonts w:cstheme="minorHAnsi"/>
          <w:b/>
          <w:bCs/>
          <w:sz w:val="20"/>
          <w:szCs w:val="20"/>
          <w:lang w:val="en-US"/>
        </w:rPr>
        <w:t xml:space="preserve">Ebenezer Construction Business loan at fixed rate Data Collection </w:t>
      </w:r>
      <w:r w:rsidR="00F25FB2" w:rsidRPr="00B13673">
        <w:rPr>
          <w:rFonts w:cstheme="minorHAnsi"/>
          <w:b/>
          <w:bCs/>
          <w:sz w:val="20"/>
          <w:szCs w:val="20"/>
          <w:lang w:val="en-US"/>
        </w:rPr>
        <w:t>Characteristics</w:t>
      </w:r>
    </w:p>
    <w:p w14:paraId="379AE4C2" w14:textId="77777777" w:rsidR="000032D1" w:rsidRDefault="000032D1" w:rsidP="00750815">
      <w:pPr>
        <w:pStyle w:val="ListParagraph"/>
        <w:snapToGrid w:val="0"/>
        <w:spacing w:after="0" w:line="240" w:lineRule="auto"/>
        <w:ind w:left="936"/>
        <w:contextualSpacing w:val="0"/>
        <w:rPr>
          <w:rFonts w:cstheme="minorHAnsi"/>
          <w:b/>
          <w:bCs/>
          <w:sz w:val="20"/>
          <w:szCs w:val="20"/>
          <w:lang w:val="en-US"/>
        </w:rPr>
      </w:pPr>
    </w:p>
    <w:tbl>
      <w:tblPr>
        <w:tblStyle w:val="TableGrid"/>
        <w:tblW w:w="0" w:type="auto"/>
        <w:tblLook w:val="04A0" w:firstRow="1" w:lastRow="0" w:firstColumn="1" w:lastColumn="0" w:noHBand="0" w:noVBand="1"/>
      </w:tblPr>
      <w:tblGrid>
        <w:gridCol w:w="473"/>
        <w:gridCol w:w="318"/>
        <w:gridCol w:w="5087"/>
        <w:gridCol w:w="318"/>
        <w:gridCol w:w="1806"/>
        <w:gridCol w:w="7197"/>
      </w:tblGrid>
      <w:tr w:rsidR="00F617BE" w14:paraId="729E5C67" w14:textId="77777777" w:rsidTr="00B13673">
        <w:trPr>
          <w:trHeight w:val="374"/>
        </w:trPr>
        <w:tc>
          <w:tcPr>
            <w:tcW w:w="0" w:type="auto"/>
            <w:gridSpan w:val="3"/>
            <w:shd w:val="clear" w:color="auto" w:fill="F2F2F2" w:themeFill="background1" w:themeFillShade="F2"/>
            <w:vAlign w:val="center"/>
          </w:tcPr>
          <w:p w14:paraId="1903BE84" w14:textId="77777777" w:rsidR="00F617BE" w:rsidRPr="00071CD0" w:rsidRDefault="00F617BE" w:rsidP="00FB7443">
            <w:pPr>
              <w:snapToGrid w:val="0"/>
              <w:jc w:val="center"/>
              <w:rPr>
                <w:rFonts w:cstheme="minorHAnsi"/>
                <w:b/>
                <w:bCs/>
                <w:sz w:val="20"/>
                <w:szCs w:val="20"/>
                <w:lang w:val="en-US"/>
              </w:rPr>
            </w:pPr>
            <w:r w:rsidRPr="00071CD0">
              <w:rPr>
                <w:rFonts w:cstheme="minorHAnsi"/>
                <w:b/>
                <w:bCs/>
                <w:sz w:val="20"/>
                <w:szCs w:val="20"/>
                <w:lang w:val="en-US"/>
              </w:rPr>
              <w:t>Table 3.</w:t>
            </w:r>
          </w:p>
        </w:tc>
        <w:tc>
          <w:tcPr>
            <w:tcW w:w="9165" w:type="dxa"/>
            <w:gridSpan w:val="3"/>
            <w:shd w:val="clear" w:color="auto" w:fill="F2F2F2" w:themeFill="background1" w:themeFillShade="F2"/>
            <w:vAlign w:val="center"/>
          </w:tcPr>
          <w:p w14:paraId="3FB089AC" w14:textId="77777777" w:rsidR="00F617BE" w:rsidRPr="00071CD0" w:rsidRDefault="00F617BE" w:rsidP="00FB7443">
            <w:pPr>
              <w:pStyle w:val="ListParagraph"/>
              <w:snapToGrid w:val="0"/>
              <w:ind w:left="0"/>
              <w:contextualSpacing w:val="0"/>
              <w:jc w:val="center"/>
              <w:rPr>
                <w:rFonts w:cstheme="minorHAnsi"/>
                <w:b/>
                <w:bCs/>
                <w:sz w:val="20"/>
                <w:szCs w:val="20"/>
                <w:lang w:val="en-US"/>
              </w:rPr>
            </w:pPr>
            <w:r w:rsidRPr="00071CD0">
              <w:rPr>
                <w:rFonts w:cstheme="minorHAnsi"/>
                <w:b/>
                <w:bCs/>
                <w:sz w:val="20"/>
                <w:szCs w:val="20"/>
                <w:lang w:val="en-US"/>
              </w:rPr>
              <w:t>Data C</w:t>
            </w:r>
            <w:r>
              <w:rPr>
                <w:rFonts w:cstheme="minorHAnsi"/>
                <w:b/>
                <w:bCs/>
                <w:sz w:val="20"/>
                <w:szCs w:val="20"/>
                <w:lang w:val="en-US"/>
              </w:rPr>
              <w:t xml:space="preserve">haracteristics </w:t>
            </w:r>
            <w:r w:rsidRPr="00B32380">
              <w:rPr>
                <w:rFonts w:cstheme="minorHAnsi"/>
                <w:b/>
                <w:bCs/>
                <w:sz w:val="20"/>
                <w:szCs w:val="20"/>
                <w:lang w:val="en-US"/>
              </w:rPr>
              <w:t>Construction Business loan</w:t>
            </w:r>
          </w:p>
        </w:tc>
      </w:tr>
      <w:tr w:rsidR="00F617BE" w14:paraId="17E773D7" w14:textId="77777777" w:rsidTr="00B13673">
        <w:trPr>
          <w:trHeight w:val="27"/>
        </w:trPr>
        <w:tc>
          <w:tcPr>
            <w:tcW w:w="0" w:type="auto"/>
            <w:vMerge w:val="restart"/>
            <w:shd w:val="clear" w:color="auto" w:fill="F2F2F2" w:themeFill="background1" w:themeFillShade="F2"/>
            <w:textDirection w:val="btLr"/>
            <w:vAlign w:val="center"/>
          </w:tcPr>
          <w:p w14:paraId="404BE237" w14:textId="77777777" w:rsidR="00F617BE" w:rsidRPr="00071CD0" w:rsidRDefault="00F617BE" w:rsidP="00FB7443">
            <w:pPr>
              <w:pStyle w:val="ListParagraph"/>
              <w:snapToGrid w:val="0"/>
              <w:ind w:left="113" w:right="113"/>
              <w:contextualSpacing w:val="0"/>
              <w:jc w:val="center"/>
              <w:rPr>
                <w:rFonts w:cstheme="minorHAnsi"/>
                <w:b/>
                <w:bCs/>
                <w:sz w:val="20"/>
                <w:szCs w:val="20"/>
                <w:lang w:val="en-US"/>
              </w:rPr>
            </w:pPr>
            <w:r w:rsidRPr="00071CD0">
              <w:rPr>
                <w:rFonts w:cstheme="minorHAnsi"/>
                <w:b/>
                <w:bCs/>
                <w:sz w:val="20"/>
                <w:szCs w:val="20"/>
                <w:lang w:val="en-US"/>
              </w:rPr>
              <w:t>Scenario</w:t>
            </w:r>
          </w:p>
        </w:tc>
        <w:tc>
          <w:tcPr>
            <w:tcW w:w="0" w:type="auto"/>
            <w:vMerge w:val="restart"/>
            <w:shd w:val="clear" w:color="auto" w:fill="F2F2F2" w:themeFill="background1" w:themeFillShade="F2"/>
            <w:vAlign w:val="center"/>
          </w:tcPr>
          <w:p w14:paraId="3A322921" w14:textId="77777777" w:rsidR="00F617BE" w:rsidRPr="00071CD0" w:rsidRDefault="00F617BE" w:rsidP="00FB7443">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2</w:t>
            </w:r>
          </w:p>
        </w:tc>
        <w:tc>
          <w:tcPr>
            <w:tcW w:w="0" w:type="auto"/>
            <w:vMerge w:val="restart"/>
            <w:shd w:val="clear" w:color="auto" w:fill="F2F2F2" w:themeFill="background1" w:themeFillShade="F2"/>
            <w:vAlign w:val="center"/>
          </w:tcPr>
          <w:p w14:paraId="3160A5F7" w14:textId="77777777" w:rsidR="00F617BE" w:rsidRPr="00071CD0" w:rsidRDefault="00F617BE" w:rsidP="00FB7443">
            <w:pPr>
              <w:pStyle w:val="ListParagraph"/>
              <w:snapToGrid w:val="0"/>
              <w:ind w:left="0"/>
              <w:contextualSpacing w:val="0"/>
              <w:rPr>
                <w:rFonts w:cstheme="minorHAnsi"/>
                <w:b/>
                <w:bCs/>
                <w:sz w:val="20"/>
                <w:szCs w:val="20"/>
                <w:lang w:val="en-US"/>
              </w:rPr>
            </w:pPr>
            <w:r w:rsidRPr="00D80918">
              <w:rPr>
                <w:rFonts w:cstheme="minorHAnsi"/>
                <w:b/>
                <w:bCs/>
                <w:sz w:val="20"/>
                <w:szCs w:val="20"/>
                <w:lang w:val="en-US"/>
              </w:rPr>
              <w:t>Money at a fixed rate for a business for a construction loan</w:t>
            </w:r>
          </w:p>
        </w:tc>
        <w:tc>
          <w:tcPr>
            <w:tcW w:w="0" w:type="auto"/>
            <w:shd w:val="clear" w:color="auto" w:fill="F2F2F2" w:themeFill="background1" w:themeFillShade="F2"/>
          </w:tcPr>
          <w:p w14:paraId="63CBB970" w14:textId="77777777" w:rsidR="00F617BE" w:rsidRPr="00071CD0" w:rsidRDefault="00F617BE" w:rsidP="00FB7443">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1</w:t>
            </w:r>
          </w:p>
        </w:tc>
        <w:tc>
          <w:tcPr>
            <w:tcW w:w="0" w:type="auto"/>
            <w:shd w:val="clear" w:color="auto" w:fill="F2F2F2" w:themeFill="background1" w:themeFillShade="F2"/>
          </w:tcPr>
          <w:p w14:paraId="1995ED2F" w14:textId="77777777" w:rsidR="00F617BE" w:rsidRPr="00071CD0" w:rsidRDefault="00F617BE" w:rsidP="00FB7443">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Data type</w:t>
            </w:r>
          </w:p>
        </w:tc>
        <w:tc>
          <w:tcPr>
            <w:tcW w:w="7197" w:type="dxa"/>
            <w:shd w:val="clear" w:color="auto" w:fill="auto"/>
          </w:tcPr>
          <w:p w14:paraId="27B8E257" w14:textId="77777777" w:rsidR="00F617BE" w:rsidRDefault="00F617BE" w:rsidP="00FB7443">
            <w:pPr>
              <w:pStyle w:val="ListParagraph"/>
              <w:numPr>
                <w:ilvl w:val="0"/>
                <w:numId w:val="10"/>
              </w:numPr>
              <w:snapToGrid w:val="0"/>
              <w:contextualSpacing w:val="0"/>
              <w:rPr>
                <w:rFonts w:cstheme="minorHAnsi"/>
                <w:sz w:val="20"/>
                <w:szCs w:val="20"/>
                <w:lang w:val="en-US"/>
              </w:rPr>
            </w:pPr>
            <w:r w:rsidRPr="00D80918">
              <w:rPr>
                <w:rFonts w:cstheme="minorHAnsi"/>
                <w:sz w:val="20"/>
                <w:szCs w:val="20"/>
                <w:lang w:val="en-US"/>
              </w:rPr>
              <w:t xml:space="preserve">Construction Data (Private and Public), </w:t>
            </w:r>
          </w:p>
          <w:p w14:paraId="7ACFFB45" w14:textId="77777777" w:rsidR="00F617BE" w:rsidRPr="000D0707" w:rsidRDefault="00F617BE" w:rsidP="00FB7443">
            <w:pPr>
              <w:pStyle w:val="ListParagraph"/>
              <w:numPr>
                <w:ilvl w:val="0"/>
                <w:numId w:val="10"/>
              </w:numPr>
              <w:snapToGrid w:val="0"/>
              <w:contextualSpacing w:val="0"/>
              <w:rPr>
                <w:rFonts w:cstheme="minorHAnsi"/>
                <w:sz w:val="20"/>
                <w:szCs w:val="20"/>
                <w:lang w:val="en-US"/>
              </w:rPr>
            </w:pPr>
            <w:r w:rsidRPr="00D80918">
              <w:rPr>
                <w:rFonts w:cstheme="minorHAnsi"/>
                <w:sz w:val="20"/>
                <w:szCs w:val="20"/>
                <w:lang w:val="en-US"/>
              </w:rPr>
              <w:t>Debenture data</w:t>
            </w:r>
          </w:p>
        </w:tc>
      </w:tr>
      <w:tr w:rsidR="00F617BE" w14:paraId="4BE21123" w14:textId="77777777" w:rsidTr="00B13673">
        <w:trPr>
          <w:trHeight w:val="23"/>
        </w:trPr>
        <w:tc>
          <w:tcPr>
            <w:tcW w:w="0" w:type="auto"/>
            <w:vMerge/>
            <w:shd w:val="clear" w:color="auto" w:fill="F2F2F2" w:themeFill="background1" w:themeFillShade="F2"/>
            <w:vAlign w:val="center"/>
          </w:tcPr>
          <w:p w14:paraId="2553B6A1" w14:textId="77777777" w:rsidR="00F617BE" w:rsidRPr="00071CD0" w:rsidRDefault="00F617BE" w:rsidP="00FB7443">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179208D2" w14:textId="77777777" w:rsidR="00F617BE" w:rsidRPr="00071CD0" w:rsidRDefault="00F617BE" w:rsidP="00FB7443">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58691AF5" w14:textId="77777777" w:rsidR="00F617BE" w:rsidRPr="00071CD0" w:rsidRDefault="00F617BE" w:rsidP="00FB7443">
            <w:pPr>
              <w:pStyle w:val="ListParagraph"/>
              <w:snapToGrid w:val="0"/>
              <w:ind w:left="0"/>
              <w:contextualSpacing w:val="0"/>
              <w:rPr>
                <w:rFonts w:cstheme="minorHAnsi"/>
                <w:b/>
                <w:bCs/>
                <w:sz w:val="20"/>
                <w:szCs w:val="20"/>
                <w:lang w:val="en-US"/>
              </w:rPr>
            </w:pPr>
          </w:p>
        </w:tc>
        <w:tc>
          <w:tcPr>
            <w:tcW w:w="0" w:type="auto"/>
            <w:shd w:val="clear" w:color="auto" w:fill="F2F2F2" w:themeFill="background1" w:themeFillShade="F2"/>
          </w:tcPr>
          <w:p w14:paraId="533C0B75" w14:textId="77777777" w:rsidR="00F617BE" w:rsidRPr="00071CD0" w:rsidRDefault="00F617BE" w:rsidP="00FB7443">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2</w:t>
            </w:r>
          </w:p>
        </w:tc>
        <w:tc>
          <w:tcPr>
            <w:tcW w:w="0" w:type="auto"/>
            <w:shd w:val="clear" w:color="auto" w:fill="F2F2F2" w:themeFill="background1" w:themeFillShade="F2"/>
          </w:tcPr>
          <w:p w14:paraId="41907B45" w14:textId="77777777" w:rsidR="00F617BE" w:rsidRPr="00071CD0" w:rsidRDefault="00F617BE" w:rsidP="00FB7443">
            <w:pPr>
              <w:snapToGrid w:val="0"/>
              <w:rPr>
                <w:rFonts w:cstheme="minorHAnsi"/>
                <w:b/>
                <w:bCs/>
                <w:sz w:val="20"/>
                <w:szCs w:val="20"/>
                <w:lang w:val="en-US"/>
              </w:rPr>
            </w:pPr>
            <w:r w:rsidRPr="00071CD0">
              <w:rPr>
                <w:rFonts w:cstheme="minorHAnsi"/>
                <w:b/>
                <w:bCs/>
                <w:sz w:val="20"/>
                <w:szCs w:val="20"/>
                <w:lang w:val="en-US"/>
              </w:rPr>
              <w:t>Data preprocessing</w:t>
            </w:r>
          </w:p>
        </w:tc>
        <w:tc>
          <w:tcPr>
            <w:tcW w:w="7197" w:type="dxa"/>
            <w:shd w:val="clear" w:color="auto" w:fill="auto"/>
          </w:tcPr>
          <w:p w14:paraId="5ED5D1E4" w14:textId="77777777" w:rsidR="00F617BE" w:rsidRPr="00D80918" w:rsidRDefault="00F617BE" w:rsidP="00FB7443">
            <w:pPr>
              <w:pStyle w:val="ListParagraph"/>
              <w:numPr>
                <w:ilvl w:val="0"/>
                <w:numId w:val="11"/>
              </w:numPr>
              <w:snapToGrid w:val="0"/>
              <w:contextualSpacing w:val="0"/>
              <w:rPr>
                <w:rFonts w:cstheme="minorHAnsi"/>
                <w:sz w:val="20"/>
                <w:szCs w:val="20"/>
                <w:lang w:val="en-US"/>
              </w:rPr>
            </w:pPr>
            <w:r w:rsidRPr="00D80918">
              <w:rPr>
                <w:rFonts w:cstheme="minorHAnsi"/>
                <w:sz w:val="20"/>
                <w:szCs w:val="20"/>
                <w:lang w:val="en-US"/>
              </w:rPr>
              <w:t>Interest Rates</w:t>
            </w:r>
          </w:p>
        </w:tc>
      </w:tr>
      <w:tr w:rsidR="00F617BE" w14:paraId="7924447D" w14:textId="77777777" w:rsidTr="00B13673">
        <w:trPr>
          <w:trHeight w:val="23"/>
        </w:trPr>
        <w:tc>
          <w:tcPr>
            <w:tcW w:w="0" w:type="auto"/>
            <w:vMerge/>
            <w:shd w:val="clear" w:color="auto" w:fill="F2F2F2" w:themeFill="background1" w:themeFillShade="F2"/>
            <w:vAlign w:val="center"/>
          </w:tcPr>
          <w:p w14:paraId="3AB8487A" w14:textId="77777777" w:rsidR="00F617BE" w:rsidRPr="00071CD0" w:rsidRDefault="00F617BE" w:rsidP="00FB7443">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4AC14537" w14:textId="77777777" w:rsidR="00F617BE" w:rsidRPr="00071CD0" w:rsidRDefault="00F617BE" w:rsidP="00FB7443">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73892119" w14:textId="77777777" w:rsidR="00F617BE" w:rsidRPr="00071CD0" w:rsidRDefault="00F617BE" w:rsidP="00FB7443">
            <w:pPr>
              <w:pStyle w:val="ListParagraph"/>
              <w:snapToGrid w:val="0"/>
              <w:ind w:left="0"/>
              <w:contextualSpacing w:val="0"/>
              <w:rPr>
                <w:rFonts w:cstheme="minorHAnsi"/>
                <w:b/>
                <w:bCs/>
                <w:sz w:val="20"/>
                <w:szCs w:val="20"/>
                <w:lang w:val="en-US"/>
              </w:rPr>
            </w:pPr>
          </w:p>
        </w:tc>
        <w:tc>
          <w:tcPr>
            <w:tcW w:w="0" w:type="auto"/>
            <w:shd w:val="clear" w:color="auto" w:fill="F2F2F2" w:themeFill="background1" w:themeFillShade="F2"/>
          </w:tcPr>
          <w:p w14:paraId="6EC7BF47" w14:textId="77777777" w:rsidR="00F617BE" w:rsidRPr="00071CD0" w:rsidRDefault="00F617BE" w:rsidP="00FB7443">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3</w:t>
            </w:r>
          </w:p>
        </w:tc>
        <w:tc>
          <w:tcPr>
            <w:tcW w:w="0" w:type="auto"/>
            <w:shd w:val="clear" w:color="auto" w:fill="F2F2F2" w:themeFill="background1" w:themeFillShade="F2"/>
          </w:tcPr>
          <w:p w14:paraId="00020919" w14:textId="77777777" w:rsidR="00F617BE" w:rsidRPr="00071CD0" w:rsidRDefault="00F617BE" w:rsidP="00FB7443">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Data frequency</w:t>
            </w:r>
          </w:p>
        </w:tc>
        <w:tc>
          <w:tcPr>
            <w:tcW w:w="7197" w:type="dxa"/>
            <w:shd w:val="clear" w:color="auto" w:fill="auto"/>
          </w:tcPr>
          <w:p w14:paraId="6923B2C3" w14:textId="77777777" w:rsidR="00F617BE" w:rsidRDefault="00F617BE" w:rsidP="00FB7443">
            <w:pPr>
              <w:pStyle w:val="ListParagraph"/>
              <w:numPr>
                <w:ilvl w:val="0"/>
                <w:numId w:val="12"/>
              </w:numPr>
              <w:snapToGrid w:val="0"/>
              <w:contextualSpacing w:val="0"/>
              <w:rPr>
                <w:rFonts w:cstheme="minorHAnsi"/>
                <w:sz w:val="20"/>
                <w:szCs w:val="20"/>
                <w:lang w:val="en-US"/>
              </w:rPr>
            </w:pPr>
            <w:r>
              <w:rPr>
                <w:rFonts w:cstheme="minorHAnsi"/>
                <w:sz w:val="20"/>
                <w:szCs w:val="20"/>
                <w:lang w:val="en-US"/>
              </w:rPr>
              <w:t>Quarterly</w:t>
            </w:r>
          </w:p>
          <w:p w14:paraId="198DC2E7" w14:textId="77777777" w:rsidR="00F617BE" w:rsidRDefault="00F617BE" w:rsidP="00FB7443">
            <w:pPr>
              <w:pStyle w:val="ListParagraph"/>
              <w:numPr>
                <w:ilvl w:val="0"/>
                <w:numId w:val="12"/>
              </w:numPr>
              <w:snapToGrid w:val="0"/>
              <w:contextualSpacing w:val="0"/>
              <w:rPr>
                <w:rFonts w:cstheme="minorHAnsi"/>
                <w:sz w:val="20"/>
                <w:szCs w:val="20"/>
                <w:lang w:val="en-US"/>
              </w:rPr>
            </w:pPr>
            <w:r>
              <w:rPr>
                <w:rFonts w:cstheme="minorHAnsi"/>
                <w:sz w:val="20"/>
                <w:szCs w:val="20"/>
                <w:lang w:val="en-US"/>
              </w:rPr>
              <w:t>Semi-Annually</w:t>
            </w:r>
          </w:p>
          <w:p w14:paraId="6E7AD402" w14:textId="77777777" w:rsidR="00F617BE" w:rsidRPr="007306AF" w:rsidRDefault="00F617BE" w:rsidP="00FB7443">
            <w:pPr>
              <w:pStyle w:val="ListParagraph"/>
              <w:numPr>
                <w:ilvl w:val="0"/>
                <w:numId w:val="12"/>
              </w:numPr>
              <w:snapToGrid w:val="0"/>
              <w:contextualSpacing w:val="0"/>
              <w:rPr>
                <w:rFonts w:cstheme="minorHAnsi"/>
                <w:sz w:val="20"/>
                <w:szCs w:val="20"/>
                <w:lang w:val="en-US"/>
              </w:rPr>
            </w:pPr>
            <w:r>
              <w:rPr>
                <w:rFonts w:cstheme="minorHAnsi"/>
                <w:sz w:val="20"/>
                <w:szCs w:val="20"/>
                <w:lang w:val="en-US"/>
              </w:rPr>
              <w:t xml:space="preserve">Annually </w:t>
            </w:r>
          </w:p>
        </w:tc>
      </w:tr>
      <w:tr w:rsidR="00F617BE" w14:paraId="793627A5" w14:textId="77777777" w:rsidTr="00B13673">
        <w:trPr>
          <w:trHeight w:val="23"/>
        </w:trPr>
        <w:tc>
          <w:tcPr>
            <w:tcW w:w="0" w:type="auto"/>
            <w:vMerge/>
            <w:shd w:val="clear" w:color="auto" w:fill="F2F2F2" w:themeFill="background1" w:themeFillShade="F2"/>
            <w:vAlign w:val="center"/>
          </w:tcPr>
          <w:p w14:paraId="7F6461AC" w14:textId="77777777" w:rsidR="00F617BE" w:rsidRPr="00071CD0" w:rsidRDefault="00F617BE" w:rsidP="00FB7443">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490403D6" w14:textId="77777777" w:rsidR="00F617BE" w:rsidRPr="00071CD0" w:rsidRDefault="00F617BE" w:rsidP="00FB7443">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3A14086D" w14:textId="77777777" w:rsidR="00F617BE" w:rsidRPr="00071CD0" w:rsidRDefault="00F617BE" w:rsidP="00FB7443">
            <w:pPr>
              <w:pStyle w:val="ListParagraph"/>
              <w:snapToGrid w:val="0"/>
              <w:ind w:left="0"/>
              <w:contextualSpacing w:val="0"/>
              <w:rPr>
                <w:rFonts w:cstheme="minorHAnsi"/>
                <w:b/>
                <w:bCs/>
                <w:sz w:val="20"/>
                <w:szCs w:val="20"/>
                <w:lang w:val="en-US"/>
              </w:rPr>
            </w:pPr>
          </w:p>
        </w:tc>
        <w:tc>
          <w:tcPr>
            <w:tcW w:w="0" w:type="auto"/>
            <w:shd w:val="clear" w:color="auto" w:fill="F2F2F2" w:themeFill="background1" w:themeFillShade="F2"/>
          </w:tcPr>
          <w:p w14:paraId="2D9415B7" w14:textId="77777777" w:rsidR="00F617BE" w:rsidRPr="00071CD0" w:rsidRDefault="00F617BE" w:rsidP="00FB7443">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4</w:t>
            </w:r>
          </w:p>
        </w:tc>
        <w:tc>
          <w:tcPr>
            <w:tcW w:w="0" w:type="auto"/>
            <w:shd w:val="clear" w:color="auto" w:fill="F2F2F2" w:themeFill="background1" w:themeFillShade="F2"/>
          </w:tcPr>
          <w:p w14:paraId="2511D856" w14:textId="77777777" w:rsidR="00F617BE" w:rsidRPr="00071CD0" w:rsidRDefault="00F617BE" w:rsidP="00FB7443">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Data class</w:t>
            </w:r>
          </w:p>
        </w:tc>
        <w:tc>
          <w:tcPr>
            <w:tcW w:w="7197" w:type="dxa"/>
            <w:shd w:val="clear" w:color="auto" w:fill="auto"/>
          </w:tcPr>
          <w:p w14:paraId="38A52054" w14:textId="77777777" w:rsidR="00F617BE" w:rsidRDefault="00F617BE" w:rsidP="00FB7443">
            <w:pPr>
              <w:pStyle w:val="ListParagraph"/>
              <w:snapToGrid w:val="0"/>
              <w:ind w:left="0"/>
              <w:contextualSpacing w:val="0"/>
              <w:rPr>
                <w:rFonts w:cstheme="minorHAnsi"/>
                <w:sz w:val="20"/>
                <w:szCs w:val="20"/>
                <w:lang w:val="en-US"/>
              </w:rPr>
            </w:pPr>
            <w:r>
              <w:rPr>
                <w:rFonts w:cstheme="minorHAnsi"/>
                <w:sz w:val="20"/>
                <w:szCs w:val="20"/>
                <w:lang w:val="en-US"/>
              </w:rPr>
              <w:t xml:space="preserve">1.   </w:t>
            </w:r>
            <w:r w:rsidRPr="00D80918">
              <w:rPr>
                <w:rFonts w:cstheme="minorHAnsi"/>
                <w:sz w:val="20"/>
                <w:szCs w:val="20"/>
                <w:lang w:val="en-US"/>
              </w:rPr>
              <w:t>Specialty Construction</w:t>
            </w:r>
          </w:p>
          <w:p w14:paraId="31D5FC20" w14:textId="77777777" w:rsidR="00F617BE" w:rsidRPr="007306AF" w:rsidRDefault="00F617BE" w:rsidP="00FB7443">
            <w:pPr>
              <w:pStyle w:val="ListParagraph"/>
              <w:snapToGrid w:val="0"/>
              <w:ind w:left="0"/>
              <w:contextualSpacing w:val="0"/>
              <w:rPr>
                <w:rFonts w:cstheme="minorHAnsi"/>
                <w:sz w:val="20"/>
                <w:szCs w:val="20"/>
                <w:lang w:val="en-US"/>
              </w:rPr>
            </w:pPr>
            <w:r>
              <w:rPr>
                <w:rFonts w:cstheme="minorHAnsi"/>
                <w:sz w:val="20"/>
                <w:szCs w:val="20"/>
                <w:lang w:val="en-US"/>
              </w:rPr>
              <w:t xml:space="preserve">2.    </w:t>
            </w:r>
            <w:r w:rsidRPr="00D80918">
              <w:rPr>
                <w:rFonts w:cstheme="minorHAnsi"/>
                <w:sz w:val="20"/>
                <w:szCs w:val="20"/>
                <w:lang w:val="en-US"/>
              </w:rPr>
              <w:t>Renovation</w:t>
            </w:r>
          </w:p>
        </w:tc>
      </w:tr>
      <w:tr w:rsidR="00F617BE" w14:paraId="34E62E6D" w14:textId="77777777" w:rsidTr="00B13673">
        <w:trPr>
          <w:trHeight w:val="23"/>
        </w:trPr>
        <w:tc>
          <w:tcPr>
            <w:tcW w:w="0" w:type="auto"/>
            <w:vMerge/>
            <w:shd w:val="clear" w:color="auto" w:fill="F2F2F2" w:themeFill="background1" w:themeFillShade="F2"/>
            <w:vAlign w:val="center"/>
          </w:tcPr>
          <w:p w14:paraId="2D9BE4D8" w14:textId="77777777" w:rsidR="00F617BE" w:rsidRPr="00071CD0" w:rsidRDefault="00F617BE" w:rsidP="00FB7443">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50A70EB4" w14:textId="77777777" w:rsidR="00F617BE" w:rsidRPr="00071CD0" w:rsidRDefault="00F617BE" w:rsidP="00FB7443">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33EC003C" w14:textId="77777777" w:rsidR="00F617BE" w:rsidRPr="00071CD0" w:rsidRDefault="00F617BE" w:rsidP="00FB7443">
            <w:pPr>
              <w:pStyle w:val="ListParagraph"/>
              <w:snapToGrid w:val="0"/>
              <w:ind w:left="0"/>
              <w:contextualSpacing w:val="0"/>
              <w:rPr>
                <w:rFonts w:cstheme="minorHAnsi"/>
                <w:b/>
                <w:bCs/>
                <w:sz w:val="20"/>
                <w:szCs w:val="20"/>
                <w:lang w:val="en-US"/>
              </w:rPr>
            </w:pPr>
          </w:p>
        </w:tc>
        <w:tc>
          <w:tcPr>
            <w:tcW w:w="0" w:type="auto"/>
            <w:shd w:val="clear" w:color="auto" w:fill="F2F2F2" w:themeFill="background1" w:themeFillShade="F2"/>
          </w:tcPr>
          <w:p w14:paraId="7FD1C666" w14:textId="77777777" w:rsidR="00F617BE" w:rsidRPr="00071CD0" w:rsidRDefault="00F617BE" w:rsidP="00FB7443">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5</w:t>
            </w:r>
          </w:p>
        </w:tc>
        <w:tc>
          <w:tcPr>
            <w:tcW w:w="0" w:type="auto"/>
            <w:shd w:val="clear" w:color="auto" w:fill="F2F2F2" w:themeFill="background1" w:themeFillShade="F2"/>
          </w:tcPr>
          <w:p w14:paraId="2DB537A2" w14:textId="77777777" w:rsidR="00F617BE" w:rsidRPr="00071CD0" w:rsidRDefault="00F617BE" w:rsidP="00FB7443">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Data source</w:t>
            </w:r>
          </w:p>
        </w:tc>
        <w:tc>
          <w:tcPr>
            <w:tcW w:w="7197" w:type="dxa"/>
            <w:shd w:val="clear" w:color="auto" w:fill="auto"/>
          </w:tcPr>
          <w:p w14:paraId="1C241001" w14:textId="77777777" w:rsidR="00F617BE" w:rsidRDefault="00F617BE" w:rsidP="00FB7443">
            <w:pPr>
              <w:pStyle w:val="ListParagraph"/>
              <w:numPr>
                <w:ilvl w:val="0"/>
                <w:numId w:val="19"/>
              </w:numPr>
              <w:snapToGrid w:val="0"/>
              <w:contextualSpacing w:val="0"/>
              <w:rPr>
                <w:rFonts w:cstheme="minorHAnsi"/>
                <w:sz w:val="20"/>
                <w:szCs w:val="20"/>
                <w:lang w:val="en-US"/>
              </w:rPr>
            </w:pPr>
            <w:r w:rsidRPr="00D80918">
              <w:rPr>
                <w:rFonts w:cstheme="minorHAnsi"/>
                <w:sz w:val="20"/>
                <w:szCs w:val="20"/>
                <w:lang w:val="en-US"/>
              </w:rPr>
              <w:t>Financial Institutions (Example: banks)</w:t>
            </w:r>
          </w:p>
          <w:p w14:paraId="2E86BB26" w14:textId="77777777" w:rsidR="00F617BE" w:rsidRDefault="00F617BE" w:rsidP="00FB7443">
            <w:pPr>
              <w:pStyle w:val="ListParagraph"/>
              <w:numPr>
                <w:ilvl w:val="0"/>
                <w:numId w:val="19"/>
              </w:numPr>
              <w:snapToGrid w:val="0"/>
              <w:contextualSpacing w:val="0"/>
              <w:rPr>
                <w:rFonts w:cstheme="minorHAnsi"/>
                <w:sz w:val="20"/>
                <w:szCs w:val="20"/>
                <w:lang w:val="en-US"/>
              </w:rPr>
            </w:pPr>
            <w:r w:rsidRPr="00D80918">
              <w:rPr>
                <w:rFonts w:cstheme="minorHAnsi"/>
                <w:sz w:val="20"/>
                <w:szCs w:val="20"/>
                <w:lang w:val="en-US"/>
              </w:rPr>
              <w:t xml:space="preserve">Construction Companies </w:t>
            </w:r>
          </w:p>
          <w:p w14:paraId="01C670E8" w14:textId="77777777" w:rsidR="00F617BE" w:rsidRPr="006C7C1E" w:rsidRDefault="00F617BE" w:rsidP="00FB7443">
            <w:pPr>
              <w:pStyle w:val="ListParagraph"/>
              <w:numPr>
                <w:ilvl w:val="0"/>
                <w:numId w:val="19"/>
              </w:numPr>
              <w:snapToGrid w:val="0"/>
              <w:contextualSpacing w:val="0"/>
              <w:rPr>
                <w:rFonts w:cstheme="minorHAnsi"/>
                <w:sz w:val="20"/>
                <w:szCs w:val="20"/>
                <w:lang w:val="en-US"/>
              </w:rPr>
            </w:pPr>
            <w:r w:rsidRPr="00D80918">
              <w:rPr>
                <w:rFonts w:cstheme="minorHAnsi"/>
                <w:sz w:val="20"/>
                <w:szCs w:val="20"/>
                <w:lang w:val="en-US"/>
              </w:rPr>
              <w:t>Contracting Party</w:t>
            </w:r>
          </w:p>
        </w:tc>
      </w:tr>
      <w:tr w:rsidR="00F617BE" w14:paraId="79E8C92D" w14:textId="77777777" w:rsidTr="00B13673">
        <w:trPr>
          <w:trHeight w:val="23"/>
        </w:trPr>
        <w:tc>
          <w:tcPr>
            <w:tcW w:w="0" w:type="auto"/>
            <w:vMerge/>
            <w:shd w:val="clear" w:color="auto" w:fill="F2F2F2" w:themeFill="background1" w:themeFillShade="F2"/>
            <w:vAlign w:val="center"/>
          </w:tcPr>
          <w:p w14:paraId="7D8FE3A3" w14:textId="77777777" w:rsidR="00F617BE" w:rsidRPr="00071CD0" w:rsidRDefault="00F617BE" w:rsidP="00FB7443">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141CE578" w14:textId="77777777" w:rsidR="00F617BE" w:rsidRPr="00071CD0" w:rsidRDefault="00F617BE" w:rsidP="00FB7443">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339BECCF" w14:textId="77777777" w:rsidR="00F617BE" w:rsidRPr="00071CD0" w:rsidRDefault="00F617BE" w:rsidP="00FB7443">
            <w:pPr>
              <w:pStyle w:val="ListParagraph"/>
              <w:snapToGrid w:val="0"/>
              <w:ind w:left="0"/>
              <w:contextualSpacing w:val="0"/>
              <w:rPr>
                <w:rFonts w:cstheme="minorHAnsi"/>
                <w:b/>
                <w:bCs/>
                <w:sz w:val="20"/>
                <w:szCs w:val="20"/>
                <w:lang w:val="en-US"/>
              </w:rPr>
            </w:pPr>
          </w:p>
        </w:tc>
        <w:tc>
          <w:tcPr>
            <w:tcW w:w="0" w:type="auto"/>
            <w:shd w:val="clear" w:color="auto" w:fill="F2F2F2" w:themeFill="background1" w:themeFillShade="F2"/>
          </w:tcPr>
          <w:p w14:paraId="7FD88E39" w14:textId="77777777" w:rsidR="00F617BE" w:rsidRPr="00071CD0" w:rsidRDefault="00F617BE" w:rsidP="00FB7443">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6</w:t>
            </w:r>
          </w:p>
        </w:tc>
        <w:tc>
          <w:tcPr>
            <w:tcW w:w="0" w:type="auto"/>
            <w:shd w:val="clear" w:color="auto" w:fill="F2F2F2" w:themeFill="background1" w:themeFillShade="F2"/>
          </w:tcPr>
          <w:p w14:paraId="31D5166C" w14:textId="77777777" w:rsidR="00F617BE" w:rsidRPr="00071CD0" w:rsidRDefault="00F617BE" w:rsidP="00FB7443">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Data Variety</w:t>
            </w:r>
          </w:p>
        </w:tc>
        <w:tc>
          <w:tcPr>
            <w:tcW w:w="7197" w:type="dxa"/>
            <w:shd w:val="clear" w:color="auto" w:fill="auto"/>
          </w:tcPr>
          <w:p w14:paraId="56C9EE7F" w14:textId="77777777" w:rsidR="00F617BE" w:rsidRDefault="00F617BE" w:rsidP="00FB7443">
            <w:pPr>
              <w:pStyle w:val="ListParagraph"/>
              <w:numPr>
                <w:ilvl w:val="0"/>
                <w:numId w:val="13"/>
              </w:numPr>
              <w:snapToGrid w:val="0"/>
              <w:contextualSpacing w:val="0"/>
              <w:rPr>
                <w:rFonts w:cstheme="minorHAnsi"/>
                <w:sz w:val="20"/>
                <w:szCs w:val="20"/>
                <w:lang w:val="en-US"/>
              </w:rPr>
            </w:pPr>
            <w:r>
              <w:rPr>
                <w:rFonts w:cstheme="minorHAnsi"/>
                <w:sz w:val="20"/>
                <w:szCs w:val="20"/>
                <w:lang w:val="en-US"/>
              </w:rPr>
              <w:t>I</w:t>
            </w:r>
            <w:r w:rsidRPr="00D80918">
              <w:rPr>
                <w:rFonts w:cstheme="minorHAnsi"/>
                <w:sz w:val="20"/>
                <w:szCs w:val="20"/>
                <w:lang w:val="en-US"/>
              </w:rPr>
              <w:t xml:space="preserve">nterest </w:t>
            </w:r>
          </w:p>
          <w:p w14:paraId="1BCF5FFF" w14:textId="77777777" w:rsidR="00F617BE" w:rsidRDefault="00F617BE" w:rsidP="00FB7443">
            <w:pPr>
              <w:pStyle w:val="ListParagraph"/>
              <w:numPr>
                <w:ilvl w:val="0"/>
                <w:numId w:val="13"/>
              </w:numPr>
              <w:snapToGrid w:val="0"/>
              <w:contextualSpacing w:val="0"/>
              <w:rPr>
                <w:rFonts w:cstheme="minorHAnsi"/>
                <w:sz w:val="20"/>
                <w:szCs w:val="20"/>
                <w:lang w:val="en-US"/>
              </w:rPr>
            </w:pPr>
            <w:r w:rsidRPr="00D80918">
              <w:rPr>
                <w:rFonts w:cstheme="minorHAnsi"/>
                <w:sz w:val="20"/>
                <w:szCs w:val="20"/>
                <w:lang w:val="en-US"/>
              </w:rPr>
              <w:t>Loan</w:t>
            </w:r>
          </w:p>
          <w:p w14:paraId="7DA275A7" w14:textId="77777777" w:rsidR="00F617BE" w:rsidRDefault="00F617BE" w:rsidP="00FB7443">
            <w:pPr>
              <w:pStyle w:val="ListParagraph"/>
              <w:numPr>
                <w:ilvl w:val="0"/>
                <w:numId w:val="13"/>
              </w:numPr>
              <w:snapToGrid w:val="0"/>
              <w:contextualSpacing w:val="0"/>
              <w:rPr>
                <w:rFonts w:cstheme="minorHAnsi"/>
                <w:sz w:val="20"/>
                <w:szCs w:val="20"/>
                <w:lang w:val="en-US"/>
              </w:rPr>
            </w:pPr>
            <w:r>
              <w:rPr>
                <w:rFonts w:cstheme="minorHAnsi"/>
                <w:sz w:val="20"/>
                <w:szCs w:val="20"/>
                <w:lang w:val="en-US"/>
              </w:rPr>
              <w:t>Duration</w:t>
            </w:r>
          </w:p>
          <w:p w14:paraId="5C887476" w14:textId="77777777" w:rsidR="00F617BE" w:rsidRPr="006C7C1E" w:rsidRDefault="00F617BE" w:rsidP="00FB7443">
            <w:pPr>
              <w:pStyle w:val="ListParagraph"/>
              <w:numPr>
                <w:ilvl w:val="0"/>
                <w:numId w:val="13"/>
              </w:numPr>
              <w:snapToGrid w:val="0"/>
              <w:contextualSpacing w:val="0"/>
              <w:rPr>
                <w:rFonts w:cstheme="minorHAnsi"/>
                <w:sz w:val="20"/>
                <w:szCs w:val="20"/>
                <w:lang w:val="en-US"/>
              </w:rPr>
            </w:pPr>
            <w:r>
              <w:rPr>
                <w:rFonts w:cstheme="minorHAnsi"/>
                <w:sz w:val="20"/>
                <w:szCs w:val="20"/>
                <w:lang w:val="en-US"/>
              </w:rPr>
              <w:t>Payment plans</w:t>
            </w:r>
          </w:p>
        </w:tc>
      </w:tr>
    </w:tbl>
    <w:p w14:paraId="5A179316" w14:textId="77777777" w:rsidR="000032D1" w:rsidRPr="00F617BE" w:rsidRDefault="000032D1" w:rsidP="00F617BE">
      <w:pPr>
        <w:snapToGrid w:val="0"/>
        <w:spacing w:after="0" w:line="240" w:lineRule="auto"/>
        <w:rPr>
          <w:rFonts w:cstheme="minorHAnsi"/>
          <w:b/>
          <w:bCs/>
          <w:sz w:val="20"/>
          <w:szCs w:val="20"/>
          <w:lang w:val="en-US"/>
        </w:rPr>
      </w:pPr>
    </w:p>
    <w:p w14:paraId="05BAAB10" w14:textId="77777777" w:rsidR="00750815" w:rsidRDefault="00750815" w:rsidP="00F617BE">
      <w:pPr>
        <w:snapToGrid w:val="0"/>
        <w:spacing w:after="0" w:line="240" w:lineRule="auto"/>
        <w:rPr>
          <w:rFonts w:cstheme="minorHAnsi"/>
          <w:b/>
          <w:bCs/>
          <w:sz w:val="20"/>
          <w:szCs w:val="20"/>
          <w:lang w:val="en-US"/>
        </w:rPr>
      </w:pPr>
    </w:p>
    <w:p w14:paraId="24F21F40" w14:textId="77777777" w:rsidR="00B13673" w:rsidRDefault="00B13673" w:rsidP="00F617BE">
      <w:pPr>
        <w:snapToGrid w:val="0"/>
        <w:spacing w:after="0" w:line="240" w:lineRule="auto"/>
        <w:rPr>
          <w:rFonts w:cstheme="minorHAnsi"/>
          <w:b/>
          <w:bCs/>
          <w:sz w:val="20"/>
          <w:szCs w:val="20"/>
          <w:lang w:val="en-US"/>
        </w:rPr>
      </w:pPr>
    </w:p>
    <w:p w14:paraId="2817E944" w14:textId="77777777" w:rsidR="00B13673" w:rsidRDefault="00B13673" w:rsidP="00F617BE">
      <w:pPr>
        <w:snapToGrid w:val="0"/>
        <w:spacing w:after="0" w:line="240" w:lineRule="auto"/>
        <w:rPr>
          <w:rFonts w:cstheme="minorHAnsi"/>
          <w:b/>
          <w:bCs/>
          <w:sz w:val="20"/>
          <w:szCs w:val="20"/>
          <w:lang w:val="en-US"/>
        </w:rPr>
      </w:pPr>
    </w:p>
    <w:p w14:paraId="547713CF" w14:textId="77777777" w:rsidR="00B13673" w:rsidRDefault="00B13673" w:rsidP="00F617BE">
      <w:pPr>
        <w:snapToGrid w:val="0"/>
        <w:spacing w:after="0" w:line="240" w:lineRule="auto"/>
        <w:rPr>
          <w:rFonts w:cstheme="minorHAnsi"/>
          <w:b/>
          <w:bCs/>
          <w:sz w:val="20"/>
          <w:szCs w:val="20"/>
          <w:lang w:val="en-US"/>
        </w:rPr>
      </w:pPr>
    </w:p>
    <w:p w14:paraId="6549B78B" w14:textId="77777777" w:rsidR="00B13673" w:rsidRDefault="00B13673" w:rsidP="00F617BE">
      <w:pPr>
        <w:snapToGrid w:val="0"/>
        <w:spacing w:after="0" w:line="240" w:lineRule="auto"/>
        <w:rPr>
          <w:rFonts w:cstheme="minorHAnsi"/>
          <w:b/>
          <w:bCs/>
          <w:sz w:val="20"/>
          <w:szCs w:val="20"/>
          <w:lang w:val="en-US"/>
        </w:rPr>
      </w:pPr>
    </w:p>
    <w:p w14:paraId="754A75B3" w14:textId="77777777" w:rsidR="00B13673" w:rsidRDefault="00B13673" w:rsidP="00F617BE">
      <w:pPr>
        <w:snapToGrid w:val="0"/>
        <w:spacing w:after="0" w:line="240" w:lineRule="auto"/>
        <w:rPr>
          <w:rFonts w:cstheme="minorHAnsi"/>
          <w:b/>
          <w:bCs/>
          <w:sz w:val="20"/>
          <w:szCs w:val="20"/>
          <w:lang w:val="en-US"/>
        </w:rPr>
      </w:pPr>
    </w:p>
    <w:p w14:paraId="3C31F321" w14:textId="77777777" w:rsidR="00B13673" w:rsidRDefault="00B13673" w:rsidP="00F617BE">
      <w:pPr>
        <w:snapToGrid w:val="0"/>
        <w:spacing w:after="0" w:line="240" w:lineRule="auto"/>
        <w:rPr>
          <w:rFonts w:cstheme="minorHAnsi"/>
          <w:b/>
          <w:bCs/>
          <w:sz w:val="20"/>
          <w:szCs w:val="20"/>
          <w:lang w:val="en-US"/>
        </w:rPr>
      </w:pPr>
    </w:p>
    <w:p w14:paraId="0607F952" w14:textId="77777777" w:rsidR="00B13673" w:rsidRDefault="00B13673" w:rsidP="00F617BE">
      <w:pPr>
        <w:snapToGrid w:val="0"/>
        <w:spacing w:after="0" w:line="240" w:lineRule="auto"/>
        <w:rPr>
          <w:rFonts w:cstheme="minorHAnsi"/>
          <w:b/>
          <w:bCs/>
          <w:sz w:val="20"/>
          <w:szCs w:val="20"/>
          <w:lang w:val="en-US"/>
        </w:rPr>
      </w:pPr>
    </w:p>
    <w:p w14:paraId="0E0A154D" w14:textId="77777777" w:rsidR="00B13673" w:rsidRDefault="00B13673" w:rsidP="00F617BE">
      <w:pPr>
        <w:snapToGrid w:val="0"/>
        <w:spacing w:after="0" w:line="240" w:lineRule="auto"/>
        <w:rPr>
          <w:rFonts w:cstheme="minorHAnsi"/>
          <w:b/>
          <w:bCs/>
          <w:sz w:val="20"/>
          <w:szCs w:val="20"/>
          <w:lang w:val="en-US"/>
        </w:rPr>
      </w:pPr>
    </w:p>
    <w:p w14:paraId="30B5D8CF" w14:textId="77777777" w:rsidR="00B13673" w:rsidRDefault="00B13673" w:rsidP="00F617BE">
      <w:pPr>
        <w:snapToGrid w:val="0"/>
        <w:spacing w:after="0" w:line="240" w:lineRule="auto"/>
        <w:rPr>
          <w:rFonts w:cstheme="minorHAnsi"/>
          <w:b/>
          <w:bCs/>
          <w:sz w:val="20"/>
          <w:szCs w:val="20"/>
          <w:lang w:val="en-US"/>
        </w:rPr>
      </w:pPr>
    </w:p>
    <w:p w14:paraId="2387F59E" w14:textId="77777777" w:rsidR="00B13673" w:rsidRDefault="00B13673" w:rsidP="00F617BE">
      <w:pPr>
        <w:snapToGrid w:val="0"/>
        <w:spacing w:after="0" w:line="240" w:lineRule="auto"/>
        <w:rPr>
          <w:rFonts w:cstheme="minorHAnsi"/>
          <w:b/>
          <w:bCs/>
          <w:sz w:val="20"/>
          <w:szCs w:val="20"/>
          <w:lang w:val="en-US"/>
        </w:rPr>
      </w:pPr>
    </w:p>
    <w:p w14:paraId="726D3032" w14:textId="77777777" w:rsidR="00B13673" w:rsidRDefault="00B13673" w:rsidP="00F617BE">
      <w:pPr>
        <w:snapToGrid w:val="0"/>
        <w:spacing w:after="0" w:line="240" w:lineRule="auto"/>
        <w:rPr>
          <w:rFonts w:cstheme="minorHAnsi"/>
          <w:b/>
          <w:bCs/>
          <w:sz w:val="20"/>
          <w:szCs w:val="20"/>
          <w:lang w:val="en-US"/>
        </w:rPr>
      </w:pPr>
    </w:p>
    <w:p w14:paraId="3C101013" w14:textId="77777777" w:rsidR="00B13673" w:rsidRDefault="00B13673" w:rsidP="00F617BE">
      <w:pPr>
        <w:snapToGrid w:val="0"/>
        <w:spacing w:after="0" w:line="240" w:lineRule="auto"/>
        <w:rPr>
          <w:rFonts w:cstheme="minorHAnsi"/>
          <w:b/>
          <w:bCs/>
          <w:sz w:val="20"/>
          <w:szCs w:val="20"/>
          <w:lang w:val="en-US"/>
        </w:rPr>
      </w:pPr>
    </w:p>
    <w:p w14:paraId="37D82EA7" w14:textId="77777777" w:rsidR="00B13673" w:rsidRDefault="00B13673" w:rsidP="00F617BE">
      <w:pPr>
        <w:snapToGrid w:val="0"/>
        <w:spacing w:after="0" w:line="240" w:lineRule="auto"/>
        <w:rPr>
          <w:rFonts w:cstheme="minorHAnsi"/>
          <w:b/>
          <w:bCs/>
          <w:sz w:val="20"/>
          <w:szCs w:val="20"/>
          <w:lang w:val="en-US"/>
        </w:rPr>
      </w:pPr>
    </w:p>
    <w:p w14:paraId="5D5319B2" w14:textId="77777777" w:rsidR="00B13673" w:rsidRDefault="00B13673" w:rsidP="00F617BE">
      <w:pPr>
        <w:snapToGrid w:val="0"/>
        <w:spacing w:after="0" w:line="240" w:lineRule="auto"/>
        <w:rPr>
          <w:rFonts w:cstheme="minorHAnsi"/>
          <w:b/>
          <w:bCs/>
          <w:sz w:val="20"/>
          <w:szCs w:val="20"/>
          <w:lang w:val="en-US"/>
        </w:rPr>
      </w:pPr>
    </w:p>
    <w:p w14:paraId="211E46FB" w14:textId="77777777" w:rsidR="00B13673" w:rsidRDefault="00B13673" w:rsidP="00F617BE">
      <w:pPr>
        <w:snapToGrid w:val="0"/>
        <w:spacing w:after="0" w:line="240" w:lineRule="auto"/>
        <w:rPr>
          <w:rFonts w:cstheme="minorHAnsi"/>
          <w:b/>
          <w:bCs/>
          <w:sz w:val="20"/>
          <w:szCs w:val="20"/>
          <w:lang w:val="en-US"/>
        </w:rPr>
      </w:pPr>
    </w:p>
    <w:p w14:paraId="0A91D61F" w14:textId="77777777" w:rsidR="00B13673" w:rsidRDefault="00B13673" w:rsidP="00F617BE">
      <w:pPr>
        <w:snapToGrid w:val="0"/>
        <w:spacing w:after="0" w:line="240" w:lineRule="auto"/>
        <w:rPr>
          <w:rFonts w:cstheme="minorHAnsi"/>
          <w:b/>
          <w:bCs/>
          <w:sz w:val="20"/>
          <w:szCs w:val="20"/>
          <w:lang w:val="en-US"/>
        </w:rPr>
      </w:pPr>
    </w:p>
    <w:p w14:paraId="654144E0" w14:textId="77777777" w:rsidR="00750815" w:rsidRDefault="00750815" w:rsidP="00750815">
      <w:pPr>
        <w:pStyle w:val="ListParagraph"/>
        <w:snapToGrid w:val="0"/>
        <w:spacing w:after="0" w:line="240" w:lineRule="auto"/>
        <w:ind w:left="936"/>
        <w:contextualSpacing w:val="0"/>
        <w:rPr>
          <w:rFonts w:cstheme="minorHAnsi"/>
          <w:b/>
          <w:bCs/>
          <w:sz w:val="20"/>
          <w:szCs w:val="20"/>
          <w:lang w:val="en-US"/>
        </w:rPr>
      </w:pPr>
    </w:p>
    <w:p w14:paraId="13FC2AD5" w14:textId="77777777" w:rsidR="000032D1" w:rsidRDefault="000032D1" w:rsidP="00750815">
      <w:pPr>
        <w:pStyle w:val="ListParagraph"/>
        <w:snapToGrid w:val="0"/>
        <w:spacing w:after="0" w:line="240" w:lineRule="auto"/>
        <w:ind w:left="936"/>
        <w:contextualSpacing w:val="0"/>
        <w:rPr>
          <w:rFonts w:cstheme="minorHAnsi"/>
          <w:b/>
          <w:bCs/>
          <w:sz w:val="20"/>
          <w:szCs w:val="20"/>
          <w:lang w:val="en-US"/>
        </w:rPr>
      </w:pPr>
    </w:p>
    <w:p w14:paraId="4C03DE9B" w14:textId="77777777" w:rsidR="00316AA2" w:rsidRDefault="00B44FF7" w:rsidP="005606AE">
      <w:pPr>
        <w:pStyle w:val="ListParagraph"/>
        <w:numPr>
          <w:ilvl w:val="1"/>
          <w:numId w:val="1"/>
        </w:numPr>
        <w:snapToGrid w:val="0"/>
        <w:spacing w:after="0" w:line="240" w:lineRule="auto"/>
        <w:contextualSpacing w:val="0"/>
        <w:rPr>
          <w:rFonts w:cstheme="minorHAnsi"/>
          <w:b/>
          <w:bCs/>
          <w:sz w:val="20"/>
          <w:szCs w:val="20"/>
          <w:lang w:val="en-US"/>
        </w:rPr>
      </w:pPr>
      <w:bookmarkStart w:id="0" w:name="_Hlk146900506"/>
      <w:r w:rsidRPr="007306AF">
        <w:rPr>
          <w:rFonts w:cstheme="minorHAnsi"/>
          <w:b/>
          <w:bCs/>
          <w:sz w:val="20"/>
          <w:szCs w:val="20"/>
          <w:lang w:val="en-US"/>
        </w:rPr>
        <w:lastRenderedPageBreak/>
        <w:t>Student: Yhasreen</w:t>
      </w:r>
      <w:r w:rsidR="00B32380">
        <w:rPr>
          <w:rFonts w:cstheme="minorHAnsi"/>
          <w:b/>
          <w:bCs/>
          <w:sz w:val="20"/>
          <w:szCs w:val="20"/>
          <w:lang w:val="en-US"/>
        </w:rPr>
        <w:t xml:space="preserve"> for bond and equity</w:t>
      </w:r>
      <w:r w:rsidR="00F25FB2">
        <w:rPr>
          <w:rFonts w:cstheme="minorHAnsi"/>
          <w:b/>
          <w:bCs/>
          <w:sz w:val="20"/>
          <w:szCs w:val="20"/>
          <w:lang w:val="en-US"/>
        </w:rPr>
        <w:t xml:space="preserve"> data characteristics</w:t>
      </w:r>
    </w:p>
    <w:p w14:paraId="367A65D0" w14:textId="77777777" w:rsidR="00B13673" w:rsidRDefault="00B13673" w:rsidP="00B13673">
      <w:pPr>
        <w:pStyle w:val="ListParagraph"/>
        <w:snapToGrid w:val="0"/>
        <w:spacing w:after="0" w:line="240" w:lineRule="auto"/>
        <w:ind w:left="936"/>
        <w:contextualSpacing w:val="0"/>
        <w:rPr>
          <w:rFonts w:cstheme="minorHAnsi"/>
          <w:b/>
          <w:bCs/>
          <w:sz w:val="20"/>
          <w:szCs w:val="20"/>
          <w:lang w:val="en-US"/>
        </w:rPr>
      </w:pPr>
    </w:p>
    <w:tbl>
      <w:tblPr>
        <w:tblStyle w:val="TableGrid"/>
        <w:tblW w:w="0" w:type="auto"/>
        <w:tblLook w:val="04A0" w:firstRow="1" w:lastRow="0" w:firstColumn="1" w:lastColumn="0" w:noHBand="0" w:noVBand="1"/>
      </w:tblPr>
      <w:tblGrid>
        <w:gridCol w:w="473"/>
        <w:gridCol w:w="318"/>
        <w:gridCol w:w="1153"/>
        <w:gridCol w:w="318"/>
        <w:gridCol w:w="1806"/>
        <w:gridCol w:w="11047"/>
      </w:tblGrid>
      <w:tr w:rsidR="00FD43CB" w14:paraId="0F7B51CC" w14:textId="77777777" w:rsidTr="00520261">
        <w:trPr>
          <w:trHeight w:val="374"/>
        </w:trPr>
        <w:tc>
          <w:tcPr>
            <w:tcW w:w="0" w:type="auto"/>
            <w:gridSpan w:val="3"/>
            <w:shd w:val="clear" w:color="auto" w:fill="F2F2F2" w:themeFill="background1" w:themeFillShade="F2"/>
            <w:vAlign w:val="center"/>
          </w:tcPr>
          <w:p w14:paraId="4B7FC71C" w14:textId="77777777" w:rsidR="000D0707" w:rsidRPr="00071CD0" w:rsidRDefault="00B44FF7" w:rsidP="00750815">
            <w:pPr>
              <w:snapToGrid w:val="0"/>
              <w:jc w:val="center"/>
              <w:rPr>
                <w:rFonts w:cstheme="minorHAnsi"/>
                <w:b/>
                <w:bCs/>
                <w:sz w:val="20"/>
                <w:szCs w:val="20"/>
                <w:lang w:val="en-US"/>
              </w:rPr>
            </w:pPr>
            <w:bookmarkStart w:id="1" w:name="_Hlk146194790"/>
            <w:bookmarkEnd w:id="0"/>
            <w:r w:rsidRPr="00071CD0">
              <w:rPr>
                <w:rFonts w:cstheme="minorHAnsi"/>
                <w:b/>
                <w:bCs/>
                <w:sz w:val="20"/>
                <w:szCs w:val="20"/>
                <w:lang w:val="en-US"/>
              </w:rPr>
              <w:t>Table 3.</w:t>
            </w:r>
          </w:p>
        </w:tc>
        <w:tc>
          <w:tcPr>
            <w:tcW w:w="13171" w:type="dxa"/>
            <w:gridSpan w:val="3"/>
            <w:shd w:val="clear" w:color="auto" w:fill="F2F2F2" w:themeFill="background1" w:themeFillShade="F2"/>
            <w:vAlign w:val="center"/>
          </w:tcPr>
          <w:p w14:paraId="00065F1B" w14:textId="77777777" w:rsidR="000D0707" w:rsidRPr="00071CD0" w:rsidRDefault="00B44FF7" w:rsidP="00750815">
            <w:pPr>
              <w:pStyle w:val="ListParagraph"/>
              <w:snapToGrid w:val="0"/>
              <w:ind w:left="0"/>
              <w:contextualSpacing w:val="0"/>
              <w:jc w:val="center"/>
              <w:rPr>
                <w:rFonts w:cstheme="minorHAnsi"/>
                <w:b/>
                <w:bCs/>
                <w:sz w:val="20"/>
                <w:szCs w:val="20"/>
                <w:lang w:val="en-US"/>
              </w:rPr>
            </w:pPr>
            <w:r w:rsidRPr="00071CD0">
              <w:rPr>
                <w:rFonts w:cstheme="minorHAnsi"/>
                <w:b/>
                <w:bCs/>
                <w:sz w:val="20"/>
                <w:szCs w:val="20"/>
                <w:lang w:val="en-US"/>
              </w:rPr>
              <w:t xml:space="preserve">Data </w:t>
            </w:r>
            <w:r w:rsidR="003273EC" w:rsidRPr="00071CD0">
              <w:rPr>
                <w:rFonts w:cstheme="minorHAnsi"/>
                <w:b/>
                <w:bCs/>
                <w:sz w:val="20"/>
                <w:szCs w:val="20"/>
                <w:lang w:val="en-US"/>
              </w:rPr>
              <w:t>C</w:t>
            </w:r>
            <w:r w:rsidR="003273EC">
              <w:rPr>
                <w:rFonts w:cstheme="minorHAnsi"/>
                <w:b/>
                <w:bCs/>
                <w:sz w:val="20"/>
                <w:szCs w:val="20"/>
                <w:lang w:val="en-US"/>
              </w:rPr>
              <w:t>haracteristics C</w:t>
            </w:r>
            <w:r w:rsidR="003273EC" w:rsidRPr="00071CD0">
              <w:rPr>
                <w:rFonts w:cstheme="minorHAnsi"/>
                <w:b/>
                <w:bCs/>
                <w:sz w:val="20"/>
                <w:szCs w:val="20"/>
                <w:lang w:val="en-US"/>
              </w:rPr>
              <w:t>ollection</w:t>
            </w:r>
            <w:r w:rsidR="003D64B5">
              <w:rPr>
                <w:rFonts w:cstheme="minorHAnsi"/>
                <w:b/>
                <w:bCs/>
                <w:sz w:val="20"/>
                <w:szCs w:val="20"/>
                <w:lang w:val="en-US"/>
              </w:rPr>
              <w:t xml:space="preserve"> for Equity</w:t>
            </w:r>
          </w:p>
        </w:tc>
      </w:tr>
      <w:tr w:rsidR="00FD43CB" w14:paraId="4BB3AABA" w14:textId="77777777" w:rsidTr="000D3C42">
        <w:trPr>
          <w:trHeight w:val="27"/>
        </w:trPr>
        <w:tc>
          <w:tcPr>
            <w:tcW w:w="0" w:type="auto"/>
            <w:vMerge w:val="restart"/>
            <w:shd w:val="clear" w:color="auto" w:fill="F2F2F2" w:themeFill="background1" w:themeFillShade="F2"/>
            <w:textDirection w:val="btLr"/>
            <w:vAlign w:val="center"/>
          </w:tcPr>
          <w:p w14:paraId="08FDC16D" w14:textId="77777777" w:rsidR="000D0707" w:rsidRPr="00071CD0" w:rsidRDefault="00B44FF7" w:rsidP="00750815">
            <w:pPr>
              <w:pStyle w:val="ListParagraph"/>
              <w:snapToGrid w:val="0"/>
              <w:ind w:left="113" w:right="113"/>
              <w:contextualSpacing w:val="0"/>
              <w:jc w:val="center"/>
              <w:rPr>
                <w:rFonts w:cstheme="minorHAnsi"/>
                <w:b/>
                <w:bCs/>
                <w:sz w:val="20"/>
                <w:szCs w:val="20"/>
                <w:lang w:val="en-US"/>
              </w:rPr>
            </w:pPr>
            <w:r w:rsidRPr="00071CD0">
              <w:rPr>
                <w:rFonts w:cstheme="minorHAnsi"/>
                <w:b/>
                <w:bCs/>
                <w:sz w:val="20"/>
                <w:szCs w:val="20"/>
                <w:lang w:val="en-US"/>
              </w:rPr>
              <w:t>Security Lending Scenarios</w:t>
            </w:r>
          </w:p>
        </w:tc>
        <w:tc>
          <w:tcPr>
            <w:tcW w:w="0" w:type="auto"/>
            <w:vMerge w:val="restart"/>
            <w:shd w:val="clear" w:color="auto" w:fill="F2F2F2" w:themeFill="background1" w:themeFillShade="F2"/>
            <w:vAlign w:val="center"/>
          </w:tcPr>
          <w:p w14:paraId="09F22A38" w14:textId="77777777" w:rsidR="000D0707" w:rsidRPr="00071CD0" w:rsidRDefault="00B44FF7" w:rsidP="00750815">
            <w:pPr>
              <w:pStyle w:val="ListParagraph"/>
              <w:snapToGrid w:val="0"/>
              <w:ind w:left="0"/>
              <w:contextualSpacing w:val="0"/>
              <w:jc w:val="center"/>
              <w:rPr>
                <w:rFonts w:cstheme="minorHAnsi"/>
                <w:b/>
                <w:bCs/>
                <w:sz w:val="20"/>
                <w:szCs w:val="20"/>
                <w:lang w:val="en-US"/>
              </w:rPr>
            </w:pPr>
            <w:r w:rsidRPr="00071CD0">
              <w:rPr>
                <w:rFonts w:cstheme="minorHAnsi"/>
                <w:b/>
                <w:bCs/>
                <w:sz w:val="20"/>
                <w:szCs w:val="20"/>
                <w:lang w:val="en-US"/>
              </w:rPr>
              <w:t>4</w:t>
            </w:r>
          </w:p>
        </w:tc>
        <w:tc>
          <w:tcPr>
            <w:tcW w:w="0" w:type="auto"/>
            <w:vMerge w:val="restart"/>
            <w:shd w:val="clear" w:color="auto" w:fill="F2F2F2" w:themeFill="background1" w:themeFillShade="F2"/>
            <w:vAlign w:val="center"/>
          </w:tcPr>
          <w:p w14:paraId="2A4A496E" w14:textId="77777777" w:rsidR="00710782" w:rsidRDefault="00B44FF7" w:rsidP="00750815">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AAPL</w:t>
            </w:r>
          </w:p>
          <w:p w14:paraId="7EEFD33F" w14:textId="77777777" w:rsidR="00710782" w:rsidRDefault="00B44FF7" w:rsidP="00750815">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 xml:space="preserve">Equity </w:t>
            </w:r>
          </w:p>
          <w:p w14:paraId="51882128" w14:textId="77777777" w:rsidR="000D0707" w:rsidRPr="00071CD0" w:rsidRDefault="00B44FF7" w:rsidP="00750815">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Investment</w:t>
            </w:r>
          </w:p>
        </w:tc>
        <w:tc>
          <w:tcPr>
            <w:tcW w:w="0" w:type="auto"/>
            <w:shd w:val="clear" w:color="auto" w:fill="F2F2F2" w:themeFill="background1" w:themeFillShade="F2"/>
          </w:tcPr>
          <w:p w14:paraId="6E6CCC60" w14:textId="77777777" w:rsidR="000D0707" w:rsidRPr="00071CD0" w:rsidRDefault="00B44FF7" w:rsidP="00750815">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1</w:t>
            </w:r>
          </w:p>
        </w:tc>
        <w:tc>
          <w:tcPr>
            <w:tcW w:w="0" w:type="auto"/>
            <w:shd w:val="clear" w:color="auto" w:fill="F2F2F2" w:themeFill="background1" w:themeFillShade="F2"/>
          </w:tcPr>
          <w:p w14:paraId="5EE97EB3" w14:textId="77777777" w:rsidR="000D0707" w:rsidRPr="00071CD0" w:rsidRDefault="00B44FF7" w:rsidP="00750815">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Data type</w:t>
            </w:r>
          </w:p>
        </w:tc>
        <w:tc>
          <w:tcPr>
            <w:tcW w:w="11047" w:type="dxa"/>
            <w:shd w:val="clear" w:color="auto" w:fill="auto"/>
          </w:tcPr>
          <w:p w14:paraId="3EAE94BC" w14:textId="77777777" w:rsidR="000D0707" w:rsidRDefault="00B44FF7" w:rsidP="005606AE">
            <w:pPr>
              <w:pStyle w:val="ListParagraph"/>
              <w:numPr>
                <w:ilvl w:val="0"/>
                <w:numId w:val="31"/>
              </w:numPr>
              <w:snapToGrid w:val="0"/>
              <w:contextualSpacing w:val="0"/>
              <w:rPr>
                <w:rFonts w:cstheme="minorHAnsi"/>
                <w:sz w:val="20"/>
                <w:szCs w:val="20"/>
                <w:lang w:val="en-US"/>
              </w:rPr>
            </w:pPr>
            <w:r>
              <w:rPr>
                <w:rFonts w:cstheme="minorHAnsi"/>
                <w:sz w:val="20"/>
                <w:szCs w:val="20"/>
                <w:lang w:val="en-US"/>
              </w:rPr>
              <w:t>AAPL Stock price.</w:t>
            </w:r>
          </w:p>
          <w:p w14:paraId="4A8CC5DD" w14:textId="77777777" w:rsidR="000D0707" w:rsidRDefault="00B44FF7" w:rsidP="005606AE">
            <w:pPr>
              <w:pStyle w:val="ListParagraph"/>
              <w:numPr>
                <w:ilvl w:val="0"/>
                <w:numId w:val="31"/>
              </w:numPr>
              <w:snapToGrid w:val="0"/>
              <w:contextualSpacing w:val="0"/>
              <w:rPr>
                <w:rFonts w:cstheme="minorHAnsi"/>
                <w:sz w:val="20"/>
                <w:szCs w:val="20"/>
                <w:lang w:val="en-US"/>
              </w:rPr>
            </w:pPr>
            <w:r w:rsidRPr="000D0707">
              <w:rPr>
                <w:rFonts w:cstheme="minorHAnsi"/>
                <w:sz w:val="20"/>
                <w:szCs w:val="20"/>
                <w:lang w:val="en-US"/>
              </w:rPr>
              <w:t>AAPL's balance sheet, income statement, and cash flow statement</w:t>
            </w:r>
            <w:r>
              <w:rPr>
                <w:rFonts w:cstheme="minorHAnsi"/>
                <w:sz w:val="20"/>
                <w:szCs w:val="20"/>
                <w:lang w:val="en-US"/>
              </w:rPr>
              <w:t>.</w:t>
            </w:r>
          </w:p>
          <w:p w14:paraId="158F99C3" w14:textId="77777777" w:rsidR="000D0707" w:rsidRDefault="00B44FF7" w:rsidP="005606AE">
            <w:pPr>
              <w:pStyle w:val="ListParagraph"/>
              <w:numPr>
                <w:ilvl w:val="0"/>
                <w:numId w:val="31"/>
              </w:numPr>
              <w:snapToGrid w:val="0"/>
              <w:contextualSpacing w:val="0"/>
              <w:rPr>
                <w:rFonts w:cstheme="minorHAnsi"/>
                <w:sz w:val="20"/>
                <w:szCs w:val="20"/>
                <w:lang w:val="en-US"/>
              </w:rPr>
            </w:pPr>
            <w:r w:rsidRPr="000D0707">
              <w:rPr>
                <w:rFonts w:cstheme="minorHAnsi"/>
                <w:sz w:val="20"/>
                <w:szCs w:val="20"/>
                <w:lang w:val="en-US"/>
              </w:rPr>
              <w:t>Macroeconomic indicators influence AAPL stock, like GDP growth, consumer sentiment, and technological trends.</w:t>
            </w:r>
          </w:p>
          <w:p w14:paraId="410A8596" w14:textId="77777777" w:rsidR="000D0707" w:rsidRPr="000D0707" w:rsidRDefault="00B44FF7" w:rsidP="005606AE">
            <w:pPr>
              <w:pStyle w:val="ListParagraph"/>
              <w:numPr>
                <w:ilvl w:val="0"/>
                <w:numId w:val="31"/>
              </w:numPr>
              <w:snapToGrid w:val="0"/>
              <w:contextualSpacing w:val="0"/>
              <w:rPr>
                <w:rFonts w:cstheme="minorHAnsi"/>
                <w:sz w:val="20"/>
                <w:szCs w:val="20"/>
                <w:lang w:val="en-US"/>
              </w:rPr>
            </w:pPr>
            <w:r>
              <w:rPr>
                <w:rFonts w:cstheme="minorHAnsi"/>
                <w:sz w:val="20"/>
                <w:szCs w:val="20"/>
                <w:lang w:val="en-US"/>
              </w:rPr>
              <w:t xml:space="preserve">AAPL </w:t>
            </w:r>
            <w:r w:rsidRPr="000D0707">
              <w:rPr>
                <w:rFonts w:cstheme="minorHAnsi"/>
                <w:sz w:val="20"/>
                <w:szCs w:val="20"/>
                <w:lang w:val="en-US"/>
              </w:rPr>
              <w:t>Analyst ratings and reports</w:t>
            </w:r>
            <w:r>
              <w:rPr>
                <w:rFonts w:cstheme="minorHAnsi"/>
                <w:sz w:val="20"/>
                <w:szCs w:val="20"/>
                <w:lang w:val="en-US"/>
              </w:rPr>
              <w:t>.</w:t>
            </w:r>
          </w:p>
        </w:tc>
      </w:tr>
      <w:tr w:rsidR="00FD43CB" w14:paraId="3D331853" w14:textId="77777777" w:rsidTr="000D3C42">
        <w:trPr>
          <w:trHeight w:val="23"/>
        </w:trPr>
        <w:tc>
          <w:tcPr>
            <w:tcW w:w="0" w:type="auto"/>
            <w:vMerge/>
            <w:shd w:val="clear" w:color="auto" w:fill="F2F2F2" w:themeFill="background1" w:themeFillShade="F2"/>
            <w:vAlign w:val="center"/>
          </w:tcPr>
          <w:p w14:paraId="46A9763D" w14:textId="77777777" w:rsidR="000D0707" w:rsidRPr="00071CD0" w:rsidRDefault="000D0707" w:rsidP="00750815">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6E29E5BD" w14:textId="77777777" w:rsidR="000D0707" w:rsidRPr="00071CD0" w:rsidRDefault="000D0707" w:rsidP="00750815">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585F6CDC" w14:textId="77777777" w:rsidR="000D0707" w:rsidRPr="00071CD0" w:rsidRDefault="000D0707" w:rsidP="00750815">
            <w:pPr>
              <w:pStyle w:val="ListParagraph"/>
              <w:snapToGrid w:val="0"/>
              <w:ind w:left="0"/>
              <w:contextualSpacing w:val="0"/>
              <w:rPr>
                <w:rFonts w:cstheme="minorHAnsi"/>
                <w:b/>
                <w:bCs/>
                <w:sz w:val="20"/>
                <w:szCs w:val="20"/>
                <w:lang w:val="en-US"/>
              </w:rPr>
            </w:pPr>
          </w:p>
        </w:tc>
        <w:tc>
          <w:tcPr>
            <w:tcW w:w="0" w:type="auto"/>
            <w:shd w:val="clear" w:color="auto" w:fill="F2F2F2" w:themeFill="background1" w:themeFillShade="F2"/>
          </w:tcPr>
          <w:p w14:paraId="5FE00EA9" w14:textId="77777777" w:rsidR="000D0707" w:rsidRPr="00071CD0" w:rsidRDefault="00B44FF7" w:rsidP="00750815">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2</w:t>
            </w:r>
          </w:p>
        </w:tc>
        <w:tc>
          <w:tcPr>
            <w:tcW w:w="0" w:type="auto"/>
            <w:shd w:val="clear" w:color="auto" w:fill="F2F2F2" w:themeFill="background1" w:themeFillShade="F2"/>
          </w:tcPr>
          <w:p w14:paraId="319F41F6" w14:textId="77777777" w:rsidR="000D0707" w:rsidRPr="00071CD0" w:rsidRDefault="00B44FF7" w:rsidP="00750815">
            <w:pPr>
              <w:snapToGrid w:val="0"/>
              <w:rPr>
                <w:rFonts w:cstheme="minorHAnsi"/>
                <w:b/>
                <w:bCs/>
                <w:sz w:val="20"/>
                <w:szCs w:val="20"/>
                <w:lang w:val="en-US"/>
              </w:rPr>
            </w:pPr>
            <w:r w:rsidRPr="00071CD0">
              <w:rPr>
                <w:rFonts w:cstheme="minorHAnsi"/>
                <w:b/>
                <w:bCs/>
                <w:sz w:val="20"/>
                <w:szCs w:val="20"/>
                <w:lang w:val="en-US"/>
              </w:rPr>
              <w:t>Data preprocessing</w:t>
            </w:r>
          </w:p>
        </w:tc>
        <w:tc>
          <w:tcPr>
            <w:tcW w:w="11047" w:type="dxa"/>
            <w:shd w:val="clear" w:color="auto" w:fill="auto"/>
          </w:tcPr>
          <w:p w14:paraId="45B248AB" w14:textId="77777777" w:rsidR="000D0707" w:rsidRDefault="00B44FF7" w:rsidP="005606AE">
            <w:pPr>
              <w:pStyle w:val="ListParagraph"/>
              <w:numPr>
                <w:ilvl w:val="0"/>
                <w:numId w:val="32"/>
              </w:numPr>
              <w:snapToGrid w:val="0"/>
              <w:contextualSpacing w:val="0"/>
              <w:rPr>
                <w:rFonts w:cstheme="minorHAnsi"/>
                <w:sz w:val="20"/>
                <w:szCs w:val="20"/>
                <w:lang w:val="en-US"/>
              </w:rPr>
            </w:pPr>
            <w:r>
              <w:rPr>
                <w:rFonts w:cstheme="minorHAnsi"/>
                <w:sz w:val="20"/>
                <w:szCs w:val="20"/>
                <w:lang w:val="en-US"/>
              </w:rPr>
              <w:t xml:space="preserve">AAPL </w:t>
            </w:r>
            <w:r w:rsidRPr="00E35C7F">
              <w:rPr>
                <w:rFonts w:cstheme="minorHAnsi"/>
                <w:sz w:val="20"/>
                <w:szCs w:val="20"/>
                <w:lang w:val="en-US"/>
              </w:rPr>
              <w:t xml:space="preserve">unprocessed </w:t>
            </w:r>
            <w:r>
              <w:rPr>
                <w:rFonts w:cstheme="minorHAnsi"/>
                <w:sz w:val="20"/>
                <w:szCs w:val="20"/>
                <w:lang w:val="en-US"/>
              </w:rPr>
              <w:t>raw</w:t>
            </w:r>
            <w:r w:rsidRPr="00E35C7F">
              <w:rPr>
                <w:rFonts w:cstheme="minorHAnsi"/>
                <w:sz w:val="20"/>
                <w:szCs w:val="20"/>
                <w:lang w:val="en-US"/>
              </w:rPr>
              <w:t xml:space="preserve"> price</w:t>
            </w:r>
            <w:r>
              <w:rPr>
                <w:rFonts w:cstheme="minorHAnsi"/>
                <w:sz w:val="20"/>
                <w:szCs w:val="20"/>
                <w:lang w:val="en-US"/>
              </w:rPr>
              <w:t xml:space="preserve"> </w:t>
            </w:r>
            <w:r w:rsidRPr="007306AF">
              <w:rPr>
                <w:rFonts w:cstheme="minorHAnsi"/>
                <w:sz w:val="20"/>
                <w:szCs w:val="20"/>
                <w:lang w:val="en-US"/>
              </w:rPr>
              <w:t>from the exchange</w:t>
            </w:r>
            <w:r>
              <w:rPr>
                <w:rFonts w:cstheme="minorHAnsi"/>
                <w:sz w:val="20"/>
                <w:szCs w:val="20"/>
                <w:lang w:val="en-US"/>
              </w:rPr>
              <w:t>.</w:t>
            </w:r>
          </w:p>
          <w:p w14:paraId="639A9AD7" w14:textId="77777777" w:rsidR="000D0707" w:rsidRPr="007306AF" w:rsidRDefault="00B44FF7" w:rsidP="005606AE">
            <w:pPr>
              <w:pStyle w:val="ListParagraph"/>
              <w:numPr>
                <w:ilvl w:val="0"/>
                <w:numId w:val="32"/>
              </w:numPr>
              <w:snapToGrid w:val="0"/>
              <w:contextualSpacing w:val="0"/>
              <w:rPr>
                <w:rFonts w:cstheme="minorHAnsi"/>
                <w:sz w:val="20"/>
                <w:szCs w:val="20"/>
                <w:lang w:val="en-US"/>
              </w:rPr>
            </w:pPr>
            <w:r w:rsidRPr="000D0707">
              <w:rPr>
                <w:rFonts w:cstheme="minorHAnsi"/>
                <w:sz w:val="20"/>
                <w:szCs w:val="20"/>
                <w:lang w:val="en-US"/>
              </w:rPr>
              <w:t>AAPL options price</w:t>
            </w:r>
            <w:r>
              <w:rPr>
                <w:rFonts w:cstheme="minorHAnsi"/>
                <w:sz w:val="20"/>
                <w:szCs w:val="20"/>
                <w:lang w:val="en-US"/>
              </w:rPr>
              <w:t>’s implied volatility.</w:t>
            </w:r>
          </w:p>
        </w:tc>
      </w:tr>
      <w:tr w:rsidR="00FD43CB" w14:paraId="6C333628" w14:textId="77777777" w:rsidTr="000D3C42">
        <w:trPr>
          <w:trHeight w:val="23"/>
        </w:trPr>
        <w:tc>
          <w:tcPr>
            <w:tcW w:w="0" w:type="auto"/>
            <w:vMerge/>
            <w:shd w:val="clear" w:color="auto" w:fill="F2F2F2" w:themeFill="background1" w:themeFillShade="F2"/>
            <w:vAlign w:val="center"/>
          </w:tcPr>
          <w:p w14:paraId="6C390968" w14:textId="77777777" w:rsidR="000D0707" w:rsidRPr="00071CD0" w:rsidRDefault="000D0707" w:rsidP="00750815">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632AD224" w14:textId="77777777" w:rsidR="000D0707" w:rsidRPr="00071CD0" w:rsidRDefault="000D0707" w:rsidP="00750815">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7CCC968D" w14:textId="77777777" w:rsidR="000D0707" w:rsidRPr="00071CD0" w:rsidRDefault="000D0707" w:rsidP="00750815">
            <w:pPr>
              <w:pStyle w:val="ListParagraph"/>
              <w:snapToGrid w:val="0"/>
              <w:ind w:left="0"/>
              <w:contextualSpacing w:val="0"/>
              <w:rPr>
                <w:rFonts w:cstheme="minorHAnsi"/>
                <w:b/>
                <w:bCs/>
                <w:sz w:val="20"/>
                <w:szCs w:val="20"/>
                <w:lang w:val="en-US"/>
              </w:rPr>
            </w:pPr>
          </w:p>
        </w:tc>
        <w:tc>
          <w:tcPr>
            <w:tcW w:w="0" w:type="auto"/>
            <w:shd w:val="clear" w:color="auto" w:fill="F2F2F2" w:themeFill="background1" w:themeFillShade="F2"/>
          </w:tcPr>
          <w:p w14:paraId="4FB89981" w14:textId="77777777" w:rsidR="000D0707" w:rsidRPr="00071CD0" w:rsidRDefault="00B44FF7" w:rsidP="00750815">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3</w:t>
            </w:r>
          </w:p>
        </w:tc>
        <w:tc>
          <w:tcPr>
            <w:tcW w:w="0" w:type="auto"/>
            <w:shd w:val="clear" w:color="auto" w:fill="F2F2F2" w:themeFill="background1" w:themeFillShade="F2"/>
          </w:tcPr>
          <w:p w14:paraId="77E5D47C" w14:textId="77777777" w:rsidR="000D0707" w:rsidRPr="00071CD0" w:rsidRDefault="00B44FF7" w:rsidP="00750815">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Data frequency</w:t>
            </w:r>
          </w:p>
        </w:tc>
        <w:tc>
          <w:tcPr>
            <w:tcW w:w="11047" w:type="dxa"/>
            <w:shd w:val="clear" w:color="auto" w:fill="auto"/>
          </w:tcPr>
          <w:p w14:paraId="47158518" w14:textId="77777777" w:rsidR="000D0707" w:rsidRDefault="00B44FF7" w:rsidP="005606AE">
            <w:pPr>
              <w:pStyle w:val="ListParagraph"/>
              <w:numPr>
                <w:ilvl w:val="0"/>
                <w:numId w:val="33"/>
              </w:numPr>
              <w:snapToGrid w:val="0"/>
              <w:contextualSpacing w:val="0"/>
              <w:rPr>
                <w:rFonts w:cstheme="minorHAnsi"/>
                <w:sz w:val="20"/>
                <w:szCs w:val="20"/>
                <w:lang w:val="en-US"/>
              </w:rPr>
            </w:pPr>
            <w:r w:rsidRPr="006F1811">
              <w:rPr>
                <w:rFonts w:cstheme="minorHAnsi"/>
                <w:sz w:val="20"/>
                <w:szCs w:val="20"/>
                <w:lang w:val="en-US"/>
              </w:rPr>
              <w:t>Millisecond or microsecond data for high-frequency trading.</w:t>
            </w:r>
          </w:p>
          <w:p w14:paraId="1F9FC0DD" w14:textId="77777777" w:rsidR="000D0707" w:rsidRDefault="00B44FF7" w:rsidP="005606AE">
            <w:pPr>
              <w:pStyle w:val="ListParagraph"/>
              <w:numPr>
                <w:ilvl w:val="0"/>
                <w:numId w:val="33"/>
              </w:numPr>
              <w:snapToGrid w:val="0"/>
              <w:contextualSpacing w:val="0"/>
              <w:rPr>
                <w:rFonts w:cstheme="minorHAnsi"/>
                <w:sz w:val="20"/>
                <w:szCs w:val="20"/>
                <w:lang w:val="en-US"/>
              </w:rPr>
            </w:pPr>
            <w:r>
              <w:rPr>
                <w:rFonts w:cstheme="minorHAnsi"/>
                <w:sz w:val="20"/>
                <w:szCs w:val="20"/>
                <w:lang w:val="en-US"/>
              </w:rPr>
              <w:t>Intraday APPL stock price</w:t>
            </w:r>
          </w:p>
          <w:p w14:paraId="4EB69B47" w14:textId="77777777" w:rsidR="000D0707" w:rsidRDefault="00B44FF7" w:rsidP="005606AE">
            <w:pPr>
              <w:pStyle w:val="ListParagraph"/>
              <w:numPr>
                <w:ilvl w:val="0"/>
                <w:numId w:val="33"/>
              </w:numPr>
              <w:snapToGrid w:val="0"/>
              <w:contextualSpacing w:val="0"/>
              <w:rPr>
                <w:rFonts w:cstheme="minorHAnsi"/>
                <w:sz w:val="20"/>
                <w:szCs w:val="20"/>
                <w:lang w:val="en-US"/>
              </w:rPr>
            </w:pPr>
            <w:r>
              <w:rPr>
                <w:rFonts w:cstheme="minorHAnsi"/>
                <w:sz w:val="20"/>
                <w:szCs w:val="20"/>
                <w:lang w:val="en-US"/>
              </w:rPr>
              <w:t>Daily closing APPL stock price</w:t>
            </w:r>
          </w:p>
          <w:p w14:paraId="4E6FC716" w14:textId="77777777" w:rsidR="000D0707" w:rsidRDefault="00B44FF7" w:rsidP="005606AE">
            <w:pPr>
              <w:pStyle w:val="ListParagraph"/>
              <w:numPr>
                <w:ilvl w:val="0"/>
                <w:numId w:val="33"/>
              </w:numPr>
              <w:snapToGrid w:val="0"/>
              <w:contextualSpacing w:val="0"/>
              <w:rPr>
                <w:rFonts w:cstheme="minorHAnsi"/>
                <w:sz w:val="20"/>
                <w:szCs w:val="20"/>
                <w:lang w:val="en-US"/>
              </w:rPr>
            </w:pPr>
            <w:r>
              <w:rPr>
                <w:rFonts w:cstheme="minorHAnsi"/>
                <w:sz w:val="20"/>
                <w:szCs w:val="20"/>
                <w:lang w:val="en-US"/>
              </w:rPr>
              <w:t>Q</w:t>
            </w:r>
            <w:r w:rsidRPr="000D0707">
              <w:rPr>
                <w:rFonts w:cstheme="minorHAnsi"/>
                <w:sz w:val="20"/>
                <w:szCs w:val="20"/>
                <w:lang w:val="en-US"/>
              </w:rPr>
              <w:t>uarterly financial disclosures.</w:t>
            </w:r>
          </w:p>
          <w:p w14:paraId="31357E18" w14:textId="77777777" w:rsidR="000D0707" w:rsidRPr="007306AF" w:rsidRDefault="00B44FF7" w:rsidP="005606AE">
            <w:pPr>
              <w:pStyle w:val="ListParagraph"/>
              <w:numPr>
                <w:ilvl w:val="0"/>
                <w:numId w:val="33"/>
              </w:numPr>
              <w:snapToGrid w:val="0"/>
              <w:contextualSpacing w:val="0"/>
              <w:rPr>
                <w:rFonts w:cstheme="minorHAnsi"/>
                <w:sz w:val="20"/>
                <w:szCs w:val="20"/>
                <w:lang w:val="en-US"/>
              </w:rPr>
            </w:pPr>
            <w:r w:rsidRPr="000D0707">
              <w:rPr>
                <w:rFonts w:cstheme="minorHAnsi"/>
                <w:sz w:val="20"/>
                <w:szCs w:val="20"/>
                <w:lang w:val="en-US"/>
              </w:rPr>
              <w:t>Yearly performance data or annual financial statement data.</w:t>
            </w:r>
          </w:p>
        </w:tc>
      </w:tr>
      <w:tr w:rsidR="00FD43CB" w14:paraId="65EEDA68" w14:textId="77777777" w:rsidTr="000D3C42">
        <w:trPr>
          <w:trHeight w:val="23"/>
        </w:trPr>
        <w:tc>
          <w:tcPr>
            <w:tcW w:w="0" w:type="auto"/>
            <w:vMerge/>
            <w:shd w:val="clear" w:color="auto" w:fill="F2F2F2" w:themeFill="background1" w:themeFillShade="F2"/>
            <w:vAlign w:val="center"/>
          </w:tcPr>
          <w:p w14:paraId="03B19BC3" w14:textId="77777777" w:rsidR="000D0707" w:rsidRPr="00071CD0" w:rsidRDefault="000D0707" w:rsidP="00750815">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4FB14BCD" w14:textId="77777777" w:rsidR="000D0707" w:rsidRPr="00071CD0" w:rsidRDefault="000D0707" w:rsidP="00750815">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5FB5C7A5" w14:textId="77777777" w:rsidR="000D0707" w:rsidRPr="00071CD0" w:rsidRDefault="000D0707" w:rsidP="00750815">
            <w:pPr>
              <w:pStyle w:val="ListParagraph"/>
              <w:snapToGrid w:val="0"/>
              <w:ind w:left="0"/>
              <w:contextualSpacing w:val="0"/>
              <w:rPr>
                <w:rFonts w:cstheme="minorHAnsi"/>
                <w:b/>
                <w:bCs/>
                <w:sz w:val="20"/>
                <w:szCs w:val="20"/>
                <w:lang w:val="en-US"/>
              </w:rPr>
            </w:pPr>
          </w:p>
        </w:tc>
        <w:tc>
          <w:tcPr>
            <w:tcW w:w="0" w:type="auto"/>
            <w:shd w:val="clear" w:color="auto" w:fill="F2F2F2" w:themeFill="background1" w:themeFillShade="F2"/>
          </w:tcPr>
          <w:p w14:paraId="5BB8EC6A" w14:textId="77777777" w:rsidR="000D0707" w:rsidRPr="00071CD0" w:rsidRDefault="00B44FF7" w:rsidP="00750815">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4</w:t>
            </w:r>
          </w:p>
        </w:tc>
        <w:tc>
          <w:tcPr>
            <w:tcW w:w="0" w:type="auto"/>
            <w:shd w:val="clear" w:color="auto" w:fill="F2F2F2" w:themeFill="background1" w:themeFillShade="F2"/>
          </w:tcPr>
          <w:p w14:paraId="605298CA" w14:textId="77777777" w:rsidR="000D0707" w:rsidRPr="00071CD0" w:rsidRDefault="00B44FF7" w:rsidP="00750815">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Data class</w:t>
            </w:r>
          </w:p>
        </w:tc>
        <w:tc>
          <w:tcPr>
            <w:tcW w:w="11047" w:type="dxa"/>
            <w:shd w:val="clear" w:color="auto" w:fill="auto"/>
          </w:tcPr>
          <w:p w14:paraId="5BBC6801" w14:textId="77777777" w:rsidR="000D0707" w:rsidRPr="007306AF" w:rsidRDefault="00B44FF7" w:rsidP="00750815">
            <w:pPr>
              <w:pStyle w:val="ListParagraph"/>
              <w:snapToGrid w:val="0"/>
              <w:ind w:left="0"/>
              <w:contextualSpacing w:val="0"/>
              <w:rPr>
                <w:rFonts w:cstheme="minorHAnsi"/>
                <w:sz w:val="20"/>
                <w:szCs w:val="20"/>
                <w:lang w:val="en-US"/>
              </w:rPr>
            </w:pPr>
            <w:r>
              <w:rPr>
                <w:rFonts w:cstheme="minorHAnsi"/>
                <w:sz w:val="20"/>
                <w:szCs w:val="20"/>
                <w:lang w:val="en-US"/>
              </w:rPr>
              <w:t>Equity</w:t>
            </w:r>
          </w:p>
        </w:tc>
      </w:tr>
      <w:tr w:rsidR="00FD43CB" w14:paraId="0EFD4E69" w14:textId="77777777" w:rsidTr="000D3C42">
        <w:trPr>
          <w:trHeight w:val="23"/>
        </w:trPr>
        <w:tc>
          <w:tcPr>
            <w:tcW w:w="0" w:type="auto"/>
            <w:vMerge/>
            <w:shd w:val="clear" w:color="auto" w:fill="F2F2F2" w:themeFill="background1" w:themeFillShade="F2"/>
            <w:vAlign w:val="center"/>
          </w:tcPr>
          <w:p w14:paraId="173DC524" w14:textId="77777777" w:rsidR="000D0707" w:rsidRPr="00071CD0" w:rsidRDefault="000D0707" w:rsidP="00750815">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37C0A522" w14:textId="77777777" w:rsidR="000D0707" w:rsidRPr="00071CD0" w:rsidRDefault="000D0707" w:rsidP="00750815">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748BE5E3" w14:textId="77777777" w:rsidR="000D0707" w:rsidRPr="00071CD0" w:rsidRDefault="000D0707" w:rsidP="00750815">
            <w:pPr>
              <w:pStyle w:val="ListParagraph"/>
              <w:snapToGrid w:val="0"/>
              <w:ind w:left="0"/>
              <w:contextualSpacing w:val="0"/>
              <w:rPr>
                <w:rFonts w:cstheme="minorHAnsi"/>
                <w:b/>
                <w:bCs/>
                <w:sz w:val="20"/>
                <w:szCs w:val="20"/>
                <w:lang w:val="en-US"/>
              </w:rPr>
            </w:pPr>
          </w:p>
        </w:tc>
        <w:tc>
          <w:tcPr>
            <w:tcW w:w="0" w:type="auto"/>
            <w:shd w:val="clear" w:color="auto" w:fill="F2F2F2" w:themeFill="background1" w:themeFillShade="F2"/>
          </w:tcPr>
          <w:p w14:paraId="35FF1BD1" w14:textId="77777777" w:rsidR="000D0707" w:rsidRPr="00071CD0" w:rsidRDefault="00B44FF7" w:rsidP="00750815">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5</w:t>
            </w:r>
          </w:p>
        </w:tc>
        <w:tc>
          <w:tcPr>
            <w:tcW w:w="0" w:type="auto"/>
            <w:shd w:val="clear" w:color="auto" w:fill="F2F2F2" w:themeFill="background1" w:themeFillShade="F2"/>
          </w:tcPr>
          <w:p w14:paraId="16DAFF90" w14:textId="77777777" w:rsidR="000D0707" w:rsidRPr="00071CD0" w:rsidRDefault="00B44FF7" w:rsidP="00750815">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Data source</w:t>
            </w:r>
          </w:p>
        </w:tc>
        <w:tc>
          <w:tcPr>
            <w:tcW w:w="11047" w:type="dxa"/>
            <w:shd w:val="clear" w:color="auto" w:fill="auto"/>
          </w:tcPr>
          <w:p w14:paraId="6A8AFA99" w14:textId="77777777" w:rsidR="000D0707" w:rsidRDefault="00B44FF7" w:rsidP="005606AE">
            <w:pPr>
              <w:pStyle w:val="ListParagraph"/>
              <w:numPr>
                <w:ilvl w:val="0"/>
                <w:numId w:val="34"/>
              </w:numPr>
              <w:snapToGrid w:val="0"/>
              <w:contextualSpacing w:val="0"/>
              <w:rPr>
                <w:rFonts w:cstheme="minorHAnsi"/>
                <w:sz w:val="20"/>
                <w:szCs w:val="20"/>
                <w:lang w:val="en-US"/>
              </w:rPr>
            </w:pPr>
            <w:r>
              <w:rPr>
                <w:rFonts w:cstheme="minorHAnsi"/>
                <w:sz w:val="20"/>
                <w:szCs w:val="20"/>
                <w:lang w:val="en-US"/>
              </w:rPr>
              <w:t>AAPL is listed on the NASDAQ exchange</w:t>
            </w:r>
          </w:p>
          <w:p w14:paraId="70BC9DC4" w14:textId="77777777" w:rsidR="00030CBD" w:rsidRPr="007306AF" w:rsidRDefault="00B44FF7" w:rsidP="005606AE">
            <w:pPr>
              <w:pStyle w:val="ListParagraph"/>
              <w:numPr>
                <w:ilvl w:val="0"/>
                <w:numId w:val="34"/>
              </w:numPr>
              <w:snapToGrid w:val="0"/>
              <w:contextualSpacing w:val="0"/>
              <w:rPr>
                <w:rFonts w:cstheme="minorHAnsi"/>
                <w:sz w:val="20"/>
                <w:szCs w:val="20"/>
                <w:lang w:val="en-US"/>
              </w:rPr>
            </w:pPr>
            <w:r>
              <w:rPr>
                <w:rFonts w:cstheme="minorHAnsi"/>
                <w:sz w:val="20"/>
                <w:szCs w:val="20"/>
                <w:lang w:val="en-US"/>
              </w:rPr>
              <w:t>Stock</w:t>
            </w:r>
            <w:r w:rsidRPr="00030CBD">
              <w:rPr>
                <w:rFonts w:cstheme="minorHAnsi"/>
                <w:sz w:val="20"/>
                <w:szCs w:val="20"/>
                <w:lang w:val="en-US"/>
              </w:rPr>
              <w:t xml:space="preserve"> </w:t>
            </w:r>
            <w:r>
              <w:rPr>
                <w:rFonts w:cstheme="minorHAnsi"/>
                <w:sz w:val="20"/>
                <w:szCs w:val="20"/>
                <w:lang w:val="en-US"/>
              </w:rPr>
              <w:t>Broker</w:t>
            </w:r>
            <w:r w:rsidRPr="00030CBD">
              <w:rPr>
                <w:rFonts w:cstheme="minorHAnsi"/>
                <w:sz w:val="20"/>
                <w:szCs w:val="20"/>
                <w:lang w:val="en-US"/>
              </w:rPr>
              <w:t xml:space="preserve"> that </w:t>
            </w:r>
            <w:r w:rsidR="00CF5707" w:rsidRPr="00030CBD">
              <w:rPr>
                <w:rFonts w:cstheme="minorHAnsi"/>
                <w:sz w:val="20"/>
                <w:szCs w:val="20"/>
                <w:lang w:val="en-US"/>
              </w:rPr>
              <w:t>provides</w:t>
            </w:r>
            <w:r w:rsidRPr="00030CBD">
              <w:rPr>
                <w:rFonts w:cstheme="minorHAnsi"/>
                <w:sz w:val="20"/>
                <w:szCs w:val="20"/>
                <w:lang w:val="en-US"/>
              </w:rPr>
              <w:t xml:space="preserve"> </w:t>
            </w:r>
            <w:r>
              <w:rPr>
                <w:rFonts w:cstheme="minorHAnsi"/>
                <w:sz w:val="20"/>
                <w:szCs w:val="20"/>
                <w:lang w:val="en-US"/>
              </w:rPr>
              <w:t>AAPL custodian service for international stock traders.</w:t>
            </w:r>
          </w:p>
        </w:tc>
      </w:tr>
      <w:tr w:rsidR="00FD43CB" w14:paraId="3FD4305D" w14:textId="77777777" w:rsidTr="000D3C42">
        <w:trPr>
          <w:trHeight w:val="23"/>
        </w:trPr>
        <w:tc>
          <w:tcPr>
            <w:tcW w:w="0" w:type="auto"/>
            <w:vMerge/>
            <w:shd w:val="clear" w:color="auto" w:fill="F2F2F2" w:themeFill="background1" w:themeFillShade="F2"/>
            <w:vAlign w:val="center"/>
          </w:tcPr>
          <w:p w14:paraId="26B5BC55" w14:textId="77777777" w:rsidR="000D0707" w:rsidRPr="00071CD0" w:rsidRDefault="000D0707" w:rsidP="00750815">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2506C679" w14:textId="77777777" w:rsidR="000D0707" w:rsidRPr="00071CD0" w:rsidRDefault="000D0707" w:rsidP="00750815">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0FF8CF46" w14:textId="77777777" w:rsidR="000D0707" w:rsidRPr="00071CD0" w:rsidRDefault="000D0707" w:rsidP="00750815">
            <w:pPr>
              <w:pStyle w:val="ListParagraph"/>
              <w:snapToGrid w:val="0"/>
              <w:ind w:left="0"/>
              <w:contextualSpacing w:val="0"/>
              <w:rPr>
                <w:rFonts w:cstheme="minorHAnsi"/>
                <w:b/>
                <w:bCs/>
                <w:sz w:val="20"/>
                <w:szCs w:val="20"/>
                <w:lang w:val="en-US"/>
              </w:rPr>
            </w:pPr>
          </w:p>
        </w:tc>
        <w:tc>
          <w:tcPr>
            <w:tcW w:w="0" w:type="auto"/>
            <w:shd w:val="clear" w:color="auto" w:fill="F2F2F2" w:themeFill="background1" w:themeFillShade="F2"/>
          </w:tcPr>
          <w:p w14:paraId="57347690" w14:textId="77777777" w:rsidR="000D0707" w:rsidRPr="00071CD0" w:rsidRDefault="00B44FF7" w:rsidP="00750815">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6</w:t>
            </w:r>
          </w:p>
        </w:tc>
        <w:tc>
          <w:tcPr>
            <w:tcW w:w="0" w:type="auto"/>
            <w:shd w:val="clear" w:color="auto" w:fill="F2F2F2" w:themeFill="background1" w:themeFillShade="F2"/>
          </w:tcPr>
          <w:p w14:paraId="12B54CC1" w14:textId="77777777" w:rsidR="000D0707" w:rsidRPr="00071CD0" w:rsidRDefault="00B44FF7" w:rsidP="00750815">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Data Variety</w:t>
            </w:r>
          </w:p>
        </w:tc>
        <w:tc>
          <w:tcPr>
            <w:tcW w:w="11047" w:type="dxa"/>
            <w:shd w:val="clear" w:color="auto" w:fill="auto"/>
          </w:tcPr>
          <w:p w14:paraId="504E44CE" w14:textId="77777777" w:rsidR="000D0707" w:rsidRDefault="00B44FF7" w:rsidP="005606AE">
            <w:pPr>
              <w:pStyle w:val="ListParagraph"/>
              <w:numPr>
                <w:ilvl w:val="0"/>
                <w:numId w:val="35"/>
              </w:numPr>
              <w:snapToGrid w:val="0"/>
              <w:contextualSpacing w:val="0"/>
              <w:rPr>
                <w:rFonts w:cstheme="minorHAnsi"/>
                <w:sz w:val="20"/>
                <w:szCs w:val="20"/>
                <w:lang w:val="en-US"/>
              </w:rPr>
            </w:pPr>
            <w:r>
              <w:rPr>
                <w:rFonts w:cstheme="minorHAnsi"/>
                <w:sz w:val="20"/>
                <w:szCs w:val="20"/>
                <w:lang w:val="en-US"/>
              </w:rPr>
              <w:t xml:space="preserve">AAPL </w:t>
            </w:r>
            <w:r w:rsidRPr="007306AF">
              <w:rPr>
                <w:rFonts w:cstheme="minorHAnsi"/>
                <w:sz w:val="20"/>
                <w:szCs w:val="20"/>
                <w:lang w:val="en-US"/>
              </w:rPr>
              <w:t>Traded Data</w:t>
            </w:r>
          </w:p>
          <w:p w14:paraId="65B2719E" w14:textId="77777777" w:rsidR="00071CD0" w:rsidRDefault="00B44FF7" w:rsidP="005606AE">
            <w:pPr>
              <w:pStyle w:val="ListParagraph"/>
              <w:numPr>
                <w:ilvl w:val="0"/>
                <w:numId w:val="35"/>
              </w:numPr>
              <w:snapToGrid w:val="0"/>
              <w:contextualSpacing w:val="0"/>
              <w:rPr>
                <w:rFonts w:cstheme="minorHAnsi"/>
                <w:sz w:val="20"/>
                <w:szCs w:val="20"/>
                <w:lang w:val="en-US"/>
              </w:rPr>
            </w:pPr>
            <w:r>
              <w:rPr>
                <w:rFonts w:cstheme="minorHAnsi"/>
                <w:sz w:val="20"/>
                <w:szCs w:val="20"/>
                <w:lang w:val="en-US"/>
              </w:rPr>
              <w:t xml:space="preserve">AAPL </w:t>
            </w:r>
            <w:r w:rsidRPr="00071CD0">
              <w:rPr>
                <w:rFonts w:cstheme="minorHAnsi"/>
                <w:sz w:val="20"/>
                <w:szCs w:val="20"/>
                <w:lang w:val="en-US"/>
              </w:rPr>
              <w:t>closing stock prices.</w:t>
            </w:r>
          </w:p>
          <w:p w14:paraId="09BDB1FD" w14:textId="77777777" w:rsidR="00071CD0" w:rsidRDefault="00B44FF7" w:rsidP="005606AE">
            <w:pPr>
              <w:pStyle w:val="ListParagraph"/>
              <w:numPr>
                <w:ilvl w:val="0"/>
                <w:numId w:val="35"/>
              </w:numPr>
              <w:snapToGrid w:val="0"/>
              <w:contextualSpacing w:val="0"/>
              <w:rPr>
                <w:rFonts w:cstheme="minorHAnsi"/>
                <w:sz w:val="20"/>
                <w:szCs w:val="20"/>
                <w:lang w:val="en-US"/>
              </w:rPr>
            </w:pPr>
            <w:r>
              <w:rPr>
                <w:rFonts w:cstheme="minorHAnsi"/>
                <w:sz w:val="20"/>
                <w:szCs w:val="20"/>
                <w:lang w:val="en-US"/>
              </w:rPr>
              <w:t>AAPL stock split or dividend</w:t>
            </w:r>
          </w:p>
          <w:p w14:paraId="4D61E67D" w14:textId="77777777" w:rsidR="00071CD0" w:rsidRPr="007306AF" w:rsidRDefault="00B44FF7" w:rsidP="005606AE">
            <w:pPr>
              <w:pStyle w:val="ListParagraph"/>
              <w:numPr>
                <w:ilvl w:val="0"/>
                <w:numId w:val="35"/>
              </w:numPr>
              <w:snapToGrid w:val="0"/>
              <w:contextualSpacing w:val="0"/>
              <w:rPr>
                <w:rFonts w:cstheme="minorHAnsi"/>
                <w:sz w:val="20"/>
                <w:szCs w:val="20"/>
                <w:lang w:val="en-US"/>
              </w:rPr>
            </w:pPr>
            <w:r>
              <w:rPr>
                <w:rFonts w:cstheme="minorHAnsi"/>
                <w:sz w:val="20"/>
                <w:szCs w:val="20"/>
                <w:lang w:val="en-US"/>
              </w:rPr>
              <w:t xml:space="preserve">Relative data to compare </w:t>
            </w:r>
            <w:r w:rsidRPr="00071CD0">
              <w:rPr>
                <w:rFonts w:cstheme="minorHAnsi"/>
                <w:sz w:val="20"/>
                <w:szCs w:val="20"/>
                <w:lang w:val="en-US"/>
              </w:rPr>
              <w:t>AAPL's performance</w:t>
            </w:r>
            <w:r>
              <w:rPr>
                <w:rFonts w:cstheme="minorHAnsi"/>
                <w:sz w:val="20"/>
                <w:szCs w:val="20"/>
                <w:lang w:val="en-US"/>
              </w:rPr>
              <w:t xml:space="preserve"> like </w:t>
            </w:r>
            <w:r w:rsidRPr="00071CD0">
              <w:rPr>
                <w:rFonts w:cstheme="minorHAnsi"/>
                <w:sz w:val="20"/>
                <w:szCs w:val="20"/>
                <w:lang w:val="en-US"/>
              </w:rPr>
              <w:t>the S&amp;P 500.</w:t>
            </w:r>
          </w:p>
        </w:tc>
      </w:tr>
      <w:bookmarkEnd w:id="1"/>
    </w:tbl>
    <w:p w14:paraId="4A50294A" w14:textId="77777777" w:rsidR="0072120B" w:rsidRDefault="0072120B" w:rsidP="00750815">
      <w:pPr>
        <w:pStyle w:val="ListParagraph"/>
        <w:snapToGrid w:val="0"/>
        <w:spacing w:after="0" w:line="240" w:lineRule="auto"/>
        <w:ind w:left="936"/>
        <w:contextualSpacing w:val="0"/>
        <w:rPr>
          <w:rFonts w:cstheme="minorHAnsi"/>
          <w:sz w:val="20"/>
          <w:szCs w:val="20"/>
          <w:lang w:val="en-US"/>
        </w:rPr>
      </w:pPr>
    </w:p>
    <w:p w14:paraId="004CDCFE" w14:textId="77777777" w:rsidR="004E08C6" w:rsidRDefault="004E08C6" w:rsidP="00750815">
      <w:pPr>
        <w:pStyle w:val="ListParagraph"/>
        <w:snapToGrid w:val="0"/>
        <w:spacing w:after="0" w:line="240" w:lineRule="auto"/>
        <w:ind w:left="936"/>
        <w:contextualSpacing w:val="0"/>
        <w:rPr>
          <w:rFonts w:cstheme="minorHAnsi"/>
          <w:b/>
          <w:bCs/>
          <w:sz w:val="20"/>
          <w:szCs w:val="20"/>
          <w:lang w:val="en-US"/>
        </w:rPr>
      </w:pPr>
    </w:p>
    <w:p w14:paraId="1FC6BF56" w14:textId="77777777" w:rsidR="004E08C6" w:rsidRDefault="004E08C6" w:rsidP="00750815">
      <w:pPr>
        <w:pStyle w:val="ListParagraph"/>
        <w:snapToGrid w:val="0"/>
        <w:spacing w:after="0" w:line="240" w:lineRule="auto"/>
        <w:ind w:left="936"/>
        <w:contextualSpacing w:val="0"/>
        <w:rPr>
          <w:rFonts w:cstheme="minorHAnsi"/>
          <w:b/>
          <w:bCs/>
          <w:sz w:val="20"/>
          <w:szCs w:val="20"/>
          <w:lang w:val="en-US"/>
        </w:rPr>
      </w:pPr>
    </w:p>
    <w:p w14:paraId="26A70F87" w14:textId="77777777" w:rsidR="004E08C6" w:rsidRDefault="004E08C6" w:rsidP="00750815">
      <w:pPr>
        <w:pStyle w:val="ListParagraph"/>
        <w:snapToGrid w:val="0"/>
        <w:spacing w:after="0" w:line="240" w:lineRule="auto"/>
        <w:ind w:left="936"/>
        <w:contextualSpacing w:val="0"/>
        <w:rPr>
          <w:rFonts w:cstheme="minorHAnsi"/>
          <w:b/>
          <w:bCs/>
          <w:sz w:val="20"/>
          <w:szCs w:val="20"/>
          <w:lang w:val="en-US"/>
        </w:rPr>
      </w:pPr>
    </w:p>
    <w:p w14:paraId="39C5BBB2" w14:textId="77777777" w:rsidR="004E08C6" w:rsidRDefault="004E08C6" w:rsidP="00750815">
      <w:pPr>
        <w:pStyle w:val="ListParagraph"/>
        <w:snapToGrid w:val="0"/>
        <w:spacing w:after="0" w:line="240" w:lineRule="auto"/>
        <w:ind w:left="936"/>
        <w:contextualSpacing w:val="0"/>
        <w:rPr>
          <w:rFonts w:cstheme="minorHAnsi"/>
          <w:b/>
          <w:bCs/>
          <w:sz w:val="20"/>
          <w:szCs w:val="20"/>
          <w:lang w:val="en-US"/>
        </w:rPr>
      </w:pPr>
    </w:p>
    <w:p w14:paraId="71BE7234" w14:textId="77777777" w:rsidR="004E08C6" w:rsidRDefault="004E08C6" w:rsidP="00750815">
      <w:pPr>
        <w:pStyle w:val="ListParagraph"/>
        <w:snapToGrid w:val="0"/>
        <w:spacing w:after="0" w:line="240" w:lineRule="auto"/>
        <w:ind w:left="936"/>
        <w:contextualSpacing w:val="0"/>
        <w:rPr>
          <w:rFonts w:cstheme="minorHAnsi"/>
          <w:b/>
          <w:bCs/>
          <w:sz w:val="20"/>
          <w:szCs w:val="20"/>
          <w:lang w:val="en-US"/>
        </w:rPr>
      </w:pPr>
    </w:p>
    <w:p w14:paraId="32302D3A" w14:textId="77777777" w:rsidR="004E08C6" w:rsidRDefault="004E08C6" w:rsidP="00750815">
      <w:pPr>
        <w:pStyle w:val="ListParagraph"/>
        <w:snapToGrid w:val="0"/>
        <w:spacing w:after="0" w:line="240" w:lineRule="auto"/>
        <w:ind w:left="936"/>
        <w:contextualSpacing w:val="0"/>
        <w:rPr>
          <w:rFonts w:cstheme="minorHAnsi"/>
          <w:b/>
          <w:bCs/>
          <w:sz w:val="20"/>
          <w:szCs w:val="20"/>
          <w:lang w:val="en-US"/>
        </w:rPr>
      </w:pPr>
    </w:p>
    <w:p w14:paraId="7D43D91E" w14:textId="77777777" w:rsidR="004E08C6" w:rsidRDefault="004E08C6" w:rsidP="00750815">
      <w:pPr>
        <w:pStyle w:val="ListParagraph"/>
        <w:snapToGrid w:val="0"/>
        <w:spacing w:after="0" w:line="240" w:lineRule="auto"/>
        <w:ind w:left="936"/>
        <w:contextualSpacing w:val="0"/>
        <w:rPr>
          <w:rFonts w:cstheme="minorHAnsi"/>
          <w:b/>
          <w:bCs/>
          <w:sz w:val="20"/>
          <w:szCs w:val="20"/>
          <w:lang w:val="en-US"/>
        </w:rPr>
      </w:pPr>
    </w:p>
    <w:p w14:paraId="2EED45F1" w14:textId="77777777" w:rsidR="004E08C6" w:rsidRDefault="004E08C6" w:rsidP="00750815">
      <w:pPr>
        <w:pStyle w:val="ListParagraph"/>
        <w:snapToGrid w:val="0"/>
        <w:spacing w:after="0" w:line="240" w:lineRule="auto"/>
        <w:ind w:left="936"/>
        <w:contextualSpacing w:val="0"/>
        <w:rPr>
          <w:rFonts w:cstheme="minorHAnsi"/>
          <w:b/>
          <w:bCs/>
          <w:sz w:val="20"/>
          <w:szCs w:val="20"/>
          <w:lang w:val="en-US"/>
        </w:rPr>
      </w:pPr>
    </w:p>
    <w:p w14:paraId="5FA0F3B5" w14:textId="77777777" w:rsidR="004E08C6" w:rsidRDefault="004E08C6" w:rsidP="00750815">
      <w:pPr>
        <w:pStyle w:val="ListParagraph"/>
        <w:snapToGrid w:val="0"/>
        <w:spacing w:after="0" w:line="240" w:lineRule="auto"/>
        <w:ind w:left="936"/>
        <w:contextualSpacing w:val="0"/>
        <w:rPr>
          <w:rFonts w:cstheme="minorHAnsi"/>
          <w:b/>
          <w:bCs/>
          <w:sz w:val="20"/>
          <w:szCs w:val="20"/>
          <w:lang w:val="en-US"/>
        </w:rPr>
      </w:pPr>
    </w:p>
    <w:p w14:paraId="3CB259B2" w14:textId="77777777" w:rsidR="00750815" w:rsidRDefault="00750815" w:rsidP="00750815">
      <w:pPr>
        <w:pStyle w:val="ListParagraph"/>
        <w:snapToGrid w:val="0"/>
        <w:spacing w:after="0" w:line="240" w:lineRule="auto"/>
        <w:ind w:left="936"/>
        <w:contextualSpacing w:val="0"/>
        <w:rPr>
          <w:rFonts w:cstheme="minorHAnsi"/>
          <w:b/>
          <w:bCs/>
          <w:sz w:val="20"/>
          <w:szCs w:val="20"/>
          <w:lang w:val="en-US"/>
        </w:rPr>
      </w:pPr>
    </w:p>
    <w:p w14:paraId="2127CD92" w14:textId="77777777" w:rsidR="00750815" w:rsidRDefault="00750815" w:rsidP="00750815">
      <w:pPr>
        <w:pStyle w:val="ListParagraph"/>
        <w:snapToGrid w:val="0"/>
        <w:spacing w:after="0" w:line="240" w:lineRule="auto"/>
        <w:ind w:left="936"/>
        <w:contextualSpacing w:val="0"/>
        <w:rPr>
          <w:rFonts w:cstheme="minorHAnsi"/>
          <w:b/>
          <w:bCs/>
          <w:sz w:val="20"/>
          <w:szCs w:val="20"/>
          <w:lang w:val="en-US"/>
        </w:rPr>
      </w:pPr>
    </w:p>
    <w:p w14:paraId="0F060D98" w14:textId="77777777" w:rsidR="004E08C6" w:rsidRDefault="004E08C6" w:rsidP="00750815">
      <w:pPr>
        <w:pStyle w:val="ListParagraph"/>
        <w:snapToGrid w:val="0"/>
        <w:spacing w:after="0" w:line="240" w:lineRule="auto"/>
        <w:ind w:left="936"/>
        <w:contextualSpacing w:val="0"/>
        <w:rPr>
          <w:rFonts w:cstheme="minorHAnsi"/>
          <w:b/>
          <w:bCs/>
          <w:sz w:val="20"/>
          <w:szCs w:val="20"/>
          <w:lang w:val="en-US"/>
        </w:rPr>
      </w:pPr>
    </w:p>
    <w:p w14:paraId="7644327E" w14:textId="77777777" w:rsidR="004E08C6" w:rsidRDefault="004E08C6" w:rsidP="00750815">
      <w:pPr>
        <w:pStyle w:val="ListParagraph"/>
        <w:snapToGrid w:val="0"/>
        <w:spacing w:after="0" w:line="240" w:lineRule="auto"/>
        <w:ind w:left="936"/>
        <w:contextualSpacing w:val="0"/>
        <w:rPr>
          <w:rFonts w:cstheme="minorHAnsi"/>
          <w:b/>
          <w:bCs/>
          <w:sz w:val="20"/>
          <w:szCs w:val="20"/>
          <w:lang w:val="en-US"/>
        </w:rPr>
      </w:pPr>
    </w:p>
    <w:p w14:paraId="31520768" w14:textId="77777777" w:rsidR="004E08C6" w:rsidRDefault="004E08C6" w:rsidP="00750815">
      <w:pPr>
        <w:pStyle w:val="ListParagraph"/>
        <w:snapToGrid w:val="0"/>
        <w:spacing w:after="0" w:line="240" w:lineRule="auto"/>
        <w:ind w:left="936"/>
        <w:contextualSpacing w:val="0"/>
        <w:rPr>
          <w:rFonts w:cstheme="minorHAnsi"/>
          <w:b/>
          <w:bCs/>
          <w:sz w:val="20"/>
          <w:szCs w:val="20"/>
          <w:lang w:val="en-US"/>
        </w:rPr>
      </w:pPr>
    </w:p>
    <w:p w14:paraId="32F2EF88" w14:textId="77777777" w:rsidR="004E08C6" w:rsidRDefault="004E08C6" w:rsidP="00750815">
      <w:pPr>
        <w:pStyle w:val="ListParagraph"/>
        <w:snapToGrid w:val="0"/>
        <w:spacing w:after="0" w:line="240" w:lineRule="auto"/>
        <w:ind w:left="936"/>
        <w:contextualSpacing w:val="0"/>
        <w:rPr>
          <w:rFonts w:cstheme="minorHAnsi"/>
          <w:b/>
          <w:bCs/>
          <w:sz w:val="20"/>
          <w:szCs w:val="20"/>
          <w:lang w:val="en-US"/>
        </w:rPr>
      </w:pPr>
    </w:p>
    <w:p w14:paraId="2CDC0A93" w14:textId="77777777" w:rsidR="004E08C6" w:rsidRDefault="004E08C6" w:rsidP="00750815">
      <w:pPr>
        <w:pStyle w:val="ListParagraph"/>
        <w:snapToGrid w:val="0"/>
        <w:spacing w:after="0" w:line="240" w:lineRule="auto"/>
        <w:ind w:left="936"/>
        <w:contextualSpacing w:val="0"/>
        <w:rPr>
          <w:rFonts w:cstheme="minorHAnsi"/>
          <w:b/>
          <w:bCs/>
          <w:sz w:val="20"/>
          <w:szCs w:val="20"/>
          <w:lang w:val="en-US"/>
        </w:rPr>
      </w:pPr>
    </w:p>
    <w:p w14:paraId="108E7EE6" w14:textId="77777777" w:rsidR="003D64B5" w:rsidRDefault="00B44FF7" w:rsidP="005606AE">
      <w:pPr>
        <w:pStyle w:val="ListParagraph"/>
        <w:numPr>
          <w:ilvl w:val="1"/>
          <w:numId w:val="32"/>
        </w:numPr>
        <w:snapToGrid w:val="0"/>
        <w:spacing w:after="0" w:line="240" w:lineRule="auto"/>
        <w:contextualSpacing w:val="0"/>
        <w:rPr>
          <w:rFonts w:cstheme="minorHAnsi"/>
          <w:b/>
          <w:bCs/>
          <w:sz w:val="20"/>
          <w:szCs w:val="20"/>
          <w:lang w:val="en-US"/>
        </w:rPr>
      </w:pPr>
      <w:r w:rsidRPr="007306AF">
        <w:rPr>
          <w:rFonts w:cstheme="minorHAnsi"/>
          <w:b/>
          <w:bCs/>
          <w:sz w:val="20"/>
          <w:szCs w:val="20"/>
          <w:lang w:val="en-US"/>
        </w:rPr>
        <w:lastRenderedPageBreak/>
        <w:t>Student: Yhasreen</w:t>
      </w:r>
      <w:r>
        <w:rPr>
          <w:rFonts w:cstheme="minorHAnsi"/>
          <w:b/>
          <w:bCs/>
          <w:sz w:val="20"/>
          <w:szCs w:val="20"/>
          <w:lang w:val="en-US"/>
        </w:rPr>
        <w:t xml:space="preserve"> for bond and equity</w:t>
      </w:r>
      <w:r w:rsidR="00F25FB2">
        <w:rPr>
          <w:rFonts w:cstheme="minorHAnsi"/>
          <w:b/>
          <w:bCs/>
          <w:sz w:val="20"/>
          <w:szCs w:val="20"/>
          <w:lang w:val="en-US"/>
        </w:rPr>
        <w:t xml:space="preserve"> data characteristics</w:t>
      </w:r>
    </w:p>
    <w:p w14:paraId="3D95EA4E" w14:textId="77777777" w:rsidR="00B13673" w:rsidRDefault="00B13673" w:rsidP="00B13673">
      <w:pPr>
        <w:pStyle w:val="ListParagraph"/>
        <w:snapToGrid w:val="0"/>
        <w:spacing w:after="0" w:line="240" w:lineRule="auto"/>
        <w:ind w:left="936"/>
        <w:contextualSpacing w:val="0"/>
        <w:rPr>
          <w:rFonts w:cstheme="minorHAnsi"/>
          <w:b/>
          <w:bCs/>
          <w:sz w:val="20"/>
          <w:szCs w:val="20"/>
          <w:lang w:val="en-US"/>
        </w:rPr>
      </w:pPr>
    </w:p>
    <w:tbl>
      <w:tblPr>
        <w:tblStyle w:val="TableGrid"/>
        <w:tblW w:w="0" w:type="auto"/>
        <w:tblLook w:val="04A0" w:firstRow="1" w:lastRow="0" w:firstColumn="1" w:lastColumn="0" w:noHBand="0" w:noVBand="1"/>
      </w:tblPr>
      <w:tblGrid>
        <w:gridCol w:w="473"/>
        <w:gridCol w:w="318"/>
        <w:gridCol w:w="1153"/>
        <w:gridCol w:w="318"/>
        <w:gridCol w:w="1806"/>
        <w:gridCol w:w="11047"/>
      </w:tblGrid>
      <w:tr w:rsidR="00FD43CB" w14:paraId="544E100D" w14:textId="77777777" w:rsidTr="00520261">
        <w:trPr>
          <w:trHeight w:val="374"/>
        </w:trPr>
        <w:tc>
          <w:tcPr>
            <w:tcW w:w="0" w:type="auto"/>
            <w:gridSpan w:val="3"/>
            <w:shd w:val="clear" w:color="auto" w:fill="F2F2F2" w:themeFill="background1" w:themeFillShade="F2"/>
            <w:vAlign w:val="center"/>
          </w:tcPr>
          <w:p w14:paraId="45A6FAB2" w14:textId="77777777" w:rsidR="003D64B5" w:rsidRPr="00071CD0" w:rsidRDefault="00B44FF7" w:rsidP="00750815">
            <w:pPr>
              <w:snapToGrid w:val="0"/>
              <w:jc w:val="center"/>
              <w:rPr>
                <w:rFonts w:cstheme="minorHAnsi"/>
                <w:b/>
                <w:bCs/>
                <w:sz w:val="20"/>
                <w:szCs w:val="20"/>
                <w:lang w:val="en-US"/>
              </w:rPr>
            </w:pPr>
            <w:r w:rsidRPr="00071CD0">
              <w:rPr>
                <w:rFonts w:cstheme="minorHAnsi"/>
                <w:b/>
                <w:bCs/>
                <w:sz w:val="20"/>
                <w:szCs w:val="20"/>
                <w:lang w:val="en-US"/>
              </w:rPr>
              <w:t>Table 3.</w:t>
            </w:r>
          </w:p>
        </w:tc>
        <w:tc>
          <w:tcPr>
            <w:tcW w:w="13171" w:type="dxa"/>
            <w:gridSpan w:val="3"/>
            <w:shd w:val="clear" w:color="auto" w:fill="F2F2F2" w:themeFill="background1" w:themeFillShade="F2"/>
            <w:vAlign w:val="center"/>
          </w:tcPr>
          <w:p w14:paraId="31EC60E5" w14:textId="77777777" w:rsidR="003D64B5" w:rsidRPr="00071CD0" w:rsidRDefault="00B44FF7" w:rsidP="00750815">
            <w:pPr>
              <w:pStyle w:val="ListParagraph"/>
              <w:snapToGrid w:val="0"/>
              <w:ind w:left="0"/>
              <w:contextualSpacing w:val="0"/>
              <w:jc w:val="center"/>
              <w:rPr>
                <w:rFonts w:cstheme="minorHAnsi"/>
                <w:b/>
                <w:bCs/>
                <w:sz w:val="20"/>
                <w:szCs w:val="20"/>
                <w:lang w:val="en-US"/>
              </w:rPr>
            </w:pPr>
            <w:r w:rsidRPr="00071CD0">
              <w:rPr>
                <w:rFonts w:cstheme="minorHAnsi"/>
                <w:b/>
                <w:bCs/>
                <w:sz w:val="20"/>
                <w:szCs w:val="20"/>
                <w:lang w:val="en-US"/>
              </w:rPr>
              <w:t xml:space="preserve">Data </w:t>
            </w:r>
            <w:r w:rsidR="003273EC" w:rsidRPr="00071CD0">
              <w:rPr>
                <w:rFonts w:cstheme="minorHAnsi"/>
                <w:b/>
                <w:bCs/>
                <w:sz w:val="20"/>
                <w:szCs w:val="20"/>
                <w:lang w:val="en-US"/>
              </w:rPr>
              <w:t>C</w:t>
            </w:r>
            <w:r w:rsidR="003273EC">
              <w:rPr>
                <w:rFonts w:cstheme="minorHAnsi"/>
                <w:b/>
                <w:bCs/>
                <w:sz w:val="20"/>
                <w:szCs w:val="20"/>
                <w:lang w:val="en-US"/>
              </w:rPr>
              <w:t>haracteristics C</w:t>
            </w:r>
            <w:r w:rsidRPr="00071CD0">
              <w:rPr>
                <w:rFonts w:cstheme="minorHAnsi"/>
                <w:b/>
                <w:bCs/>
                <w:sz w:val="20"/>
                <w:szCs w:val="20"/>
                <w:lang w:val="en-US"/>
              </w:rPr>
              <w:t>ollection</w:t>
            </w:r>
            <w:r>
              <w:rPr>
                <w:rFonts w:cstheme="minorHAnsi"/>
                <w:b/>
                <w:bCs/>
                <w:sz w:val="20"/>
                <w:szCs w:val="20"/>
                <w:lang w:val="en-US"/>
              </w:rPr>
              <w:t xml:space="preserve"> for Bond</w:t>
            </w:r>
          </w:p>
        </w:tc>
      </w:tr>
      <w:tr w:rsidR="00FD43CB" w14:paraId="349CDCF8" w14:textId="77777777" w:rsidTr="000D3C42">
        <w:trPr>
          <w:trHeight w:val="49"/>
        </w:trPr>
        <w:tc>
          <w:tcPr>
            <w:tcW w:w="0" w:type="auto"/>
            <w:vMerge w:val="restart"/>
            <w:shd w:val="clear" w:color="auto" w:fill="F2F2F2" w:themeFill="background1" w:themeFillShade="F2"/>
            <w:textDirection w:val="btLr"/>
            <w:vAlign w:val="center"/>
          </w:tcPr>
          <w:p w14:paraId="51CA9AEA" w14:textId="77777777" w:rsidR="003D64B5" w:rsidRPr="00071CD0" w:rsidRDefault="00B44FF7" w:rsidP="00750815">
            <w:pPr>
              <w:pStyle w:val="ListParagraph"/>
              <w:snapToGrid w:val="0"/>
              <w:ind w:left="113" w:right="113"/>
              <w:contextualSpacing w:val="0"/>
              <w:jc w:val="center"/>
              <w:rPr>
                <w:rFonts w:cstheme="minorHAnsi"/>
                <w:b/>
                <w:bCs/>
                <w:sz w:val="20"/>
                <w:szCs w:val="20"/>
                <w:lang w:val="en-US"/>
              </w:rPr>
            </w:pPr>
            <w:r w:rsidRPr="00071CD0">
              <w:rPr>
                <w:rFonts w:cstheme="minorHAnsi"/>
                <w:b/>
                <w:bCs/>
                <w:sz w:val="20"/>
                <w:szCs w:val="20"/>
                <w:lang w:val="en-US"/>
              </w:rPr>
              <w:t>Security Lending Scenarios</w:t>
            </w:r>
          </w:p>
        </w:tc>
        <w:tc>
          <w:tcPr>
            <w:tcW w:w="0" w:type="auto"/>
            <w:vMerge w:val="restart"/>
            <w:shd w:val="clear" w:color="auto" w:fill="F2F2F2" w:themeFill="background1" w:themeFillShade="F2"/>
            <w:vAlign w:val="center"/>
          </w:tcPr>
          <w:p w14:paraId="64A5D4D4" w14:textId="77777777" w:rsidR="003D64B5" w:rsidRPr="00071CD0" w:rsidRDefault="00B44FF7" w:rsidP="00750815">
            <w:pPr>
              <w:pStyle w:val="ListParagraph"/>
              <w:snapToGrid w:val="0"/>
              <w:ind w:left="0"/>
              <w:contextualSpacing w:val="0"/>
              <w:jc w:val="center"/>
              <w:rPr>
                <w:rFonts w:cstheme="minorHAnsi"/>
                <w:b/>
                <w:bCs/>
                <w:sz w:val="20"/>
                <w:szCs w:val="20"/>
                <w:lang w:val="en-US"/>
              </w:rPr>
            </w:pPr>
            <w:r w:rsidRPr="00071CD0">
              <w:rPr>
                <w:rFonts w:cstheme="minorHAnsi"/>
                <w:b/>
                <w:bCs/>
                <w:sz w:val="20"/>
                <w:szCs w:val="20"/>
                <w:lang w:val="en-US"/>
              </w:rPr>
              <w:t>5</w:t>
            </w:r>
          </w:p>
        </w:tc>
        <w:tc>
          <w:tcPr>
            <w:tcW w:w="0" w:type="auto"/>
            <w:vMerge w:val="restart"/>
            <w:shd w:val="clear" w:color="auto" w:fill="F2F2F2" w:themeFill="background1" w:themeFillShade="F2"/>
            <w:vAlign w:val="center"/>
          </w:tcPr>
          <w:p w14:paraId="48E2B057" w14:textId="77777777" w:rsidR="003D64B5" w:rsidRDefault="00B44FF7" w:rsidP="00750815">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 xml:space="preserve">2-year </w:t>
            </w:r>
          </w:p>
          <w:p w14:paraId="3B93E5F4" w14:textId="77777777" w:rsidR="003D64B5" w:rsidRPr="00071CD0" w:rsidRDefault="00B44FF7" w:rsidP="00750815">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 xml:space="preserve">Treasury </w:t>
            </w:r>
          </w:p>
          <w:p w14:paraId="33E98E25" w14:textId="77777777" w:rsidR="003D64B5" w:rsidRDefault="00B44FF7" w:rsidP="00750815">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 xml:space="preserve">Bond </w:t>
            </w:r>
          </w:p>
          <w:p w14:paraId="21FEE661" w14:textId="77777777" w:rsidR="003D64B5" w:rsidRPr="00071CD0" w:rsidRDefault="00B44FF7" w:rsidP="00750815">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Investment</w:t>
            </w:r>
          </w:p>
        </w:tc>
        <w:tc>
          <w:tcPr>
            <w:tcW w:w="0" w:type="auto"/>
            <w:shd w:val="clear" w:color="auto" w:fill="F2F2F2" w:themeFill="background1" w:themeFillShade="F2"/>
          </w:tcPr>
          <w:p w14:paraId="4AD8CEE9" w14:textId="77777777" w:rsidR="003D64B5" w:rsidRPr="00071CD0" w:rsidRDefault="00B44FF7" w:rsidP="00750815">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1</w:t>
            </w:r>
          </w:p>
        </w:tc>
        <w:tc>
          <w:tcPr>
            <w:tcW w:w="0" w:type="auto"/>
            <w:shd w:val="clear" w:color="auto" w:fill="F2F2F2" w:themeFill="background1" w:themeFillShade="F2"/>
          </w:tcPr>
          <w:p w14:paraId="7A8698E8" w14:textId="77777777" w:rsidR="003D64B5" w:rsidRPr="00071CD0" w:rsidRDefault="00B44FF7" w:rsidP="00750815">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Data type</w:t>
            </w:r>
          </w:p>
        </w:tc>
        <w:tc>
          <w:tcPr>
            <w:tcW w:w="11047" w:type="dxa"/>
            <w:shd w:val="clear" w:color="auto" w:fill="auto"/>
          </w:tcPr>
          <w:p w14:paraId="18A4FB70" w14:textId="77777777" w:rsidR="003D64B5" w:rsidRDefault="00B44FF7" w:rsidP="00750815">
            <w:pPr>
              <w:pStyle w:val="ListParagraph"/>
              <w:numPr>
                <w:ilvl w:val="0"/>
                <w:numId w:val="17"/>
              </w:numPr>
              <w:snapToGrid w:val="0"/>
              <w:contextualSpacing w:val="0"/>
              <w:rPr>
                <w:rFonts w:cstheme="minorHAnsi"/>
                <w:sz w:val="20"/>
                <w:szCs w:val="20"/>
                <w:lang w:val="en-US"/>
              </w:rPr>
            </w:pPr>
            <w:r>
              <w:rPr>
                <w:rFonts w:cstheme="minorHAnsi"/>
                <w:sz w:val="20"/>
                <w:szCs w:val="20"/>
                <w:lang w:val="en-US"/>
              </w:rPr>
              <w:t>2-year Treasury Bond Price</w:t>
            </w:r>
          </w:p>
          <w:p w14:paraId="0C4EB49C" w14:textId="77777777" w:rsidR="003D64B5" w:rsidRDefault="00B44FF7" w:rsidP="00750815">
            <w:pPr>
              <w:pStyle w:val="ListParagraph"/>
              <w:numPr>
                <w:ilvl w:val="0"/>
                <w:numId w:val="17"/>
              </w:numPr>
              <w:snapToGrid w:val="0"/>
              <w:contextualSpacing w:val="0"/>
              <w:rPr>
                <w:rFonts w:cstheme="minorHAnsi"/>
                <w:sz w:val="20"/>
                <w:szCs w:val="20"/>
                <w:lang w:val="en-US"/>
              </w:rPr>
            </w:pPr>
            <w:r w:rsidRPr="00710782">
              <w:rPr>
                <w:rFonts w:cstheme="minorHAnsi"/>
                <w:sz w:val="20"/>
                <w:szCs w:val="20"/>
                <w:lang w:val="en-US"/>
              </w:rPr>
              <w:t>The U.S. government's financial statements provide context for the creditworthiness supporting the bond.</w:t>
            </w:r>
          </w:p>
          <w:p w14:paraId="42736BA3" w14:textId="77777777" w:rsidR="003D64B5" w:rsidRDefault="00B44FF7" w:rsidP="00750815">
            <w:pPr>
              <w:pStyle w:val="ListParagraph"/>
              <w:numPr>
                <w:ilvl w:val="0"/>
                <w:numId w:val="17"/>
              </w:numPr>
              <w:snapToGrid w:val="0"/>
              <w:contextualSpacing w:val="0"/>
              <w:rPr>
                <w:rFonts w:cstheme="minorHAnsi"/>
                <w:sz w:val="20"/>
                <w:szCs w:val="20"/>
                <w:lang w:val="en-US"/>
              </w:rPr>
            </w:pPr>
            <w:r w:rsidRPr="00EF4826">
              <w:rPr>
                <w:rFonts w:cstheme="minorHAnsi"/>
                <w:sz w:val="20"/>
                <w:szCs w:val="20"/>
                <w:lang w:val="en-US"/>
              </w:rPr>
              <w:t>Economic</w:t>
            </w:r>
            <w:r>
              <w:rPr>
                <w:rFonts w:cstheme="minorHAnsi"/>
                <w:sz w:val="20"/>
                <w:szCs w:val="20"/>
                <w:lang w:val="en-US"/>
              </w:rPr>
              <w:t xml:space="preserve"> data:</w:t>
            </w:r>
            <w:r w:rsidRPr="00EF4826">
              <w:rPr>
                <w:rFonts w:cstheme="minorHAnsi"/>
                <w:sz w:val="20"/>
                <w:szCs w:val="20"/>
                <w:lang w:val="en-US"/>
              </w:rPr>
              <w:t xml:space="preserve"> Interest rates set by the Federal Reserve, inflation rates, GDP growth</w:t>
            </w:r>
            <w:r>
              <w:rPr>
                <w:rFonts w:cstheme="minorHAnsi"/>
                <w:sz w:val="20"/>
                <w:szCs w:val="20"/>
                <w:lang w:val="en-US"/>
              </w:rPr>
              <w:t xml:space="preserve"> and</w:t>
            </w:r>
            <w:r w:rsidRPr="00EF4826">
              <w:rPr>
                <w:rFonts w:cstheme="minorHAnsi"/>
                <w:sz w:val="20"/>
                <w:szCs w:val="20"/>
                <w:lang w:val="en-US"/>
              </w:rPr>
              <w:t xml:space="preserve"> employment numbers</w:t>
            </w:r>
            <w:r>
              <w:rPr>
                <w:rFonts w:cstheme="minorHAnsi"/>
                <w:sz w:val="20"/>
                <w:szCs w:val="20"/>
                <w:lang w:val="en-US"/>
              </w:rPr>
              <w:t>.</w:t>
            </w:r>
          </w:p>
          <w:p w14:paraId="60F51112" w14:textId="77777777" w:rsidR="003D64B5" w:rsidRPr="007306AF" w:rsidRDefault="00B44FF7" w:rsidP="00750815">
            <w:pPr>
              <w:pStyle w:val="ListParagraph"/>
              <w:numPr>
                <w:ilvl w:val="0"/>
                <w:numId w:val="17"/>
              </w:numPr>
              <w:snapToGrid w:val="0"/>
              <w:contextualSpacing w:val="0"/>
              <w:rPr>
                <w:rFonts w:cstheme="minorHAnsi"/>
                <w:sz w:val="20"/>
                <w:szCs w:val="20"/>
                <w:lang w:val="en-US"/>
              </w:rPr>
            </w:pPr>
            <w:r w:rsidRPr="002E3A31">
              <w:rPr>
                <w:rFonts w:cstheme="minorHAnsi"/>
                <w:sz w:val="20"/>
                <w:szCs w:val="20"/>
                <w:lang w:val="en-US"/>
              </w:rPr>
              <w:t>Credit ratings of the U.S. government by Moody's, S&amp;P, and Fitch agencies.</w:t>
            </w:r>
          </w:p>
        </w:tc>
      </w:tr>
      <w:tr w:rsidR="00FD43CB" w14:paraId="5EE78F6F" w14:textId="77777777" w:rsidTr="000D3C42">
        <w:trPr>
          <w:trHeight w:val="47"/>
        </w:trPr>
        <w:tc>
          <w:tcPr>
            <w:tcW w:w="0" w:type="auto"/>
            <w:vMerge/>
            <w:shd w:val="clear" w:color="auto" w:fill="F2F2F2" w:themeFill="background1" w:themeFillShade="F2"/>
            <w:vAlign w:val="center"/>
          </w:tcPr>
          <w:p w14:paraId="00D5F27C" w14:textId="77777777" w:rsidR="003D64B5" w:rsidRPr="00071CD0" w:rsidRDefault="003D64B5" w:rsidP="00750815">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tcPr>
          <w:p w14:paraId="2AC4311A" w14:textId="77777777" w:rsidR="003D64B5" w:rsidRPr="00071CD0" w:rsidRDefault="003D64B5" w:rsidP="00750815">
            <w:pPr>
              <w:pStyle w:val="ListParagraph"/>
              <w:snapToGrid w:val="0"/>
              <w:ind w:left="0"/>
              <w:contextualSpacing w:val="0"/>
              <w:rPr>
                <w:rFonts w:cstheme="minorHAnsi"/>
                <w:b/>
                <w:bCs/>
                <w:sz w:val="20"/>
                <w:szCs w:val="20"/>
                <w:lang w:val="en-US"/>
              </w:rPr>
            </w:pPr>
          </w:p>
        </w:tc>
        <w:tc>
          <w:tcPr>
            <w:tcW w:w="0" w:type="auto"/>
            <w:vMerge/>
            <w:shd w:val="clear" w:color="auto" w:fill="F2F2F2" w:themeFill="background1" w:themeFillShade="F2"/>
            <w:vAlign w:val="center"/>
          </w:tcPr>
          <w:p w14:paraId="439C72CF" w14:textId="77777777" w:rsidR="003D64B5" w:rsidRPr="00071CD0" w:rsidRDefault="003D64B5" w:rsidP="00750815">
            <w:pPr>
              <w:pStyle w:val="ListParagraph"/>
              <w:snapToGrid w:val="0"/>
              <w:ind w:left="0"/>
              <w:contextualSpacing w:val="0"/>
              <w:rPr>
                <w:rFonts w:cstheme="minorHAnsi"/>
                <w:b/>
                <w:bCs/>
                <w:sz w:val="20"/>
                <w:szCs w:val="20"/>
                <w:lang w:val="en-US"/>
              </w:rPr>
            </w:pPr>
          </w:p>
        </w:tc>
        <w:tc>
          <w:tcPr>
            <w:tcW w:w="0" w:type="auto"/>
            <w:shd w:val="clear" w:color="auto" w:fill="F2F2F2" w:themeFill="background1" w:themeFillShade="F2"/>
          </w:tcPr>
          <w:p w14:paraId="63ED55A9" w14:textId="77777777" w:rsidR="003D64B5" w:rsidRPr="00071CD0" w:rsidRDefault="00B44FF7" w:rsidP="00750815">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2</w:t>
            </w:r>
          </w:p>
        </w:tc>
        <w:tc>
          <w:tcPr>
            <w:tcW w:w="0" w:type="auto"/>
            <w:shd w:val="clear" w:color="auto" w:fill="F2F2F2" w:themeFill="background1" w:themeFillShade="F2"/>
          </w:tcPr>
          <w:p w14:paraId="22FC307A" w14:textId="77777777" w:rsidR="003D64B5" w:rsidRPr="00071CD0" w:rsidRDefault="00B44FF7" w:rsidP="00750815">
            <w:pPr>
              <w:snapToGrid w:val="0"/>
              <w:rPr>
                <w:rFonts w:cstheme="minorHAnsi"/>
                <w:b/>
                <w:bCs/>
                <w:sz w:val="20"/>
                <w:szCs w:val="20"/>
                <w:lang w:val="en-US"/>
              </w:rPr>
            </w:pPr>
            <w:r w:rsidRPr="00071CD0">
              <w:rPr>
                <w:rFonts w:cstheme="minorHAnsi"/>
                <w:b/>
                <w:bCs/>
                <w:sz w:val="20"/>
                <w:szCs w:val="20"/>
                <w:lang w:val="en-US"/>
              </w:rPr>
              <w:t>Data preprocessing</w:t>
            </w:r>
          </w:p>
        </w:tc>
        <w:tc>
          <w:tcPr>
            <w:tcW w:w="11047" w:type="dxa"/>
            <w:shd w:val="clear" w:color="auto" w:fill="auto"/>
          </w:tcPr>
          <w:p w14:paraId="3FDC8A5E" w14:textId="77777777" w:rsidR="003D64B5" w:rsidRPr="00B15D35" w:rsidRDefault="00B44FF7" w:rsidP="00750815">
            <w:pPr>
              <w:pStyle w:val="ListParagraph"/>
              <w:numPr>
                <w:ilvl w:val="0"/>
                <w:numId w:val="18"/>
              </w:numPr>
              <w:snapToGrid w:val="0"/>
              <w:contextualSpacing w:val="0"/>
              <w:rPr>
                <w:rFonts w:cstheme="minorHAnsi"/>
                <w:sz w:val="20"/>
                <w:szCs w:val="20"/>
                <w:lang w:val="en-US"/>
              </w:rPr>
            </w:pPr>
            <w:r w:rsidRPr="00B15D35">
              <w:rPr>
                <w:rFonts w:cstheme="minorHAnsi"/>
                <w:sz w:val="20"/>
                <w:szCs w:val="20"/>
                <w:lang w:val="en-US"/>
              </w:rPr>
              <w:t>2-year bond yield and 2-year bond price</w:t>
            </w:r>
          </w:p>
          <w:p w14:paraId="0AB50E05" w14:textId="77777777" w:rsidR="003D64B5" w:rsidRPr="007306AF" w:rsidRDefault="00B44FF7" w:rsidP="00750815">
            <w:pPr>
              <w:pStyle w:val="ListParagraph"/>
              <w:numPr>
                <w:ilvl w:val="0"/>
                <w:numId w:val="18"/>
              </w:numPr>
              <w:snapToGrid w:val="0"/>
              <w:contextualSpacing w:val="0"/>
              <w:rPr>
                <w:rFonts w:cstheme="minorHAnsi"/>
                <w:sz w:val="20"/>
                <w:szCs w:val="20"/>
                <w:lang w:val="en-US"/>
              </w:rPr>
            </w:pPr>
            <w:r>
              <w:rPr>
                <w:rFonts w:cstheme="minorHAnsi"/>
                <w:sz w:val="20"/>
                <w:szCs w:val="20"/>
                <w:lang w:val="en-US"/>
              </w:rPr>
              <w:t>Bond option implied volatility</w:t>
            </w:r>
          </w:p>
        </w:tc>
      </w:tr>
      <w:tr w:rsidR="00FD43CB" w14:paraId="543E712B" w14:textId="77777777" w:rsidTr="000D3C42">
        <w:trPr>
          <w:trHeight w:val="47"/>
        </w:trPr>
        <w:tc>
          <w:tcPr>
            <w:tcW w:w="0" w:type="auto"/>
            <w:vMerge/>
            <w:shd w:val="clear" w:color="auto" w:fill="F2F2F2" w:themeFill="background1" w:themeFillShade="F2"/>
            <w:vAlign w:val="center"/>
          </w:tcPr>
          <w:p w14:paraId="7476894F" w14:textId="77777777" w:rsidR="003D64B5" w:rsidRPr="00071CD0" w:rsidRDefault="003D64B5" w:rsidP="00750815">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tcPr>
          <w:p w14:paraId="027EA2CD" w14:textId="77777777" w:rsidR="003D64B5" w:rsidRPr="00071CD0" w:rsidRDefault="003D64B5" w:rsidP="00750815">
            <w:pPr>
              <w:pStyle w:val="ListParagraph"/>
              <w:snapToGrid w:val="0"/>
              <w:ind w:left="0"/>
              <w:contextualSpacing w:val="0"/>
              <w:rPr>
                <w:rFonts w:cstheme="minorHAnsi"/>
                <w:b/>
                <w:bCs/>
                <w:sz w:val="20"/>
                <w:szCs w:val="20"/>
                <w:lang w:val="en-US"/>
              </w:rPr>
            </w:pPr>
          </w:p>
        </w:tc>
        <w:tc>
          <w:tcPr>
            <w:tcW w:w="0" w:type="auto"/>
            <w:vMerge/>
            <w:shd w:val="clear" w:color="auto" w:fill="F2F2F2" w:themeFill="background1" w:themeFillShade="F2"/>
            <w:vAlign w:val="center"/>
          </w:tcPr>
          <w:p w14:paraId="4F3832C4" w14:textId="77777777" w:rsidR="003D64B5" w:rsidRPr="00071CD0" w:rsidRDefault="003D64B5" w:rsidP="00750815">
            <w:pPr>
              <w:pStyle w:val="ListParagraph"/>
              <w:snapToGrid w:val="0"/>
              <w:ind w:left="0"/>
              <w:contextualSpacing w:val="0"/>
              <w:rPr>
                <w:rFonts w:cstheme="minorHAnsi"/>
                <w:b/>
                <w:bCs/>
                <w:sz w:val="20"/>
                <w:szCs w:val="20"/>
                <w:lang w:val="en-US"/>
              </w:rPr>
            </w:pPr>
          </w:p>
        </w:tc>
        <w:tc>
          <w:tcPr>
            <w:tcW w:w="0" w:type="auto"/>
            <w:shd w:val="clear" w:color="auto" w:fill="F2F2F2" w:themeFill="background1" w:themeFillShade="F2"/>
          </w:tcPr>
          <w:p w14:paraId="3A006E0F" w14:textId="77777777" w:rsidR="003D64B5" w:rsidRPr="00071CD0" w:rsidRDefault="00B44FF7" w:rsidP="00750815">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3</w:t>
            </w:r>
          </w:p>
        </w:tc>
        <w:tc>
          <w:tcPr>
            <w:tcW w:w="0" w:type="auto"/>
            <w:shd w:val="clear" w:color="auto" w:fill="F2F2F2" w:themeFill="background1" w:themeFillShade="F2"/>
          </w:tcPr>
          <w:p w14:paraId="3D8B12A9" w14:textId="77777777" w:rsidR="003D64B5" w:rsidRPr="00071CD0" w:rsidRDefault="00B44FF7" w:rsidP="00750815">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Data frequency</w:t>
            </w:r>
          </w:p>
        </w:tc>
        <w:tc>
          <w:tcPr>
            <w:tcW w:w="11047" w:type="dxa"/>
            <w:shd w:val="clear" w:color="auto" w:fill="auto"/>
          </w:tcPr>
          <w:p w14:paraId="1B57B5BD" w14:textId="77777777" w:rsidR="003D64B5" w:rsidRPr="00EF4826" w:rsidRDefault="00B44FF7" w:rsidP="00750815">
            <w:pPr>
              <w:pStyle w:val="ListParagraph"/>
              <w:numPr>
                <w:ilvl w:val="0"/>
                <w:numId w:val="16"/>
              </w:numPr>
              <w:snapToGrid w:val="0"/>
              <w:contextualSpacing w:val="0"/>
              <w:rPr>
                <w:rFonts w:cstheme="minorHAnsi"/>
                <w:sz w:val="20"/>
                <w:szCs w:val="20"/>
                <w:lang w:val="en-US"/>
              </w:rPr>
            </w:pPr>
            <w:r>
              <w:rPr>
                <w:rFonts w:cstheme="minorHAnsi"/>
                <w:sz w:val="20"/>
                <w:szCs w:val="20"/>
                <w:lang w:val="en-US"/>
              </w:rPr>
              <w:t>Intraday</w:t>
            </w:r>
            <w:r w:rsidRPr="00EF4826">
              <w:rPr>
                <w:rFonts w:cstheme="minorHAnsi"/>
                <w:sz w:val="20"/>
                <w:szCs w:val="20"/>
                <w:lang w:val="en-US"/>
              </w:rPr>
              <w:t xml:space="preserve"> closing yield.</w:t>
            </w:r>
          </w:p>
          <w:p w14:paraId="0EE3CD0F" w14:textId="77777777" w:rsidR="003D64B5" w:rsidRPr="00030CBD" w:rsidRDefault="00B44FF7" w:rsidP="00750815">
            <w:pPr>
              <w:pStyle w:val="ListParagraph"/>
              <w:numPr>
                <w:ilvl w:val="0"/>
                <w:numId w:val="16"/>
              </w:numPr>
              <w:snapToGrid w:val="0"/>
              <w:contextualSpacing w:val="0"/>
              <w:rPr>
                <w:rFonts w:cstheme="minorHAnsi"/>
                <w:sz w:val="20"/>
                <w:szCs w:val="20"/>
                <w:lang w:val="en-US"/>
              </w:rPr>
            </w:pPr>
            <w:r w:rsidRPr="00E66904">
              <w:rPr>
                <w:rFonts w:cstheme="minorHAnsi"/>
                <w:sz w:val="20"/>
                <w:szCs w:val="20"/>
                <w:lang w:val="en-US"/>
              </w:rPr>
              <w:t>Daily closing yield.</w:t>
            </w:r>
          </w:p>
        </w:tc>
      </w:tr>
      <w:tr w:rsidR="00FD43CB" w14:paraId="7EC7565E" w14:textId="77777777" w:rsidTr="000D3C42">
        <w:trPr>
          <w:trHeight w:val="47"/>
        </w:trPr>
        <w:tc>
          <w:tcPr>
            <w:tcW w:w="0" w:type="auto"/>
            <w:vMerge/>
            <w:shd w:val="clear" w:color="auto" w:fill="F2F2F2" w:themeFill="background1" w:themeFillShade="F2"/>
            <w:vAlign w:val="center"/>
          </w:tcPr>
          <w:p w14:paraId="7A886BB7" w14:textId="77777777" w:rsidR="003D64B5" w:rsidRPr="00071CD0" w:rsidRDefault="003D64B5" w:rsidP="00750815">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tcPr>
          <w:p w14:paraId="5E99374D" w14:textId="77777777" w:rsidR="003D64B5" w:rsidRPr="00071CD0" w:rsidRDefault="003D64B5" w:rsidP="00750815">
            <w:pPr>
              <w:pStyle w:val="ListParagraph"/>
              <w:snapToGrid w:val="0"/>
              <w:ind w:left="0"/>
              <w:contextualSpacing w:val="0"/>
              <w:rPr>
                <w:rFonts w:cstheme="minorHAnsi"/>
                <w:b/>
                <w:bCs/>
                <w:sz w:val="20"/>
                <w:szCs w:val="20"/>
                <w:lang w:val="en-US"/>
              </w:rPr>
            </w:pPr>
          </w:p>
        </w:tc>
        <w:tc>
          <w:tcPr>
            <w:tcW w:w="0" w:type="auto"/>
            <w:vMerge/>
            <w:shd w:val="clear" w:color="auto" w:fill="F2F2F2" w:themeFill="background1" w:themeFillShade="F2"/>
            <w:vAlign w:val="center"/>
          </w:tcPr>
          <w:p w14:paraId="36EB6D80" w14:textId="77777777" w:rsidR="003D64B5" w:rsidRPr="00071CD0" w:rsidRDefault="003D64B5" w:rsidP="00750815">
            <w:pPr>
              <w:pStyle w:val="ListParagraph"/>
              <w:snapToGrid w:val="0"/>
              <w:ind w:left="0"/>
              <w:contextualSpacing w:val="0"/>
              <w:rPr>
                <w:rFonts w:cstheme="minorHAnsi"/>
                <w:b/>
                <w:bCs/>
                <w:sz w:val="20"/>
                <w:szCs w:val="20"/>
                <w:lang w:val="en-US"/>
              </w:rPr>
            </w:pPr>
          </w:p>
        </w:tc>
        <w:tc>
          <w:tcPr>
            <w:tcW w:w="0" w:type="auto"/>
            <w:shd w:val="clear" w:color="auto" w:fill="F2F2F2" w:themeFill="background1" w:themeFillShade="F2"/>
          </w:tcPr>
          <w:p w14:paraId="00D489E4" w14:textId="77777777" w:rsidR="003D64B5" w:rsidRPr="00071CD0" w:rsidRDefault="00B44FF7" w:rsidP="00750815">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4</w:t>
            </w:r>
          </w:p>
        </w:tc>
        <w:tc>
          <w:tcPr>
            <w:tcW w:w="0" w:type="auto"/>
            <w:shd w:val="clear" w:color="auto" w:fill="F2F2F2" w:themeFill="background1" w:themeFillShade="F2"/>
          </w:tcPr>
          <w:p w14:paraId="74BAA0C1" w14:textId="77777777" w:rsidR="003D64B5" w:rsidRPr="00071CD0" w:rsidRDefault="00B44FF7" w:rsidP="00750815">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Data class</w:t>
            </w:r>
          </w:p>
        </w:tc>
        <w:tc>
          <w:tcPr>
            <w:tcW w:w="11047" w:type="dxa"/>
            <w:shd w:val="clear" w:color="auto" w:fill="auto"/>
          </w:tcPr>
          <w:p w14:paraId="36B5FD68" w14:textId="77777777" w:rsidR="003D64B5" w:rsidRPr="007306AF" w:rsidRDefault="00B44FF7" w:rsidP="00750815">
            <w:pPr>
              <w:pStyle w:val="ListParagraph"/>
              <w:snapToGrid w:val="0"/>
              <w:ind w:left="0"/>
              <w:contextualSpacing w:val="0"/>
              <w:rPr>
                <w:rFonts w:cstheme="minorHAnsi"/>
                <w:sz w:val="20"/>
                <w:szCs w:val="20"/>
                <w:lang w:val="en-US"/>
              </w:rPr>
            </w:pPr>
            <w:r>
              <w:rPr>
                <w:rFonts w:cstheme="minorHAnsi"/>
                <w:sz w:val="20"/>
                <w:szCs w:val="20"/>
                <w:lang w:val="en-US"/>
              </w:rPr>
              <w:t>Fixed income</w:t>
            </w:r>
          </w:p>
        </w:tc>
      </w:tr>
      <w:tr w:rsidR="00FD43CB" w14:paraId="6B660C0C" w14:textId="77777777" w:rsidTr="000D3C42">
        <w:trPr>
          <w:trHeight w:val="47"/>
        </w:trPr>
        <w:tc>
          <w:tcPr>
            <w:tcW w:w="0" w:type="auto"/>
            <w:vMerge/>
            <w:shd w:val="clear" w:color="auto" w:fill="F2F2F2" w:themeFill="background1" w:themeFillShade="F2"/>
            <w:vAlign w:val="center"/>
          </w:tcPr>
          <w:p w14:paraId="40496150" w14:textId="77777777" w:rsidR="003D64B5" w:rsidRPr="00071CD0" w:rsidRDefault="003D64B5" w:rsidP="00750815">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tcPr>
          <w:p w14:paraId="5A271BFE" w14:textId="77777777" w:rsidR="003D64B5" w:rsidRPr="00071CD0" w:rsidRDefault="003D64B5" w:rsidP="00750815">
            <w:pPr>
              <w:pStyle w:val="ListParagraph"/>
              <w:snapToGrid w:val="0"/>
              <w:ind w:left="0"/>
              <w:contextualSpacing w:val="0"/>
              <w:rPr>
                <w:rFonts w:cstheme="minorHAnsi"/>
                <w:b/>
                <w:bCs/>
                <w:sz w:val="20"/>
                <w:szCs w:val="20"/>
                <w:lang w:val="en-US"/>
              </w:rPr>
            </w:pPr>
          </w:p>
        </w:tc>
        <w:tc>
          <w:tcPr>
            <w:tcW w:w="0" w:type="auto"/>
            <w:vMerge/>
            <w:shd w:val="clear" w:color="auto" w:fill="F2F2F2" w:themeFill="background1" w:themeFillShade="F2"/>
            <w:vAlign w:val="center"/>
          </w:tcPr>
          <w:p w14:paraId="2969C8A0" w14:textId="77777777" w:rsidR="003D64B5" w:rsidRPr="00071CD0" w:rsidRDefault="003D64B5" w:rsidP="00750815">
            <w:pPr>
              <w:pStyle w:val="ListParagraph"/>
              <w:snapToGrid w:val="0"/>
              <w:ind w:left="0"/>
              <w:contextualSpacing w:val="0"/>
              <w:rPr>
                <w:rFonts w:cstheme="minorHAnsi"/>
                <w:b/>
                <w:bCs/>
                <w:sz w:val="20"/>
                <w:szCs w:val="20"/>
                <w:lang w:val="en-US"/>
              </w:rPr>
            </w:pPr>
          </w:p>
        </w:tc>
        <w:tc>
          <w:tcPr>
            <w:tcW w:w="0" w:type="auto"/>
            <w:shd w:val="clear" w:color="auto" w:fill="F2F2F2" w:themeFill="background1" w:themeFillShade="F2"/>
          </w:tcPr>
          <w:p w14:paraId="5A42646F" w14:textId="77777777" w:rsidR="003D64B5" w:rsidRPr="00071CD0" w:rsidRDefault="00B44FF7" w:rsidP="00750815">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5</w:t>
            </w:r>
          </w:p>
        </w:tc>
        <w:tc>
          <w:tcPr>
            <w:tcW w:w="0" w:type="auto"/>
            <w:shd w:val="clear" w:color="auto" w:fill="F2F2F2" w:themeFill="background1" w:themeFillShade="F2"/>
          </w:tcPr>
          <w:p w14:paraId="4013ED03" w14:textId="77777777" w:rsidR="003D64B5" w:rsidRPr="00071CD0" w:rsidRDefault="00B44FF7" w:rsidP="00750815">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Data source</w:t>
            </w:r>
          </w:p>
        </w:tc>
        <w:tc>
          <w:tcPr>
            <w:tcW w:w="11047" w:type="dxa"/>
            <w:shd w:val="clear" w:color="auto" w:fill="auto"/>
          </w:tcPr>
          <w:p w14:paraId="57785B23" w14:textId="77777777" w:rsidR="003D64B5" w:rsidRDefault="00B44FF7" w:rsidP="00750815">
            <w:pPr>
              <w:pStyle w:val="ListParagraph"/>
              <w:numPr>
                <w:ilvl w:val="0"/>
                <w:numId w:val="15"/>
              </w:numPr>
              <w:snapToGrid w:val="0"/>
              <w:contextualSpacing w:val="0"/>
              <w:rPr>
                <w:rFonts w:cstheme="minorHAnsi"/>
                <w:sz w:val="20"/>
                <w:szCs w:val="20"/>
                <w:lang w:val="en-US"/>
              </w:rPr>
            </w:pPr>
            <w:r>
              <w:rPr>
                <w:rFonts w:cstheme="minorHAnsi"/>
                <w:sz w:val="20"/>
                <w:szCs w:val="20"/>
                <w:lang w:val="en-US"/>
              </w:rPr>
              <w:t xml:space="preserve">Treasury </w:t>
            </w:r>
            <w:r w:rsidRPr="007306AF">
              <w:rPr>
                <w:rFonts w:cstheme="minorHAnsi"/>
                <w:sz w:val="20"/>
                <w:szCs w:val="20"/>
                <w:lang w:val="en-US"/>
              </w:rPr>
              <w:t>exchange</w:t>
            </w:r>
          </w:p>
          <w:p w14:paraId="3F4D3FC2" w14:textId="77777777" w:rsidR="003D64B5" w:rsidRDefault="00B44FF7" w:rsidP="00750815">
            <w:pPr>
              <w:pStyle w:val="ListParagraph"/>
              <w:numPr>
                <w:ilvl w:val="0"/>
                <w:numId w:val="15"/>
              </w:numPr>
              <w:snapToGrid w:val="0"/>
              <w:contextualSpacing w:val="0"/>
              <w:rPr>
                <w:rFonts w:cstheme="minorHAnsi"/>
                <w:sz w:val="20"/>
                <w:szCs w:val="20"/>
                <w:lang w:val="en-US"/>
              </w:rPr>
            </w:pPr>
            <w:r w:rsidRPr="00A16B1A">
              <w:rPr>
                <w:rFonts w:cstheme="minorHAnsi"/>
                <w:sz w:val="20"/>
                <w:szCs w:val="20"/>
                <w:lang w:val="en-US"/>
              </w:rPr>
              <w:t>Over-the-counter trades between parties for more significant transactions.</w:t>
            </w:r>
          </w:p>
          <w:p w14:paraId="1193BA7D" w14:textId="77777777" w:rsidR="003D64B5" w:rsidRPr="007306AF" w:rsidRDefault="00B44FF7" w:rsidP="00750815">
            <w:pPr>
              <w:pStyle w:val="ListParagraph"/>
              <w:numPr>
                <w:ilvl w:val="0"/>
                <w:numId w:val="15"/>
              </w:numPr>
              <w:snapToGrid w:val="0"/>
              <w:contextualSpacing w:val="0"/>
              <w:rPr>
                <w:rFonts w:cstheme="minorHAnsi"/>
                <w:sz w:val="20"/>
                <w:szCs w:val="20"/>
                <w:lang w:val="en-US"/>
              </w:rPr>
            </w:pPr>
            <w:r>
              <w:rPr>
                <w:rFonts w:cstheme="minorHAnsi"/>
                <w:sz w:val="20"/>
                <w:szCs w:val="20"/>
                <w:lang w:val="en-US"/>
              </w:rPr>
              <w:t>Bond Broker</w:t>
            </w:r>
            <w:r w:rsidRPr="008B4667">
              <w:rPr>
                <w:rFonts w:cstheme="minorHAnsi"/>
                <w:sz w:val="20"/>
                <w:szCs w:val="20"/>
                <w:lang w:val="en-US"/>
              </w:rPr>
              <w:t xml:space="preserve"> provides </w:t>
            </w:r>
            <w:r>
              <w:rPr>
                <w:rFonts w:cstheme="minorHAnsi"/>
                <w:sz w:val="20"/>
                <w:szCs w:val="20"/>
                <w:lang w:val="en-US"/>
              </w:rPr>
              <w:t xml:space="preserve">custodian bond </w:t>
            </w:r>
            <w:r w:rsidRPr="008B4667">
              <w:rPr>
                <w:rFonts w:cstheme="minorHAnsi"/>
                <w:sz w:val="20"/>
                <w:szCs w:val="20"/>
                <w:lang w:val="en-US"/>
              </w:rPr>
              <w:t>trading services.</w:t>
            </w:r>
          </w:p>
        </w:tc>
      </w:tr>
      <w:tr w:rsidR="00FD43CB" w14:paraId="7158D4A7" w14:textId="77777777" w:rsidTr="000D3C42">
        <w:trPr>
          <w:trHeight w:val="47"/>
        </w:trPr>
        <w:tc>
          <w:tcPr>
            <w:tcW w:w="0" w:type="auto"/>
            <w:vMerge/>
            <w:shd w:val="clear" w:color="auto" w:fill="F2F2F2" w:themeFill="background1" w:themeFillShade="F2"/>
            <w:vAlign w:val="center"/>
          </w:tcPr>
          <w:p w14:paraId="44E922DE" w14:textId="77777777" w:rsidR="003D64B5" w:rsidRPr="00071CD0" w:rsidRDefault="003D64B5" w:rsidP="00750815">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tcPr>
          <w:p w14:paraId="3EEB77E3" w14:textId="77777777" w:rsidR="003D64B5" w:rsidRPr="00071CD0" w:rsidRDefault="003D64B5" w:rsidP="00750815">
            <w:pPr>
              <w:pStyle w:val="ListParagraph"/>
              <w:snapToGrid w:val="0"/>
              <w:ind w:left="0"/>
              <w:contextualSpacing w:val="0"/>
              <w:rPr>
                <w:rFonts w:cstheme="minorHAnsi"/>
                <w:b/>
                <w:bCs/>
                <w:sz w:val="20"/>
                <w:szCs w:val="20"/>
                <w:lang w:val="en-US"/>
              </w:rPr>
            </w:pPr>
          </w:p>
        </w:tc>
        <w:tc>
          <w:tcPr>
            <w:tcW w:w="0" w:type="auto"/>
            <w:vMerge/>
            <w:shd w:val="clear" w:color="auto" w:fill="F2F2F2" w:themeFill="background1" w:themeFillShade="F2"/>
            <w:vAlign w:val="center"/>
          </w:tcPr>
          <w:p w14:paraId="6A63261D" w14:textId="77777777" w:rsidR="003D64B5" w:rsidRPr="00071CD0" w:rsidRDefault="003D64B5" w:rsidP="00750815">
            <w:pPr>
              <w:pStyle w:val="ListParagraph"/>
              <w:snapToGrid w:val="0"/>
              <w:ind w:left="0"/>
              <w:contextualSpacing w:val="0"/>
              <w:rPr>
                <w:rFonts w:cstheme="minorHAnsi"/>
                <w:b/>
                <w:bCs/>
                <w:sz w:val="20"/>
                <w:szCs w:val="20"/>
                <w:lang w:val="en-US"/>
              </w:rPr>
            </w:pPr>
          </w:p>
        </w:tc>
        <w:tc>
          <w:tcPr>
            <w:tcW w:w="0" w:type="auto"/>
            <w:shd w:val="clear" w:color="auto" w:fill="F2F2F2" w:themeFill="background1" w:themeFillShade="F2"/>
          </w:tcPr>
          <w:p w14:paraId="78BA20E4" w14:textId="77777777" w:rsidR="003D64B5" w:rsidRPr="00071CD0" w:rsidRDefault="00B44FF7" w:rsidP="00750815">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6</w:t>
            </w:r>
          </w:p>
        </w:tc>
        <w:tc>
          <w:tcPr>
            <w:tcW w:w="0" w:type="auto"/>
            <w:shd w:val="clear" w:color="auto" w:fill="F2F2F2" w:themeFill="background1" w:themeFillShade="F2"/>
          </w:tcPr>
          <w:p w14:paraId="178CBC6C" w14:textId="77777777" w:rsidR="003D64B5" w:rsidRPr="00071CD0" w:rsidRDefault="00B44FF7" w:rsidP="00750815">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Data Variety</w:t>
            </w:r>
          </w:p>
        </w:tc>
        <w:tc>
          <w:tcPr>
            <w:tcW w:w="11047" w:type="dxa"/>
            <w:shd w:val="clear" w:color="auto" w:fill="auto"/>
          </w:tcPr>
          <w:p w14:paraId="0D253CCD" w14:textId="77777777" w:rsidR="003D64B5" w:rsidRDefault="00B44FF7" w:rsidP="00750815">
            <w:pPr>
              <w:pStyle w:val="ListParagraph"/>
              <w:numPr>
                <w:ilvl w:val="0"/>
                <w:numId w:val="14"/>
              </w:numPr>
              <w:snapToGrid w:val="0"/>
              <w:contextualSpacing w:val="0"/>
              <w:rPr>
                <w:rFonts w:cstheme="minorHAnsi"/>
                <w:sz w:val="20"/>
                <w:szCs w:val="20"/>
                <w:lang w:val="en-US"/>
              </w:rPr>
            </w:pPr>
            <w:r w:rsidRPr="00E66904">
              <w:rPr>
                <w:rFonts w:cstheme="minorHAnsi"/>
                <w:sz w:val="20"/>
                <w:szCs w:val="20"/>
                <w:lang w:val="en-US"/>
              </w:rPr>
              <w:t>Bid and ask prices for the bond in secondary markets.</w:t>
            </w:r>
          </w:p>
          <w:p w14:paraId="689A3579" w14:textId="77777777" w:rsidR="003D64B5" w:rsidRDefault="00B44FF7" w:rsidP="00750815">
            <w:pPr>
              <w:pStyle w:val="ListParagraph"/>
              <w:numPr>
                <w:ilvl w:val="0"/>
                <w:numId w:val="14"/>
              </w:numPr>
              <w:snapToGrid w:val="0"/>
              <w:contextualSpacing w:val="0"/>
              <w:rPr>
                <w:rFonts w:cstheme="minorHAnsi"/>
                <w:sz w:val="20"/>
                <w:szCs w:val="20"/>
                <w:lang w:val="en-US"/>
              </w:rPr>
            </w:pPr>
            <w:r w:rsidRPr="00030CBD">
              <w:rPr>
                <w:rFonts w:cstheme="minorHAnsi"/>
                <w:sz w:val="20"/>
                <w:szCs w:val="20"/>
                <w:lang w:val="en-US"/>
              </w:rPr>
              <w:t xml:space="preserve">predictions of future interest rates </w:t>
            </w:r>
          </w:p>
          <w:p w14:paraId="7F025B37" w14:textId="77777777" w:rsidR="003D64B5" w:rsidRDefault="00B44FF7" w:rsidP="00750815">
            <w:pPr>
              <w:pStyle w:val="ListParagraph"/>
              <w:numPr>
                <w:ilvl w:val="0"/>
                <w:numId w:val="14"/>
              </w:numPr>
              <w:snapToGrid w:val="0"/>
              <w:contextualSpacing w:val="0"/>
              <w:rPr>
                <w:rFonts w:cstheme="minorHAnsi"/>
                <w:sz w:val="20"/>
                <w:szCs w:val="20"/>
                <w:lang w:val="en-US"/>
              </w:rPr>
            </w:pPr>
            <w:r>
              <w:rPr>
                <w:rFonts w:cstheme="minorHAnsi"/>
                <w:sz w:val="20"/>
                <w:szCs w:val="20"/>
                <w:lang w:val="en-US"/>
              </w:rPr>
              <w:t>Forecast</w:t>
            </w:r>
            <w:r w:rsidRPr="00030CBD">
              <w:rPr>
                <w:rFonts w:cstheme="minorHAnsi"/>
                <w:sz w:val="20"/>
                <w:szCs w:val="20"/>
                <w:lang w:val="en-US"/>
              </w:rPr>
              <w:t xml:space="preserve"> bond yields.</w:t>
            </w:r>
          </w:p>
          <w:p w14:paraId="18723B47" w14:textId="77777777" w:rsidR="003D64B5" w:rsidRPr="007306AF" w:rsidRDefault="00B44FF7" w:rsidP="00750815">
            <w:pPr>
              <w:pStyle w:val="ListParagraph"/>
              <w:numPr>
                <w:ilvl w:val="0"/>
                <w:numId w:val="14"/>
              </w:numPr>
              <w:snapToGrid w:val="0"/>
              <w:contextualSpacing w:val="0"/>
              <w:rPr>
                <w:rFonts w:cstheme="minorHAnsi"/>
                <w:sz w:val="20"/>
                <w:szCs w:val="20"/>
                <w:lang w:val="en-US"/>
              </w:rPr>
            </w:pPr>
            <w:r w:rsidRPr="00030CBD">
              <w:rPr>
                <w:rFonts w:cstheme="minorHAnsi"/>
                <w:sz w:val="20"/>
                <w:szCs w:val="20"/>
                <w:lang w:val="en-US"/>
              </w:rPr>
              <w:t>Bond's yield compared to the 10-year Treasury yield or inflation rates.</w:t>
            </w:r>
          </w:p>
        </w:tc>
      </w:tr>
    </w:tbl>
    <w:p w14:paraId="77E2FDE8" w14:textId="77777777" w:rsidR="003D64B5" w:rsidRDefault="003D64B5" w:rsidP="00750815">
      <w:pPr>
        <w:pStyle w:val="ListParagraph"/>
        <w:snapToGrid w:val="0"/>
        <w:spacing w:after="0" w:line="240" w:lineRule="auto"/>
        <w:ind w:left="936"/>
        <w:contextualSpacing w:val="0"/>
        <w:rPr>
          <w:rFonts w:cstheme="minorHAnsi"/>
          <w:sz w:val="20"/>
          <w:szCs w:val="20"/>
          <w:lang w:val="en-US"/>
        </w:rPr>
      </w:pPr>
    </w:p>
    <w:p w14:paraId="62603EE2" w14:textId="77777777" w:rsidR="005606AE" w:rsidRPr="008E76F3" w:rsidRDefault="005606AE" w:rsidP="00750815">
      <w:pPr>
        <w:pStyle w:val="ListParagraph"/>
        <w:snapToGrid w:val="0"/>
        <w:spacing w:after="0" w:line="240" w:lineRule="auto"/>
        <w:ind w:left="936"/>
        <w:contextualSpacing w:val="0"/>
        <w:rPr>
          <w:rFonts w:cstheme="minorHAnsi"/>
          <w:sz w:val="20"/>
          <w:szCs w:val="20"/>
          <w:lang w:val="en-US"/>
        </w:rPr>
      </w:pPr>
    </w:p>
    <w:p w14:paraId="5A339535" w14:textId="77777777" w:rsidR="00416589" w:rsidRDefault="00416589" w:rsidP="00750815">
      <w:pPr>
        <w:pStyle w:val="ListParagraph"/>
        <w:snapToGrid w:val="0"/>
        <w:spacing w:after="0" w:line="240" w:lineRule="auto"/>
        <w:ind w:left="936"/>
        <w:contextualSpacing w:val="0"/>
        <w:rPr>
          <w:rFonts w:cstheme="minorHAnsi"/>
          <w:b/>
          <w:bCs/>
          <w:sz w:val="20"/>
          <w:szCs w:val="20"/>
          <w:lang w:val="en-US"/>
        </w:rPr>
      </w:pPr>
    </w:p>
    <w:p w14:paraId="07EFE9B3" w14:textId="77777777" w:rsidR="00416589" w:rsidRDefault="00416589" w:rsidP="00750815">
      <w:pPr>
        <w:pStyle w:val="ListParagraph"/>
        <w:snapToGrid w:val="0"/>
        <w:spacing w:after="0" w:line="240" w:lineRule="auto"/>
        <w:ind w:left="936"/>
        <w:contextualSpacing w:val="0"/>
        <w:rPr>
          <w:rFonts w:cstheme="minorHAnsi"/>
          <w:b/>
          <w:bCs/>
          <w:sz w:val="20"/>
          <w:szCs w:val="20"/>
          <w:lang w:val="en-US"/>
        </w:rPr>
      </w:pPr>
    </w:p>
    <w:p w14:paraId="19E52A88" w14:textId="77777777" w:rsidR="00416589" w:rsidRDefault="00416589" w:rsidP="00750815">
      <w:pPr>
        <w:pStyle w:val="ListParagraph"/>
        <w:snapToGrid w:val="0"/>
        <w:spacing w:after="0" w:line="240" w:lineRule="auto"/>
        <w:ind w:left="936"/>
        <w:contextualSpacing w:val="0"/>
        <w:rPr>
          <w:rFonts w:cstheme="minorHAnsi"/>
          <w:b/>
          <w:bCs/>
          <w:sz w:val="20"/>
          <w:szCs w:val="20"/>
          <w:lang w:val="en-US"/>
        </w:rPr>
      </w:pPr>
    </w:p>
    <w:p w14:paraId="079D6738" w14:textId="77777777" w:rsidR="00416589" w:rsidRDefault="00416589" w:rsidP="00750815">
      <w:pPr>
        <w:pStyle w:val="ListParagraph"/>
        <w:snapToGrid w:val="0"/>
        <w:spacing w:after="0" w:line="240" w:lineRule="auto"/>
        <w:ind w:left="936"/>
        <w:contextualSpacing w:val="0"/>
        <w:rPr>
          <w:rFonts w:cstheme="minorHAnsi"/>
          <w:b/>
          <w:bCs/>
          <w:sz w:val="20"/>
          <w:szCs w:val="20"/>
          <w:lang w:val="en-US"/>
        </w:rPr>
      </w:pPr>
    </w:p>
    <w:p w14:paraId="3C8D9195" w14:textId="77777777" w:rsidR="00416589" w:rsidRDefault="00416589" w:rsidP="00750815">
      <w:pPr>
        <w:pStyle w:val="ListParagraph"/>
        <w:snapToGrid w:val="0"/>
        <w:spacing w:after="0" w:line="240" w:lineRule="auto"/>
        <w:ind w:left="936"/>
        <w:contextualSpacing w:val="0"/>
        <w:rPr>
          <w:rFonts w:cstheme="minorHAnsi"/>
          <w:b/>
          <w:bCs/>
          <w:sz w:val="20"/>
          <w:szCs w:val="20"/>
          <w:lang w:val="en-US"/>
        </w:rPr>
      </w:pPr>
    </w:p>
    <w:p w14:paraId="1E16CA7C" w14:textId="77777777" w:rsidR="00416589" w:rsidRDefault="00416589" w:rsidP="00750815">
      <w:pPr>
        <w:pStyle w:val="ListParagraph"/>
        <w:snapToGrid w:val="0"/>
        <w:spacing w:after="0" w:line="240" w:lineRule="auto"/>
        <w:ind w:left="936"/>
        <w:contextualSpacing w:val="0"/>
        <w:rPr>
          <w:rFonts w:cstheme="minorHAnsi"/>
          <w:b/>
          <w:bCs/>
          <w:sz w:val="20"/>
          <w:szCs w:val="20"/>
          <w:lang w:val="en-US"/>
        </w:rPr>
      </w:pPr>
    </w:p>
    <w:p w14:paraId="6B62CA37" w14:textId="77777777" w:rsidR="00416589" w:rsidRDefault="00416589" w:rsidP="00750815">
      <w:pPr>
        <w:pStyle w:val="ListParagraph"/>
        <w:snapToGrid w:val="0"/>
        <w:spacing w:after="0" w:line="240" w:lineRule="auto"/>
        <w:ind w:left="936"/>
        <w:contextualSpacing w:val="0"/>
        <w:rPr>
          <w:rFonts w:cstheme="minorHAnsi"/>
          <w:b/>
          <w:bCs/>
          <w:sz w:val="20"/>
          <w:szCs w:val="20"/>
          <w:lang w:val="en-US"/>
        </w:rPr>
      </w:pPr>
    </w:p>
    <w:p w14:paraId="47F491A6" w14:textId="77777777" w:rsidR="00416589" w:rsidRDefault="00416589" w:rsidP="00750815">
      <w:pPr>
        <w:pStyle w:val="ListParagraph"/>
        <w:snapToGrid w:val="0"/>
        <w:spacing w:after="0" w:line="240" w:lineRule="auto"/>
        <w:ind w:left="936"/>
        <w:contextualSpacing w:val="0"/>
        <w:rPr>
          <w:rFonts w:cstheme="minorHAnsi"/>
          <w:b/>
          <w:bCs/>
          <w:sz w:val="20"/>
          <w:szCs w:val="20"/>
          <w:lang w:val="en-US"/>
        </w:rPr>
      </w:pPr>
    </w:p>
    <w:p w14:paraId="0C8455EA" w14:textId="77777777" w:rsidR="00416589" w:rsidRDefault="00416589" w:rsidP="00750815">
      <w:pPr>
        <w:pStyle w:val="ListParagraph"/>
        <w:snapToGrid w:val="0"/>
        <w:spacing w:after="0" w:line="240" w:lineRule="auto"/>
        <w:ind w:left="936"/>
        <w:contextualSpacing w:val="0"/>
        <w:rPr>
          <w:rFonts w:cstheme="minorHAnsi"/>
          <w:b/>
          <w:bCs/>
          <w:sz w:val="20"/>
          <w:szCs w:val="20"/>
          <w:lang w:val="en-US"/>
        </w:rPr>
      </w:pPr>
    </w:p>
    <w:p w14:paraId="4BE0A5DC" w14:textId="77777777" w:rsidR="00416589" w:rsidRDefault="00416589" w:rsidP="00750815">
      <w:pPr>
        <w:pStyle w:val="ListParagraph"/>
        <w:snapToGrid w:val="0"/>
        <w:spacing w:after="0" w:line="240" w:lineRule="auto"/>
        <w:ind w:left="936"/>
        <w:contextualSpacing w:val="0"/>
        <w:rPr>
          <w:rFonts w:cstheme="minorHAnsi"/>
          <w:b/>
          <w:bCs/>
          <w:sz w:val="20"/>
          <w:szCs w:val="20"/>
          <w:lang w:val="en-US"/>
        </w:rPr>
      </w:pPr>
    </w:p>
    <w:p w14:paraId="0447B713" w14:textId="77777777" w:rsidR="00416589" w:rsidRDefault="00416589" w:rsidP="00750815">
      <w:pPr>
        <w:pStyle w:val="ListParagraph"/>
        <w:snapToGrid w:val="0"/>
        <w:spacing w:after="0" w:line="240" w:lineRule="auto"/>
        <w:ind w:left="936"/>
        <w:contextualSpacing w:val="0"/>
        <w:rPr>
          <w:rFonts w:cstheme="minorHAnsi"/>
          <w:b/>
          <w:bCs/>
          <w:sz w:val="20"/>
          <w:szCs w:val="20"/>
          <w:lang w:val="en-US"/>
        </w:rPr>
      </w:pPr>
    </w:p>
    <w:p w14:paraId="4E4718B0" w14:textId="77777777" w:rsidR="00416589" w:rsidRDefault="00416589" w:rsidP="00750815">
      <w:pPr>
        <w:pStyle w:val="ListParagraph"/>
        <w:snapToGrid w:val="0"/>
        <w:spacing w:after="0" w:line="240" w:lineRule="auto"/>
        <w:ind w:left="936"/>
        <w:contextualSpacing w:val="0"/>
        <w:rPr>
          <w:rFonts w:cstheme="minorHAnsi"/>
          <w:b/>
          <w:bCs/>
          <w:sz w:val="20"/>
          <w:szCs w:val="20"/>
          <w:lang w:val="en-US"/>
        </w:rPr>
      </w:pPr>
    </w:p>
    <w:p w14:paraId="188AE80A" w14:textId="77777777" w:rsidR="00416589" w:rsidRDefault="00416589" w:rsidP="00750815">
      <w:pPr>
        <w:pStyle w:val="ListParagraph"/>
        <w:snapToGrid w:val="0"/>
        <w:spacing w:after="0" w:line="240" w:lineRule="auto"/>
        <w:ind w:left="936"/>
        <w:contextualSpacing w:val="0"/>
        <w:rPr>
          <w:rFonts w:cstheme="minorHAnsi"/>
          <w:b/>
          <w:bCs/>
          <w:sz w:val="20"/>
          <w:szCs w:val="20"/>
          <w:lang w:val="en-US"/>
        </w:rPr>
      </w:pPr>
    </w:p>
    <w:p w14:paraId="23F481C7" w14:textId="77777777" w:rsidR="00416589" w:rsidRDefault="00416589" w:rsidP="00750815">
      <w:pPr>
        <w:pStyle w:val="ListParagraph"/>
        <w:snapToGrid w:val="0"/>
        <w:spacing w:after="0" w:line="240" w:lineRule="auto"/>
        <w:ind w:left="936"/>
        <w:contextualSpacing w:val="0"/>
        <w:rPr>
          <w:rFonts w:cstheme="minorHAnsi"/>
          <w:b/>
          <w:bCs/>
          <w:sz w:val="20"/>
          <w:szCs w:val="20"/>
          <w:lang w:val="en-US"/>
        </w:rPr>
      </w:pPr>
    </w:p>
    <w:p w14:paraId="76238755" w14:textId="77777777" w:rsidR="00416589" w:rsidRDefault="00416589" w:rsidP="00750815">
      <w:pPr>
        <w:pStyle w:val="ListParagraph"/>
        <w:snapToGrid w:val="0"/>
        <w:spacing w:after="0" w:line="240" w:lineRule="auto"/>
        <w:ind w:left="936"/>
        <w:contextualSpacing w:val="0"/>
        <w:rPr>
          <w:rFonts w:cstheme="minorHAnsi"/>
          <w:b/>
          <w:bCs/>
          <w:sz w:val="20"/>
          <w:szCs w:val="20"/>
          <w:lang w:val="en-US"/>
        </w:rPr>
      </w:pPr>
    </w:p>
    <w:p w14:paraId="4C0BB220" w14:textId="77777777" w:rsidR="00750815" w:rsidRDefault="00750815" w:rsidP="00750815">
      <w:pPr>
        <w:pStyle w:val="ListParagraph"/>
        <w:snapToGrid w:val="0"/>
        <w:spacing w:after="0" w:line="240" w:lineRule="auto"/>
        <w:ind w:left="936"/>
        <w:contextualSpacing w:val="0"/>
        <w:rPr>
          <w:rFonts w:cstheme="minorHAnsi"/>
          <w:b/>
          <w:bCs/>
          <w:sz w:val="20"/>
          <w:szCs w:val="20"/>
          <w:lang w:val="en-US"/>
        </w:rPr>
      </w:pPr>
    </w:p>
    <w:p w14:paraId="77BD6557" w14:textId="77777777" w:rsidR="00750815" w:rsidRDefault="00750815" w:rsidP="00750815">
      <w:pPr>
        <w:pStyle w:val="ListParagraph"/>
        <w:snapToGrid w:val="0"/>
        <w:spacing w:after="0" w:line="240" w:lineRule="auto"/>
        <w:ind w:left="936"/>
        <w:contextualSpacing w:val="0"/>
        <w:rPr>
          <w:rFonts w:cstheme="minorHAnsi"/>
          <w:b/>
          <w:bCs/>
          <w:sz w:val="20"/>
          <w:szCs w:val="20"/>
          <w:lang w:val="en-US"/>
        </w:rPr>
      </w:pPr>
    </w:p>
    <w:p w14:paraId="691AFBDF" w14:textId="77777777" w:rsidR="0072120B" w:rsidRPr="00F63FD2" w:rsidRDefault="00B44FF7" w:rsidP="005606AE">
      <w:pPr>
        <w:pStyle w:val="ListParagraph"/>
        <w:numPr>
          <w:ilvl w:val="1"/>
          <w:numId w:val="32"/>
        </w:numPr>
        <w:snapToGrid w:val="0"/>
        <w:spacing w:after="0" w:line="240" w:lineRule="auto"/>
        <w:contextualSpacing w:val="0"/>
        <w:rPr>
          <w:rFonts w:cstheme="minorHAnsi"/>
          <w:b/>
          <w:bCs/>
          <w:sz w:val="20"/>
          <w:szCs w:val="20"/>
          <w:lang w:val="en-US"/>
        </w:rPr>
      </w:pPr>
      <w:r w:rsidRPr="00F63FD2">
        <w:rPr>
          <w:rFonts w:cstheme="minorHAnsi"/>
          <w:b/>
          <w:bCs/>
          <w:sz w:val="20"/>
          <w:szCs w:val="20"/>
          <w:lang w:val="en-US"/>
        </w:rPr>
        <w:lastRenderedPageBreak/>
        <w:t>Student:</w:t>
      </w:r>
      <w:r w:rsidRPr="00F63FD2">
        <w:rPr>
          <w:rFonts w:cstheme="minorHAnsi"/>
          <w:b/>
          <w:bCs/>
          <w:sz w:val="20"/>
          <w:szCs w:val="20"/>
        </w:rPr>
        <w:t xml:space="preserve"> </w:t>
      </w:r>
      <w:r w:rsidRPr="00F63FD2">
        <w:rPr>
          <w:rFonts w:cstheme="minorHAnsi"/>
          <w:b/>
          <w:bCs/>
          <w:sz w:val="20"/>
          <w:szCs w:val="20"/>
          <w:lang w:val="en-US"/>
        </w:rPr>
        <w:t xml:space="preserve">Ebenezer Illiquid Security Data </w:t>
      </w:r>
      <w:r w:rsidR="00F25FB2" w:rsidRPr="00F63FD2">
        <w:rPr>
          <w:rFonts w:cstheme="minorHAnsi"/>
          <w:b/>
          <w:bCs/>
          <w:sz w:val="20"/>
          <w:szCs w:val="20"/>
          <w:lang w:val="en-US"/>
        </w:rPr>
        <w:t>Cha</w:t>
      </w:r>
      <w:r w:rsidR="00F25FB2">
        <w:rPr>
          <w:rFonts w:cstheme="minorHAnsi"/>
          <w:b/>
          <w:bCs/>
          <w:sz w:val="20"/>
          <w:szCs w:val="20"/>
          <w:lang w:val="en-US"/>
        </w:rPr>
        <w:t>racteristics</w:t>
      </w:r>
    </w:p>
    <w:p w14:paraId="4F9C2AF6" w14:textId="77777777" w:rsidR="00AC18A9" w:rsidRDefault="00AC18A9" w:rsidP="00750815">
      <w:pPr>
        <w:pStyle w:val="ListParagraph"/>
        <w:snapToGrid w:val="0"/>
        <w:spacing w:after="0" w:line="240" w:lineRule="auto"/>
        <w:ind w:left="360"/>
        <w:contextualSpacing w:val="0"/>
        <w:rPr>
          <w:rFonts w:cstheme="minorHAnsi"/>
          <w:b/>
          <w:bCs/>
          <w:sz w:val="20"/>
          <w:szCs w:val="20"/>
          <w:lang w:val="en-US"/>
        </w:rPr>
      </w:pPr>
    </w:p>
    <w:tbl>
      <w:tblPr>
        <w:tblStyle w:val="TableGrid"/>
        <w:tblW w:w="0" w:type="auto"/>
        <w:tblLook w:val="04A0" w:firstRow="1" w:lastRow="0" w:firstColumn="1" w:lastColumn="0" w:noHBand="0" w:noVBand="1"/>
      </w:tblPr>
      <w:tblGrid>
        <w:gridCol w:w="473"/>
        <w:gridCol w:w="318"/>
        <w:gridCol w:w="3841"/>
        <w:gridCol w:w="318"/>
        <w:gridCol w:w="1806"/>
        <w:gridCol w:w="8381"/>
      </w:tblGrid>
      <w:tr w:rsidR="00F617BE" w14:paraId="684362EA" w14:textId="77777777" w:rsidTr="00B13673">
        <w:trPr>
          <w:trHeight w:val="374"/>
        </w:trPr>
        <w:tc>
          <w:tcPr>
            <w:tcW w:w="0" w:type="auto"/>
            <w:gridSpan w:val="3"/>
            <w:shd w:val="clear" w:color="auto" w:fill="F2F2F2" w:themeFill="background1" w:themeFillShade="F2"/>
            <w:vAlign w:val="center"/>
          </w:tcPr>
          <w:p w14:paraId="6428D6B7" w14:textId="77777777" w:rsidR="00F617BE" w:rsidRPr="00071CD0" w:rsidRDefault="00F617BE" w:rsidP="00FB7443">
            <w:pPr>
              <w:snapToGrid w:val="0"/>
              <w:jc w:val="center"/>
              <w:rPr>
                <w:rFonts w:cstheme="minorHAnsi"/>
                <w:b/>
                <w:bCs/>
                <w:sz w:val="20"/>
                <w:szCs w:val="20"/>
                <w:lang w:val="en-US"/>
              </w:rPr>
            </w:pPr>
            <w:r w:rsidRPr="00071CD0">
              <w:rPr>
                <w:rFonts w:cstheme="minorHAnsi"/>
                <w:b/>
                <w:bCs/>
                <w:sz w:val="20"/>
                <w:szCs w:val="20"/>
                <w:lang w:val="en-US"/>
              </w:rPr>
              <w:t>Table 3.</w:t>
            </w:r>
          </w:p>
        </w:tc>
        <w:tc>
          <w:tcPr>
            <w:tcW w:w="10201" w:type="dxa"/>
            <w:gridSpan w:val="3"/>
            <w:shd w:val="clear" w:color="auto" w:fill="F2F2F2" w:themeFill="background1" w:themeFillShade="F2"/>
            <w:vAlign w:val="center"/>
          </w:tcPr>
          <w:p w14:paraId="0DC20B97" w14:textId="77777777" w:rsidR="00F617BE" w:rsidRPr="00071CD0" w:rsidRDefault="00F617BE" w:rsidP="00FB7443">
            <w:pPr>
              <w:pStyle w:val="ListParagraph"/>
              <w:snapToGrid w:val="0"/>
              <w:ind w:left="0"/>
              <w:contextualSpacing w:val="0"/>
              <w:jc w:val="center"/>
              <w:rPr>
                <w:rFonts w:cstheme="minorHAnsi"/>
                <w:b/>
                <w:bCs/>
                <w:sz w:val="20"/>
                <w:szCs w:val="20"/>
                <w:lang w:val="en-US"/>
              </w:rPr>
            </w:pPr>
            <w:r w:rsidRPr="00071CD0">
              <w:rPr>
                <w:rFonts w:cstheme="minorHAnsi"/>
                <w:b/>
                <w:bCs/>
                <w:sz w:val="20"/>
                <w:szCs w:val="20"/>
                <w:lang w:val="en-US"/>
              </w:rPr>
              <w:t>Data C</w:t>
            </w:r>
            <w:r>
              <w:rPr>
                <w:rFonts w:cstheme="minorHAnsi"/>
                <w:b/>
                <w:bCs/>
                <w:sz w:val="20"/>
                <w:szCs w:val="20"/>
                <w:lang w:val="en-US"/>
              </w:rPr>
              <w:t>haracteristics C</w:t>
            </w:r>
            <w:r w:rsidRPr="00071CD0">
              <w:rPr>
                <w:rFonts w:cstheme="minorHAnsi"/>
                <w:b/>
                <w:bCs/>
                <w:sz w:val="20"/>
                <w:szCs w:val="20"/>
                <w:lang w:val="en-US"/>
              </w:rPr>
              <w:t>ollection</w:t>
            </w:r>
            <w:r>
              <w:rPr>
                <w:rFonts w:cstheme="minorHAnsi"/>
                <w:b/>
                <w:bCs/>
                <w:sz w:val="20"/>
                <w:szCs w:val="20"/>
                <w:lang w:val="en-US"/>
              </w:rPr>
              <w:t xml:space="preserve"> for </w:t>
            </w:r>
            <w:r w:rsidRPr="00D80918">
              <w:rPr>
                <w:rFonts w:cstheme="minorHAnsi"/>
                <w:b/>
                <w:bCs/>
                <w:sz w:val="20"/>
                <w:szCs w:val="20"/>
                <w:lang w:val="en-US"/>
              </w:rPr>
              <w:t>Real Estate Investment</w:t>
            </w:r>
          </w:p>
        </w:tc>
      </w:tr>
      <w:tr w:rsidR="00F617BE" w14:paraId="790A95C0" w14:textId="77777777" w:rsidTr="00B13673">
        <w:trPr>
          <w:trHeight w:val="27"/>
        </w:trPr>
        <w:tc>
          <w:tcPr>
            <w:tcW w:w="0" w:type="auto"/>
            <w:vMerge w:val="restart"/>
            <w:shd w:val="clear" w:color="auto" w:fill="F2F2F2" w:themeFill="background1" w:themeFillShade="F2"/>
            <w:textDirection w:val="btLr"/>
            <w:vAlign w:val="center"/>
          </w:tcPr>
          <w:p w14:paraId="7C369AA6" w14:textId="77777777" w:rsidR="00F617BE" w:rsidRPr="00071CD0" w:rsidRDefault="00F617BE" w:rsidP="00FB7443">
            <w:pPr>
              <w:pStyle w:val="ListParagraph"/>
              <w:snapToGrid w:val="0"/>
              <w:ind w:left="113" w:right="113"/>
              <w:contextualSpacing w:val="0"/>
              <w:jc w:val="center"/>
              <w:rPr>
                <w:rFonts w:cstheme="minorHAnsi"/>
                <w:b/>
                <w:bCs/>
                <w:sz w:val="20"/>
                <w:szCs w:val="20"/>
                <w:lang w:val="en-US"/>
              </w:rPr>
            </w:pPr>
            <w:r w:rsidRPr="00071CD0">
              <w:rPr>
                <w:rFonts w:cstheme="minorHAnsi"/>
                <w:b/>
                <w:bCs/>
                <w:sz w:val="20"/>
                <w:szCs w:val="20"/>
                <w:lang w:val="en-US"/>
              </w:rPr>
              <w:t>Scenario</w:t>
            </w:r>
          </w:p>
        </w:tc>
        <w:tc>
          <w:tcPr>
            <w:tcW w:w="0" w:type="auto"/>
            <w:vMerge w:val="restart"/>
            <w:shd w:val="clear" w:color="auto" w:fill="F2F2F2" w:themeFill="background1" w:themeFillShade="F2"/>
            <w:vAlign w:val="center"/>
          </w:tcPr>
          <w:p w14:paraId="55D7C4DE" w14:textId="77777777" w:rsidR="00F617BE" w:rsidRPr="00071CD0" w:rsidRDefault="00F617BE" w:rsidP="00FB7443">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6</w:t>
            </w:r>
          </w:p>
        </w:tc>
        <w:tc>
          <w:tcPr>
            <w:tcW w:w="0" w:type="auto"/>
            <w:vMerge w:val="restart"/>
            <w:shd w:val="clear" w:color="auto" w:fill="F2F2F2" w:themeFill="background1" w:themeFillShade="F2"/>
            <w:vAlign w:val="center"/>
          </w:tcPr>
          <w:p w14:paraId="51A86E83" w14:textId="77777777" w:rsidR="00F617BE" w:rsidRPr="00071CD0" w:rsidRDefault="00F617BE" w:rsidP="00FB7443">
            <w:pPr>
              <w:pStyle w:val="ListParagraph"/>
              <w:snapToGrid w:val="0"/>
              <w:ind w:left="0"/>
              <w:contextualSpacing w:val="0"/>
              <w:rPr>
                <w:rFonts w:cstheme="minorHAnsi"/>
                <w:b/>
                <w:bCs/>
                <w:sz w:val="20"/>
                <w:szCs w:val="20"/>
                <w:lang w:val="en-US"/>
              </w:rPr>
            </w:pPr>
            <w:r w:rsidRPr="00D80918">
              <w:rPr>
                <w:rFonts w:cstheme="minorHAnsi"/>
                <w:b/>
                <w:bCs/>
                <w:sz w:val="20"/>
                <w:szCs w:val="20"/>
                <w:lang w:val="en-US"/>
              </w:rPr>
              <w:t>An illiquid security – Real Estate Investment</w:t>
            </w:r>
          </w:p>
        </w:tc>
        <w:tc>
          <w:tcPr>
            <w:tcW w:w="0" w:type="auto"/>
            <w:shd w:val="clear" w:color="auto" w:fill="F2F2F2" w:themeFill="background1" w:themeFillShade="F2"/>
          </w:tcPr>
          <w:p w14:paraId="45A466B7" w14:textId="77777777" w:rsidR="00F617BE" w:rsidRPr="00071CD0" w:rsidRDefault="00F617BE" w:rsidP="00FB7443">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1</w:t>
            </w:r>
          </w:p>
        </w:tc>
        <w:tc>
          <w:tcPr>
            <w:tcW w:w="0" w:type="auto"/>
            <w:shd w:val="clear" w:color="auto" w:fill="F2F2F2" w:themeFill="background1" w:themeFillShade="F2"/>
          </w:tcPr>
          <w:p w14:paraId="4F054D20" w14:textId="77777777" w:rsidR="00F617BE" w:rsidRPr="00071CD0" w:rsidRDefault="00F617BE" w:rsidP="00FB7443">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Data type</w:t>
            </w:r>
          </w:p>
        </w:tc>
        <w:tc>
          <w:tcPr>
            <w:tcW w:w="8381" w:type="dxa"/>
            <w:shd w:val="clear" w:color="auto" w:fill="auto"/>
          </w:tcPr>
          <w:p w14:paraId="196CABE1" w14:textId="77777777" w:rsidR="00F617BE" w:rsidRPr="000D0707" w:rsidRDefault="00F617BE" w:rsidP="005606AE">
            <w:pPr>
              <w:pStyle w:val="ListParagraph"/>
              <w:numPr>
                <w:ilvl w:val="0"/>
                <w:numId w:val="31"/>
              </w:numPr>
              <w:snapToGrid w:val="0"/>
              <w:contextualSpacing w:val="0"/>
              <w:rPr>
                <w:rFonts w:cstheme="minorHAnsi"/>
                <w:sz w:val="20"/>
                <w:szCs w:val="20"/>
                <w:lang w:val="en-US"/>
              </w:rPr>
            </w:pPr>
            <w:r w:rsidRPr="00E22F0A">
              <w:rPr>
                <w:rFonts w:cstheme="minorHAnsi"/>
                <w:sz w:val="20"/>
                <w:szCs w:val="20"/>
                <w:lang w:val="en-US"/>
              </w:rPr>
              <w:t>Real Estate Market Data</w:t>
            </w:r>
          </w:p>
        </w:tc>
      </w:tr>
      <w:tr w:rsidR="00F617BE" w14:paraId="1A628314" w14:textId="77777777" w:rsidTr="00B13673">
        <w:trPr>
          <w:trHeight w:val="23"/>
        </w:trPr>
        <w:tc>
          <w:tcPr>
            <w:tcW w:w="0" w:type="auto"/>
            <w:vMerge/>
            <w:shd w:val="clear" w:color="auto" w:fill="F2F2F2" w:themeFill="background1" w:themeFillShade="F2"/>
            <w:vAlign w:val="center"/>
          </w:tcPr>
          <w:p w14:paraId="261FDDBD" w14:textId="77777777" w:rsidR="00F617BE" w:rsidRPr="00071CD0" w:rsidRDefault="00F617BE" w:rsidP="00FB7443">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2F8A6039" w14:textId="77777777" w:rsidR="00F617BE" w:rsidRPr="00071CD0" w:rsidRDefault="00F617BE" w:rsidP="00FB7443">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6A9A25E6" w14:textId="77777777" w:rsidR="00F617BE" w:rsidRPr="00071CD0" w:rsidRDefault="00F617BE" w:rsidP="00FB7443">
            <w:pPr>
              <w:pStyle w:val="ListParagraph"/>
              <w:snapToGrid w:val="0"/>
              <w:ind w:left="0"/>
              <w:contextualSpacing w:val="0"/>
              <w:rPr>
                <w:rFonts w:cstheme="minorHAnsi"/>
                <w:b/>
                <w:bCs/>
                <w:sz w:val="20"/>
                <w:szCs w:val="20"/>
                <w:lang w:val="en-US"/>
              </w:rPr>
            </w:pPr>
          </w:p>
        </w:tc>
        <w:tc>
          <w:tcPr>
            <w:tcW w:w="0" w:type="auto"/>
            <w:shd w:val="clear" w:color="auto" w:fill="F2F2F2" w:themeFill="background1" w:themeFillShade="F2"/>
          </w:tcPr>
          <w:p w14:paraId="36ACD56D" w14:textId="77777777" w:rsidR="00F617BE" w:rsidRPr="00071CD0" w:rsidRDefault="00F617BE" w:rsidP="00FB7443">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2</w:t>
            </w:r>
          </w:p>
        </w:tc>
        <w:tc>
          <w:tcPr>
            <w:tcW w:w="0" w:type="auto"/>
            <w:shd w:val="clear" w:color="auto" w:fill="F2F2F2" w:themeFill="background1" w:themeFillShade="F2"/>
          </w:tcPr>
          <w:p w14:paraId="1F848D84" w14:textId="77777777" w:rsidR="00F617BE" w:rsidRPr="00071CD0" w:rsidRDefault="00F617BE" w:rsidP="00FB7443">
            <w:pPr>
              <w:snapToGrid w:val="0"/>
              <w:rPr>
                <w:rFonts w:cstheme="minorHAnsi"/>
                <w:b/>
                <w:bCs/>
                <w:sz w:val="20"/>
                <w:szCs w:val="20"/>
                <w:lang w:val="en-US"/>
              </w:rPr>
            </w:pPr>
            <w:r w:rsidRPr="00071CD0">
              <w:rPr>
                <w:rFonts w:cstheme="minorHAnsi"/>
                <w:b/>
                <w:bCs/>
                <w:sz w:val="20"/>
                <w:szCs w:val="20"/>
                <w:lang w:val="en-US"/>
              </w:rPr>
              <w:t>Data preprocessing</w:t>
            </w:r>
          </w:p>
        </w:tc>
        <w:tc>
          <w:tcPr>
            <w:tcW w:w="8381" w:type="dxa"/>
            <w:shd w:val="clear" w:color="auto" w:fill="auto"/>
          </w:tcPr>
          <w:p w14:paraId="3B35CF67" w14:textId="77777777" w:rsidR="00F617BE" w:rsidRPr="00D80918" w:rsidRDefault="00F617BE" w:rsidP="00FB7443">
            <w:pPr>
              <w:pStyle w:val="ListParagraph"/>
              <w:numPr>
                <w:ilvl w:val="0"/>
                <w:numId w:val="11"/>
              </w:numPr>
              <w:snapToGrid w:val="0"/>
              <w:contextualSpacing w:val="0"/>
              <w:rPr>
                <w:rFonts w:cstheme="minorHAnsi"/>
                <w:sz w:val="20"/>
                <w:szCs w:val="20"/>
                <w:lang w:val="en-US"/>
              </w:rPr>
            </w:pPr>
            <w:r w:rsidRPr="00E22F0A">
              <w:rPr>
                <w:rFonts w:cstheme="minorHAnsi"/>
                <w:sz w:val="20"/>
                <w:szCs w:val="20"/>
                <w:lang w:val="en-US"/>
              </w:rPr>
              <w:t>Real Estate Investment Prices</w:t>
            </w:r>
          </w:p>
        </w:tc>
      </w:tr>
      <w:tr w:rsidR="00F617BE" w14:paraId="55C74AA4" w14:textId="77777777" w:rsidTr="00B13673">
        <w:trPr>
          <w:trHeight w:val="23"/>
        </w:trPr>
        <w:tc>
          <w:tcPr>
            <w:tcW w:w="0" w:type="auto"/>
            <w:vMerge/>
            <w:shd w:val="clear" w:color="auto" w:fill="F2F2F2" w:themeFill="background1" w:themeFillShade="F2"/>
            <w:vAlign w:val="center"/>
          </w:tcPr>
          <w:p w14:paraId="504B55E1" w14:textId="77777777" w:rsidR="00F617BE" w:rsidRPr="00071CD0" w:rsidRDefault="00F617BE" w:rsidP="00FB7443">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752A7ABE" w14:textId="77777777" w:rsidR="00F617BE" w:rsidRPr="00071CD0" w:rsidRDefault="00F617BE" w:rsidP="00FB7443">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79B3BB56" w14:textId="77777777" w:rsidR="00F617BE" w:rsidRPr="00071CD0" w:rsidRDefault="00F617BE" w:rsidP="00FB7443">
            <w:pPr>
              <w:pStyle w:val="ListParagraph"/>
              <w:snapToGrid w:val="0"/>
              <w:ind w:left="0"/>
              <w:contextualSpacing w:val="0"/>
              <w:rPr>
                <w:rFonts w:cstheme="minorHAnsi"/>
                <w:b/>
                <w:bCs/>
                <w:sz w:val="20"/>
                <w:szCs w:val="20"/>
                <w:lang w:val="en-US"/>
              </w:rPr>
            </w:pPr>
          </w:p>
        </w:tc>
        <w:tc>
          <w:tcPr>
            <w:tcW w:w="0" w:type="auto"/>
            <w:shd w:val="clear" w:color="auto" w:fill="F2F2F2" w:themeFill="background1" w:themeFillShade="F2"/>
          </w:tcPr>
          <w:p w14:paraId="7F26DD3B" w14:textId="77777777" w:rsidR="00F617BE" w:rsidRPr="00071CD0" w:rsidRDefault="00F617BE" w:rsidP="00FB7443">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3</w:t>
            </w:r>
          </w:p>
        </w:tc>
        <w:tc>
          <w:tcPr>
            <w:tcW w:w="0" w:type="auto"/>
            <w:shd w:val="clear" w:color="auto" w:fill="F2F2F2" w:themeFill="background1" w:themeFillShade="F2"/>
          </w:tcPr>
          <w:p w14:paraId="11021E8B" w14:textId="77777777" w:rsidR="00F617BE" w:rsidRPr="00071CD0" w:rsidRDefault="00F617BE" w:rsidP="00FB7443">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Data frequency</w:t>
            </w:r>
          </w:p>
        </w:tc>
        <w:tc>
          <w:tcPr>
            <w:tcW w:w="8381" w:type="dxa"/>
            <w:shd w:val="clear" w:color="auto" w:fill="auto"/>
          </w:tcPr>
          <w:p w14:paraId="195A6296" w14:textId="77777777" w:rsidR="00F617BE" w:rsidRDefault="00F617BE" w:rsidP="005606AE">
            <w:pPr>
              <w:pStyle w:val="ListParagraph"/>
              <w:numPr>
                <w:ilvl w:val="0"/>
                <w:numId w:val="33"/>
              </w:numPr>
              <w:snapToGrid w:val="0"/>
              <w:contextualSpacing w:val="0"/>
              <w:rPr>
                <w:rFonts w:cstheme="minorHAnsi"/>
                <w:sz w:val="20"/>
                <w:szCs w:val="20"/>
                <w:lang w:val="en-US"/>
              </w:rPr>
            </w:pPr>
            <w:r>
              <w:rPr>
                <w:rFonts w:cstheme="minorHAnsi"/>
                <w:sz w:val="20"/>
                <w:szCs w:val="20"/>
                <w:lang w:val="en-US"/>
              </w:rPr>
              <w:t>Daily</w:t>
            </w:r>
          </w:p>
          <w:p w14:paraId="3B84CEC9" w14:textId="77777777" w:rsidR="00F617BE" w:rsidRDefault="00F617BE" w:rsidP="005606AE">
            <w:pPr>
              <w:pStyle w:val="ListParagraph"/>
              <w:numPr>
                <w:ilvl w:val="0"/>
                <w:numId w:val="33"/>
              </w:numPr>
              <w:snapToGrid w:val="0"/>
              <w:contextualSpacing w:val="0"/>
              <w:rPr>
                <w:rFonts w:cstheme="minorHAnsi"/>
                <w:sz w:val="20"/>
                <w:szCs w:val="20"/>
                <w:lang w:val="en-US"/>
              </w:rPr>
            </w:pPr>
            <w:r>
              <w:rPr>
                <w:rFonts w:cstheme="minorHAnsi"/>
                <w:sz w:val="20"/>
                <w:szCs w:val="20"/>
                <w:lang w:val="en-US"/>
              </w:rPr>
              <w:t>Intraday</w:t>
            </w:r>
          </w:p>
          <w:p w14:paraId="70FDDAFF" w14:textId="77777777" w:rsidR="00F617BE" w:rsidRPr="007306AF" w:rsidRDefault="00F617BE" w:rsidP="005606AE">
            <w:pPr>
              <w:pStyle w:val="ListParagraph"/>
              <w:numPr>
                <w:ilvl w:val="0"/>
                <w:numId w:val="33"/>
              </w:numPr>
              <w:snapToGrid w:val="0"/>
              <w:contextualSpacing w:val="0"/>
              <w:rPr>
                <w:rFonts w:cstheme="minorHAnsi"/>
                <w:sz w:val="20"/>
                <w:szCs w:val="20"/>
                <w:lang w:val="en-US"/>
              </w:rPr>
            </w:pPr>
            <w:r>
              <w:rPr>
                <w:rFonts w:cstheme="minorHAnsi"/>
                <w:sz w:val="20"/>
                <w:szCs w:val="20"/>
                <w:lang w:val="en-US"/>
              </w:rPr>
              <w:t xml:space="preserve">Weekly </w:t>
            </w:r>
          </w:p>
        </w:tc>
      </w:tr>
      <w:tr w:rsidR="00F617BE" w14:paraId="1D78E809" w14:textId="77777777" w:rsidTr="00B13673">
        <w:trPr>
          <w:trHeight w:val="23"/>
        </w:trPr>
        <w:tc>
          <w:tcPr>
            <w:tcW w:w="0" w:type="auto"/>
            <w:vMerge/>
            <w:shd w:val="clear" w:color="auto" w:fill="F2F2F2" w:themeFill="background1" w:themeFillShade="F2"/>
            <w:vAlign w:val="center"/>
          </w:tcPr>
          <w:p w14:paraId="598765E5" w14:textId="77777777" w:rsidR="00F617BE" w:rsidRPr="00071CD0" w:rsidRDefault="00F617BE" w:rsidP="00FB7443">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3A5CE6BF" w14:textId="77777777" w:rsidR="00F617BE" w:rsidRPr="00071CD0" w:rsidRDefault="00F617BE" w:rsidP="00FB7443">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190CFE16" w14:textId="77777777" w:rsidR="00F617BE" w:rsidRPr="00071CD0" w:rsidRDefault="00F617BE" w:rsidP="00FB7443">
            <w:pPr>
              <w:pStyle w:val="ListParagraph"/>
              <w:snapToGrid w:val="0"/>
              <w:ind w:left="0"/>
              <w:contextualSpacing w:val="0"/>
              <w:rPr>
                <w:rFonts w:cstheme="minorHAnsi"/>
                <w:b/>
                <w:bCs/>
                <w:sz w:val="20"/>
                <w:szCs w:val="20"/>
                <w:lang w:val="en-US"/>
              </w:rPr>
            </w:pPr>
          </w:p>
        </w:tc>
        <w:tc>
          <w:tcPr>
            <w:tcW w:w="0" w:type="auto"/>
            <w:shd w:val="clear" w:color="auto" w:fill="F2F2F2" w:themeFill="background1" w:themeFillShade="F2"/>
          </w:tcPr>
          <w:p w14:paraId="227C5D86" w14:textId="77777777" w:rsidR="00F617BE" w:rsidRPr="00071CD0" w:rsidRDefault="00F617BE" w:rsidP="00FB7443">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4</w:t>
            </w:r>
          </w:p>
        </w:tc>
        <w:tc>
          <w:tcPr>
            <w:tcW w:w="0" w:type="auto"/>
            <w:shd w:val="clear" w:color="auto" w:fill="F2F2F2" w:themeFill="background1" w:themeFillShade="F2"/>
          </w:tcPr>
          <w:p w14:paraId="181C94C1" w14:textId="77777777" w:rsidR="00F617BE" w:rsidRPr="00071CD0" w:rsidRDefault="00F617BE" w:rsidP="00FB7443">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Data class</w:t>
            </w:r>
          </w:p>
        </w:tc>
        <w:tc>
          <w:tcPr>
            <w:tcW w:w="8381" w:type="dxa"/>
            <w:shd w:val="clear" w:color="auto" w:fill="auto"/>
          </w:tcPr>
          <w:p w14:paraId="1B8376FF" w14:textId="77777777" w:rsidR="00F617BE" w:rsidRPr="007306AF" w:rsidRDefault="00F617BE" w:rsidP="00FB7443">
            <w:pPr>
              <w:pStyle w:val="ListParagraph"/>
              <w:snapToGrid w:val="0"/>
              <w:ind w:left="0"/>
              <w:contextualSpacing w:val="0"/>
              <w:rPr>
                <w:rFonts w:cstheme="minorHAnsi"/>
                <w:sz w:val="20"/>
                <w:szCs w:val="20"/>
                <w:lang w:val="en-US"/>
              </w:rPr>
            </w:pPr>
            <w:r>
              <w:rPr>
                <w:rFonts w:cstheme="minorHAnsi"/>
                <w:sz w:val="20"/>
                <w:szCs w:val="20"/>
                <w:lang w:val="en-US"/>
              </w:rPr>
              <w:t xml:space="preserve">1.   </w:t>
            </w:r>
            <w:r w:rsidRPr="00E22F0A">
              <w:rPr>
                <w:rFonts w:cstheme="minorHAnsi"/>
                <w:sz w:val="20"/>
                <w:szCs w:val="20"/>
                <w:lang w:val="en-US"/>
              </w:rPr>
              <w:t>Real Estate</w:t>
            </w:r>
          </w:p>
        </w:tc>
      </w:tr>
      <w:tr w:rsidR="00F617BE" w14:paraId="7F847C89" w14:textId="77777777" w:rsidTr="00B13673">
        <w:trPr>
          <w:trHeight w:val="23"/>
        </w:trPr>
        <w:tc>
          <w:tcPr>
            <w:tcW w:w="0" w:type="auto"/>
            <w:vMerge/>
            <w:shd w:val="clear" w:color="auto" w:fill="F2F2F2" w:themeFill="background1" w:themeFillShade="F2"/>
            <w:vAlign w:val="center"/>
          </w:tcPr>
          <w:p w14:paraId="426A5B1D" w14:textId="77777777" w:rsidR="00F617BE" w:rsidRPr="00071CD0" w:rsidRDefault="00F617BE" w:rsidP="00FB7443">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05364A12" w14:textId="77777777" w:rsidR="00F617BE" w:rsidRPr="00071CD0" w:rsidRDefault="00F617BE" w:rsidP="00FB7443">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0EC4428C" w14:textId="77777777" w:rsidR="00F617BE" w:rsidRPr="00071CD0" w:rsidRDefault="00F617BE" w:rsidP="00FB7443">
            <w:pPr>
              <w:pStyle w:val="ListParagraph"/>
              <w:snapToGrid w:val="0"/>
              <w:ind w:left="0"/>
              <w:contextualSpacing w:val="0"/>
              <w:rPr>
                <w:rFonts w:cstheme="minorHAnsi"/>
                <w:b/>
                <w:bCs/>
                <w:sz w:val="20"/>
                <w:szCs w:val="20"/>
                <w:lang w:val="en-US"/>
              </w:rPr>
            </w:pPr>
          </w:p>
        </w:tc>
        <w:tc>
          <w:tcPr>
            <w:tcW w:w="0" w:type="auto"/>
            <w:shd w:val="clear" w:color="auto" w:fill="F2F2F2" w:themeFill="background1" w:themeFillShade="F2"/>
          </w:tcPr>
          <w:p w14:paraId="1A39BC92" w14:textId="77777777" w:rsidR="00F617BE" w:rsidRPr="00071CD0" w:rsidRDefault="00F617BE" w:rsidP="00FB7443">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5</w:t>
            </w:r>
          </w:p>
        </w:tc>
        <w:tc>
          <w:tcPr>
            <w:tcW w:w="0" w:type="auto"/>
            <w:shd w:val="clear" w:color="auto" w:fill="F2F2F2" w:themeFill="background1" w:themeFillShade="F2"/>
          </w:tcPr>
          <w:p w14:paraId="3403D9FF" w14:textId="77777777" w:rsidR="00F617BE" w:rsidRPr="00071CD0" w:rsidRDefault="00F617BE" w:rsidP="00FB7443">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Data source</w:t>
            </w:r>
          </w:p>
        </w:tc>
        <w:tc>
          <w:tcPr>
            <w:tcW w:w="8381" w:type="dxa"/>
            <w:shd w:val="clear" w:color="auto" w:fill="auto"/>
          </w:tcPr>
          <w:p w14:paraId="12CEE4E1" w14:textId="77777777" w:rsidR="00F617BE" w:rsidRDefault="00F617BE" w:rsidP="005606AE">
            <w:pPr>
              <w:pStyle w:val="ListParagraph"/>
              <w:numPr>
                <w:ilvl w:val="0"/>
                <w:numId w:val="34"/>
              </w:numPr>
              <w:snapToGrid w:val="0"/>
              <w:contextualSpacing w:val="0"/>
              <w:rPr>
                <w:rFonts w:cstheme="minorHAnsi"/>
                <w:sz w:val="20"/>
                <w:szCs w:val="20"/>
                <w:lang w:val="en-US"/>
              </w:rPr>
            </w:pPr>
            <w:r w:rsidRPr="00E22F0A">
              <w:rPr>
                <w:rFonts w:cstheme="minorHAnsi"/>
                <w:sz w:val="20"/>
                <w:szCs w:val="20"/>
                <w:lang w:val="en-US"/>
              </w:rPr>
              <w:t xml:space="preserve">Stock Exchanges </w:t>
            </w:r>
          </w:p>
          <w:p w14:paraId="262F4C07" w14:textId="77777777" w:rsidR="00F617BE" w:rsidRPr="006C7C1E" w:rsidRDefault="00F617BE" w:rsidP="005606AE">
            <w:pPr>
              <w:pStyle w:val="ListParagraph"/>
              <w:numPr>
                <w:ilvl w:val="0"/>
                <w:numId w:val="34"/>
              </w:numPr>
              <w:snapToGrid w:val="0"/>
              <w:contextualSpacing w:val="0"/>
              <w:rPr>
                <w:rFonts w:cstheme="minorHAnsi"/>
                <w:sz w:val="20"/>
                <w:szCs w:val="20"/>
                <w:lang w:val="en-US"/>
              </w:rPr>
            </w:pPr>
            <w:r w:rsidRPr="00E22F0A">
              <w:rPr>
                <w:rFonts w:cstheme="minorHAnsi"/>
                <w:sz w:val="20"/>
                <w:szCs w:val="20"/>
                <w:lang w:val="en-US"/>
              </w:rPr>
              <w:t>Real Estate Agencies and Brokers</w:t>
            </w:r>
          </w:p>
        </w:tc>
      </w:tr>
      <w:tr w:rsidR="00F617BE" w14:paraId="34276FD4" w14:textId="77777777" w:rsidTr="00B13673">
        <w:trPr>
          <w:trHeight w:val="23"/>
        </w:trPr>
        <w:tc>
          <w:tcPr>
            <w:tcW w:w="0" w:type="auto"/>
            <w:vMerge/>
            <w:shd w:val="clear" w:color="auto" w:fill="F2F2F2" w:themeFill="background1" w:themeFillShade="F2"/>
            <w:vAlign w:val="center"/>
          </w:tcPr>
          <w:p w14:paraId="18AA855D" w14:textId="77777777" w:rsidR="00F617BE" w:rsidRPr="00071CD0" w:rsidRDefault="00F617BE" w:rsidP="00FB7443">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60CB0259" w14:textId="77777777" w:rsidR="00F617BE" w:rsidRPr="00071CD0" w:rsidRDefault="00F617BE" w:rsidP="00FB7443">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6725E7B2" w14:textId="77777777" w:rsidR="00F617BE" w:rsidRPr="00071CD0" w:rsidRDefault="00F617BE" w:rsidP="00FB7443">
            <w:pPr>
              <w:pStyle w:val="ListParagraph"/>
              <w:snapToGrid w:val="0"/>
              <w:ind w:left="0"/>
              <w:contextualSpacing w:val="0"/>
              <w:rPr>
                <w:rFonts w:cstheme="minorHAnsi"/>
                <w:b/>
                <w:bCs/>
                <w:sz w:val="20"/>
                <w:szCs w:val="20"/>
                <w:lang w:val="en-US"/>
              </w:rPr>
            </w:pPr>
          </w:p>
        </w:tc>
        <w:tc>
          <w:tcPr>
            <w:tcW w:w="0" w:type="auto"/>
            <w:shd w:val="clear" w:color="auto" w:fill="F2F2F2" w:themeFill="background1" w:themeFillShade="F2"/>
          </w:tcPr>
          <w:p w14:paraId="34368FED" w14:textId="77777777" w:rsidR="00F617BE" w:rsidRPr="00071CD0" w:rsidRDefault="00F617BE" w:rsidP="00FB7443">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6</w:t>
            </w:r>
          </w:p>
        </w:tc>
        <w:tc>
          <w:tcPr>
            <w:tcW w:w="0" w:type="auto"/>
            <w:shd w:val="clear" w:color="auto" w:fill="F2F2F2" w:themeFill="background1" w:themeFillShade="F2"/>
          </w:tcPr>
          <w:p w14:paraId="2C3C3F08" w14:textId="77777777" w:rsidR="00F617BE" w:rsidRPr="00071CD0" w:rsidRDefault="00F617BE" w:rsidP="00FB7443">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Data Variety</w:t>
            </w:r>
          </w:p>
        </w:tc>
        <w:tc>
          <w:tcPr>
            <w:tcW w:w="8381" w:type="dxa"/>
            <w:shd w:val="clear" w:color="auto" w:fill="auto"/>
          </w:tcPr>
          <w:p w14:paraId="1E4AD7C5" w14:textId="77777777" w:rsidR="00F617BE" w:rsidRDefault="00F617BE" w:rsidP="005606AE">
            <w:pPr>
              <w:pStyle w:val="ListParagraph"/>
              <w:numPr>
                <w:ilvl w:val="0"/>
                <w:numId w:val="35"/>
              </w:numPr>
              <w:snapToGrid w:val="0"/>
              <w:contextualSpacing w:val="0"/>
              <w:rPr>
                <w:rFonts w:cstheme="minorHAnsi"/>
                <w:sz w:val="20"/>
                <w:szCs w:val="20"/>
                <w:lang w:val="en-US"/>
              </w:rPr>
            </w:pPr>
            <w:r w:rsidRPr="00E22F0A">
              <w:rPr>
                <w:rFonts w:cstheme="minorHAnsi"/>
                <w:sz w:val="20"/>
                <w:szCs w:val="20"/>
                <w:lang w:val="en-US"/>
              </w:rPr>
              <w:t>Construction estimate</w:t>
            </w:r>
          </w:p>
          <w:p w14:paraId="38446D72" w14:textId="77777777" w:rsidR="00F617BE" w:rsidRPr="00E22F0A" w:rsidRDefault="00F617BE" w:rsidP="005606AE">
            <w:pPr>
              <w:pStyle w:val="ListParagraph"/>
              <w:numPr>
                <w:ilvl w:val="0"/>
                <w:numId w:val="35"/>
              </w:numPr>
              <w:snapToGrid w:val="0"/>
              <w:contextualSpacing w:val="0"/>
              <w:rPr>
                <w:rFonts w:cstheme="minorHAnsi"/>
                <w:sz w:val="20"/>
                <w:szCs w:val="20"/>
                <w:lang w:val="en-US"/>
              </w:rPr>
            </w:pPr>
            <w:r>
              <w:rPr>
                <w:rFonts w:cstheme="minorHAnsi"/>
                <w:sz w:val="20"/>
                <w:szCs w:val="20"/>
                <w:lang w:val="en-US"/>
              </w:rPr>
              <w:t>Home Prices</w:t>
            </w:r>
          </w:p>
        </w:tc>
      </w:tr>
    </w:tbl>
    <w:p w14:paraId="3528F1CA" w14:textId="77777777" w:rsidR="00E21416" w:rsidRDefault="00E21416" w:rsidP="00750815">
      <w:pPr>
        <w:pStyle w:val="ListParagraph"/>
        <w:snapToGrid w:val="0"/>
        <w:spacing w:after="0" w:line="240" w:lineRule="auto"/>
        <w:ind w:left="360"/>
        <w:contextualSpacing w:val="0"/>
        <w:rPr>
          <w:rFonts w:cstheme="minorHAnsi"/>
          <w:b/>
          <w:bCs/>
          <w:sz w:val="20"/>
          <w:szCs w:val="20"/>
          <w:lang w:val="en-US"/>
        </w:rPr>
        <w:sectPr w:rsidR="00E21416" w:rsidSect="008417B8">
          <w:headerReference w:type="default" r:id="rId8"/>
          <w:pgSz w:w="16838" w:h="11906" w:orient="landscape"/>
          <w:pgMar w:top="720" w:right="720" w:bottom="720" w:left="720" w:header="708" w:footer="708" w:gutter="0"/>
          <w:cols w:space="708"/>
          <w:docGrid w:linePitch="360"/>
        </w:sectPr>
      </w:pPr>
    </w:p>
    <w:p w14:paraId="7ED0A4BA" w14:textId="77777777" w:rsidR="0089094B" w:rsidRPr="003D64B5" w:rsidRDefault="00B44FF7" w:rsidP="005606AE">
      <w:pPr>
        <w:pStyle w:val="ListParagraph"/>
        <w:numPr>
          <w:ilvl w:val="0"/>
          <w:numId w:val="32"/>
        </w:numPr>
        <w:snapToGrid w:val="0"/>
        <w:spacing w:after="0" w:line="240" w:lineRule="auto"/>
        <w:contextualSpacing w:val="0"/>
        <w:rPr>
          <w:rFonts w:cstheme="minorHAnsi"/>
          <w:b/>
          <w:bCs/>
          <w:sz w:val="28"/>
          <w:szCs w:val="28"/>
          <w:lang w:val="en-US"/>
        </w:rPr>
      </w:pPr>
      <w:r w:rsidRPr="003D64B5">
        <w:rPr>
          <w:rFonts w:cstheme="minorHAnsi"/>
          <w:b/>
          <w:bCs/>
          <w:sz w:val="28"/>
          <w:szCs w:val="28"/>
          <w:lang w:val="en-US"/>
        </w:rPr>
        <w:lastRenderedPageBreak/>
        <w:t>Step 3. Identifying Data Collection</w:t>
      </w:r>
      <w:r w:rsidR="00875351" w:rsidRPr="003D64B5">
        <w:rPr>
          <w:rFonts w:cstheme="minorHAnsi"/>
          <w:b/>
          <w:bCs/>
          <w:sz w:val="28"/>
          <w:szCs w:val="28"/>
          <w:lang w:val="en-US"/>
        </w:rPr>
        <w:t xml:space="preserve"> </w:t>
      </w:r>
      <w:r w:rsidR="00CD0047" w:rsidRPr="003D64B5">
        <w:rPr>
          <w:rFonts w:cstheme="minorHAnsi"/>
          <w:b/>
          <w:bCs/>
          <w:sz w:val="28"/>
          <w:szCs w:val="28"/>
          <w:lang w:val="en-US"/>
        </w:rPr>
        <w:t xml:space="preserve">Challenges </w:t>
      </w:r>
      <w:r w:rsidR="00875351" w:rsidRPr="003D64B5">
        <w:rPr>
          <w:rFonts w:cstheme="minorHAnsi"/>
          <w:b/>
          <w:bCs/>
          <w:sz w:val="28"/>
          <w:szCs w:val="28"/>
          <w:lang w:val="en-US"/>
        </w:rPr>
        <w:t>Part B</w:t>
      </w:r>
    </w:p>
    <w:p w14:paraId="254C6550" w14:textId="77777777" w:rsidR="009617C2" w:rsidRDefault="00B44FF7" w:rsidP="005606AE">
      <w:pPr>
        <w:pStyle w:val="ListParagraph"/>
        <w:numPr>
          <w:ilvl w:val="1"/>
          <w:numId w:val="32"/>
        </w:numPr>
        <w:snapToGrid w:val="0"/>
        <w:spacing w:after="0" w:line="240" w:lineRule="auto"/>
        <w:contextualSpacing w:val="0"/>
        <w:rPr>
          <w:rFonts w:cstheme="minorHAnsi"/>
          <w:b/>
          <w:bCs/>
          <w:sz w:val="20"/>
          <w:szCs w:val="20"/>
          <w:lang w:val="en-US"/>
        </w:rPr>
      </w:pPr>
      <w:r w:rsidRPr="007306AF">
        <w:rPr>
          <w:rFonts w:cstheme="minorHAnsi"/>
          <w:b/>
          <w:bCs/>
          <w:sz w:val="20"/>
          <w:szCs w:val="20"/>
          <w:lang w:val="en-US"/>
        </w:rPr>
        <w:t>Student: Yhasreen</w:t>
      </w:r>
      <w:r w:rsidR="00A00495" w:rsidRPr="003D64B5">
        <w:rPr>
          <w:rFonts w:cstheme="minorHAnsi"/>
          <w:b/>
          <w:bCs/>
          <w:sz w:val="20"/>
          <w:szCs w:val="20"/>
          <w:lang w:val="en-US"/>
        </w:rPr>
        <w:t xml:space="preserve">: </w:t>
      </w:r>
      <w:r w:rsidRPr="003D64B5">
        <w:rPr>
          <w:rFonts w:cstheme="minorHAnsi"/>
          <w:b/>
          <w:bCs/>
          <w:sz w:val="20"/>
          <w:szCs w:val="20"/>
          <w:lang w:val="en-US"/>
        </w:rPr>
        <w:t>AAPL Equity Investment Data Collection Challenges</w:t>
      </w:r>
    </w:p>
    <w:p w14:paraId="7ED77DB5" w14:textId="77777777" w:rsidR="00306D80" w:rsidRPr="00306D80" w:rsidRDefault="00B44FF7" w:rsidP="005606AE">
      <w:pPr>
        <w:pStyle w:val="ListParagraph"/>
        <w:numPr>
          <w:ilvl w:val="2"/>
          <w:numId w:val="32"/>
        </w:numPr>
        <w:snapToGrid w:val="0"/>
        <w:spacing w:after="0" w:line="240" w:lineRule="auto"/>
        <w:contextualSpacing w:val="0"/>
        <w:rPr>
          <w:rFonts w:cstheme="minorHAnsi"/>
          <w:sz w:val="20"/>
          <w:szCs w:val="20"/>
          <w:lang w:val="en-US"/>
        </w:rPr>
      </w:pPr>
      <w:r w:rsidRPr="00306D80">
        <w:rPr>
          <w:rFonts w:cstheme="minorHAnsi"/>
          <w:sz w:val="20"/>
          <w:szCs w:val="20"/>
          <w:lang w:val="en-US"/>
        </w:rPr>
        <w:t>Navigating through the multifaceted terrain of data collection to assist an investor looking to delve into Apple Inc.’s stock bring</w:t>
      </w:r>
      <w:r>
        <w:rPr>
          <w:rFonts w:cstheme="minorHAnsi"/>
          <w:sz w:val="20"/>
          <w:szCs w:val="20"/>
          <w:lang w:val="en-US"/>
        </w:rPr>
        <w:t>s</w:t>
      </w:r>
      <w:r w:rsidRPr="00306D80">
        <w:rPr>
          <w:rFonts w:cstheme="minorHAnsi"/>
          <w:sz w:val="20"/>
          <w:szCs w:val="20"/>
          <w:lang w:val="en-US"/>
        </w:rPr>
        <w:t xml:space="preserve"> numerous challenges, primarily when focusing on specific financial aspects such as leverage, regulation, liquidity, and volatility data.</w:t>
      </w:r>
    </w:p>
    <w:p w14:paraId="2BFE8C2E" w14:textId="77777777" w:rsidR="00306D80" w:rsidRPr="00306D80" w:rsidRDefault="00306D80" w:rsidP="00750815">
      <w:pPr>
        <w:pStyle w:val="ListParagraph"/>
        <w:snapToGrid w:val="0"/>
        <w:spacing w:after="0" w:line="240" w:lineRule="auto"/>
        <w:ind w:left="1344"/>
        <w:contextualSpacing w:val="0"/>
        <w:rPr>
          <w:rFonts w:cstheme="minorHAnsi"/>
          <w:sz w:val="20"/>
          <w:szCs w:val="20"/>
          <w:lang w:val="en-US"/>
        </w:rPr>
      </w:pPr>
    </w:p>
    <w:p w14:paraId="5F548B43" w14:textId="77777777" w:rsidR="00306D80" w:rsidRDefault="00B44FF7" w:rsidP="005606AE">
      <w:pPr>
        <w:pStyle w:val="ListParagraph"/>
        <w:numPr>
          <w:ilvl w:val="2"/>
          <w:numId w:val="32"/>
        </w:numPr>
        <w:snapToGrid w:val="0"/>
        <w:spacing w:after="0" w:line="240" w:lineRule="auto"/>
        <w:contextualSpacing w:val="0"/>
        <w:rPr>
          <w:rFonts w:cstheme="minorHAnsi"/>
          <w:sz w:val="20"/>
          <w:szCs w:val="20"/>
          <w:lang w:val="en-US"/>
        </w:rPr>
      </w:pPr>
      <w:r w:rsidRPr="00306D80">
        <w:rPr>
          <w:rFonts w:cstheme="minorHAnsi"/>
          <w:sz w:val="20"/>
          <w:szCs w:val="20"/>
          <w:lang w:val="en-US"/>
        </w:rPr>
        <w:t>Obtaining a coherent picture in leverage data is strenuous due to integrating disparate information on borrowing terms, interest rates, and credit conditions from various financial institutions. Moreover, the investor may need to extract and analyze Apple's debt levels, operational costs, and financial obligations from diverse global markets, which require intricate data handling due to different accounting standards, currency exchange rates, and financial reporting practices.</w:t>
      </w:r>
    </w:p>
    <w:p w14:paraId="496F7F47" w14:textId="77777777" w:rsidR="00B875FB" w:rsidRPr="00B875FB" w:rsidRDefault="00B875FB" w:rsidP="00750815">
      <w:pPr>
        <w:pStyle w:val="ListParagraph"/>
        <w:snapToGrid w:val="0"/>
        <w:spacing w:after="0" w:line="240" w:lineRule="auto"/>
        <w:contextualSpacing w:val="0"/>
        <w:rPr>
          <w:rFonts w:cstheme="minorHAnsi"/>
          <w:sz w:val="20"/>
          <w:szCs w:val="20"/>
          <w:lang w:val="en-US"/>
        </w:rPr>
      </w:pPr>
    </w:p>
    <w:p w14:paraId="55729CE2" w14:textId="77777777" w:rsidR="009D4501" w:rsidRPr="009D4501" w:rsidRDefault="00B44FF7" w:rsidP="005606AE">
      <w:pPr>
        <w:pStyle w:val="ListParagraph"/>
        <w:numPr>
          <w:ilvl w:val="2"/>
          <w:numId w:val="32"/>
        </w:numPr>
        <w:snapToGrid w:val="0"/>
        <w:spacing w:after="0" w:line="240" w:lineRule="auto"/>
        <w:contextualSpacing w:val="0"/>
        <w:rPr>
          <w:rFonts w:cstheme="minorHAnsi"/>
          <w:sz w:val="20"/>
          <w:szCs w:val="20"/>
          <w:lang w:val="en-US"/>
        </w:rPr>
      </w:pPr>
      <w:r w:rsidRPr="00EB77FB">
        <w:rPr>
          <w:rFonts w:cstheme="minorHAnsi"/>
          <w:sz w:val="20"/>
          <w:szCs w:val="20"/>
          <w:lang w:val="en-US"/>
        </w:rPr>
        <w:t>Addressing r</w:t>
      </w:r>
      <w:r w:rsidR="00306D80" w:rsidRPr="00EB77FB">
        <w:rPr>
          <w:rFonts w:cstheme="minorHAnsi"/>
          <w:sz w:val="20"/>
          <w:szCs w:val="20"/>
          <w:lang w:val="en-US"/>
        </w:rPr>
        <w:t>egulation data,</w:t>
      </w:r>
      <w:r w:rsidR="00306D80" w:rsidRPr="009D4501">
        <w:rPr>
          <w:rFonts w:cstheme="minorHAnsi"/>
          <w:sz w:val="20"/>
          <w:szCs w:val="20"/>
          <w:lang w:val="en-US"/>
        </w:rPr>
        <w:t xml:space="preserve"> pivotal for comprehending the legal and compliance landscape, is equally tricky. Laws and regulations vary significantly across different jurisdictions where Apple operates. </w:t>
      </w:r>
      <w:r w:rsidRPr="009D4501">
        <w:rPr>
          <w:rFonts w:cstheme="minorHAnsi"/>
          <w:sz w:val="20"/>
          <w:szCs w:val="20"/>
          <w:lang w:val="en-US"/>
        </w:rPr>
        <w:t>Investors often grapple with obtaining specific datasets due to paywalls, proprietary rights, or geopolitical restrictions. Especially when dealing with global entities like Apple, which operate in various jurisdictions, understanding and navigating through different regional data protection laws like GDPR in Europe or CCPA in California</w:t>
      </w:r>
      <w:r w:rsidR="00425E17">
        <w:rPr>
          <w:rFonts w:cstheme="minorHAnsi"/>
          <w:sz w:val="20"/>
          <w:szCs w:val="20"/>
          <w:lang w:val="en-US"/>
        </w:rPr>
        <w:t xml:space="preserve"> and even</w:t>
      </w:r>
      <w:r w:rsidRPr="009D4501">
        <w:rPr>
          <w:rFonts w:cstheme="minorHAnsi"/>
          <w:sz w:val="20"/>
          <w:szCs w:val="20"/>
          <w:lang w:val="en-US"/>
        </w:rPr>
        <w:t xml:space="preserve"> </w:t>
      </w:r>
      <w:r w:rsidR="008B3607">
        <w:rPr>
          <w:rFonts w:cstheme="minorHAnsi"/>
          <w:sz w:val="20"/>
          <w:szCs w:val="20"/>
          <w:lang w:val="en-US"/>
        </w:rPr>
        <w:t xml:space="preserve">the European Union </w:t>
      </w:r>
      <w:r w:rsidR="00425E17">
        <w:rPr>
          <w:rFonts w:cstheme="minorHAnsi"/>
          <w:sz w:val="20"/>
          <w:szCs w:val="20"/>
          <w:lang w:val="en-US"/>
        </w:rPr>
        <w:t xml:space="preserve">E.U. Climate </w:t>
      </w:r>
      <w:r w:rsidR="008B3607">
        <w:rPr>
          <w:rFonts w:cstheme="minorHAnsi"/>
          <w:sz w:val="20"/>
          <w:szCs w:val="20"/>
          <w:lang w:val="en-US"/>
        </w:rPr>
        <w:t>Change</w:t>
      </w:r>
      <w:r w:rsidR="00425E17">
        <w:rPr>
          <w:rFonts w:cstheme="minorHAnsi"/>
          <w:sz w:val="20"/>
          <w:szCs w:val="20"/>
          <w:lang w:val="en-US"/>
        </w:rPr>
        <w:t xml:space="preserve"> Regulation on raw material </w:t>
      </w:r>
      <w:r w:rsidR="008B3607">
        <w:rPr>
          <w:rFonts w:cstheme="minorHAnsi"/>
          <w:sz w:val="20"/>
          <w:szCs w:val="20"/>
          <w:lang w:val="en-US"/>
        </w:rPr>
        <w:t>C</w:t>
      </w:r>
      <w:r w:rsidR="00425E17">
        <w:rPr>
          <w:rFonts w:cstheme="minorHAnsi"/>
          <w:sz w:val="20"/>
          <w:szCs w:val="20"/>
          <w:lang w:val="en-US"/>
        </w:rPr>
        <w:t xml:space="preserve">obalt </w:t>
      </w:r>
      <w:r w:rsidR="008B3607">
        <w:rPr>
          <w:rFonts w:cstheme="minorHAnsi"/>
          <w:sz w:val="20"/>
          <w:szCs w:val="20"/>
          <w:lang w:val="en-US"/>
        </w:rPr>
        <w:t xml:space="preserve">for battery production </w:t>
      </w:r>
      <w:r w:rsidR="00425E17">
        <w:rPr>
          <w:rFonts w:cstheme="minorHAnsi"/>
          <w:sz w:val="20"/>
          <w:szCs w:val="20"/>
          <w:lang w:val="en-US"/>
        </w:rPr>
        <w:t xml:space="preserve">has </w:t>
      </w:r>
      <w:r w:rsidR="00425E17" w:rsidRPr="009D4501">
        <w:rPr>
          <w:rFonts w:cstheme="minorHAnsi"/>
          <w:sz w:val="20"/>
          <w:szCs w:val="20"/>
          <w:lang w:val="en-US"/>
        </w:rPr>
        <w:t>bec</w:t>
      </w:r>
      <w:r w:rsidR="00425E17">
        <w:rPr>
          <w:rFonts w:cstheme="minorHAnsi"/>
          <w:sz w:val="20"/>
          <w:szCs w:val="20"/>
          <w:lang w:val="en-US"/>
        </w:rPr>
        <w:t>o</w:t>
      </w:r>
      <w:r w:rsidR="00425E17" w:rsidRPr="009D4501">
        <w:rPr>
          <w:rFonts w:cstheme="minorHAnsi"/>
          <w:sz w:val="20"/>
          <w:szCs w:val="20"/>
          <w:lang w:val="en-US"/>
        </w:rPr>
        <w:t>mes</w:t>
      </w:r>
      <w:r w:rsidRPr="009D4501">
        <w:rPr>
          <w:rFonts w:cstheme="minorHAnsi"/>
          <w:sz w:val="20"/>
          <w:szCs w:val="20"/>
          <w:lang w:val="en-US"/>
        </w:rPr>
        <w:t xml:space="preserve"> an imperative challenge. </w:t>
      </w:r>
      <w:r w:rsidR="00E95347" w:rsidRPr="00E95347">
        <w:rPr>
          <w:rFonts w:cstheme="minorHAnsi"/>
          <w:b/>
          <w:bCs/>
          <w:color w:val="00B050"/>
          <w:sz w:val="20"/>
          <w:szCs w:val="20"/>
          <w:lang w:val="en-US"/>
        </w:rPr>
        <w:t>[</w:t>
      </w:r>
      <w:proofErr w:type="spellStart"/>
      <w:r w:rsidR="00425E17">
        <w:rPr>
          <w:rFonts w:cstheme="minorHAnsi"/>
          <w:b/>
          <w:bCs/>
          <w:color w:val="00B050"/>
          <w:sz w:val="20"/>
          <w:szCs w:val="20"/>
          <w:lang w:val="en-US"/>
        </w:rPr>
        <w:t>Techcrunch</w:t>
      </w:r>
      <w:proofErr w:type="spellEnd"/>
      <w:r w:rsidR="00E95347" w:rsidRPr="00E95347">
        <w:rPr>
          <w:rFonts w:cstheme="minorHAnsi"/>
          <w:b/>
          <w:bCs/>
          <w:color w:val="00B050"/>
          <w:sz w:val="20"/>
          <w:szCs w:val="20"/>
          <w:lang w:val="en-US"/>
        </w:rPr>
        <w:t>]</w:t>
      </w:r>
      <w:r w:rsidR="00E95347">
        <w:rPr>
          <w:rFonts w:cstheme="minorHAnsi"/>
          <w:sz w:val="20"/>
          <w:szCs w:val="20"/>
          <w:lang w:val="en-US"/>
        </w:rPr>
        <w:t xml:space="preserve"> </w:t>
      </w:r>
      <w:r w:rsidRPr="009D4501">
        <w:rPr>
          <w:rFonts w:cstheme="minorHAnsi"/>
          <w:sz w:val="20"/>
          <w:szCs w:val="20"/>
          <w:lang w:val="en-US"/>
        </w:rPr>
        <w:t>This legal maze not only hinders straightforward access to data but also imposes a compliance burden on data processing activities.</w:t>
      </w:r>
    </w:p>
    <w:p w14:paraId="28F97EFE" w14:textId="77777777" w:rsidR="00306D80" w:rsidRPr="00306D80" w:rsidRDefault="00306D80" w:rsidP="00750815">
      <w:pPr>
        <w:pStyle w:val="ListParagraph"/>
        <w:snapToGrid w:val="0"/>
        <w:spacing w:after="0" w:line="240" w:lineRule="auto"/>
        <w:ind w:left="1344"/>
        <w:contextualSpacing w:val="0"/>
        <w:rPr>
          <w:rFonts w:cstheme="minorHAnsi"/>
          <w:sz w:val="20"/>
          <w:szCs w:val="20"/>
          <w:lang w:val="en-US"/>
        </w:rPr>
      </w:pPr>
    </w:p>
    <w:p w14:paraId="0689978A" w14:textId="77777777" w:rsidR="00306D80" w:rsidRPr="00306D80" w:rsidRDefault="00B44FF7" w:rsidP="005606AE">
      <w:pPr>
        <w:pStyle w:val="ListParagraph"/>
        <w:numPr>
          <w:ilvl w:val="2"/>
          <w:numId w:val="32"/>
        </w:numPr>
        <w:snapToGrid w:val="0"/>
        <w:spacing w:after="0" w:line="240" w:lineRule="auto"/>
        <w:contextualSpacing w:val="0"/>
        <w:rPr>
          <w:rFonts w:cstheme="minorHAnsi"/>
          <w:sz w:val="20"/>
          <w:szCs w:val="20"/>
          <w:lang w:val="en-US"/>
        </w:rPr>
      </w:pPr>
      <w:r w:rsidRPr="00306D80">
        <w:rPr>
          <w:rFonts w:cstheme="minorHAnsi"/>
          <w:sz w:val="20"/>
          <w:szCs w:val="20"/>
          <w:lang w:val="en-US"/>
        </w:rPr>
        <w:t xml:space="preserve">Lastly, </w:t>
      </w:r>
      <w:r w:rsidRPr="00EB77FB">
        <w:rPr>
          <w:rFonts w:cstheme="minorHAnsi"/>
          <w:sz w:val="20"/>
          <w:szCs w:val="20"/>
          <w:lang w:val="en-US"/>
        </w:rPr>
        <w:t>collecting volatility data</w:t>
      </w:r>
      <w:r w:rsidRPr="00306D80">
        <w:rPr>
          <w:rFonts w:cstheme="minorHAnsi"/>
          <w:sz w:val="20"/>
          <w:szCs w:val="20"/>
          <w:lang w:val="en-US"/>
        </w:rPr>
        <w:t xml:space="preserve"> involves observing historical prices and deciphering factors contributing to price fluctuations, such as market news, earnings reports, and macroeconomic indicators. Ensuring that the data is historically relevant and capable of providing insights into potential future volatility is a critical yet challenging undertaking.</w:t>
      </w:r>
      <w:r w:rsidR="009D4501" w:rsidRPr="009D4501">
        <w:t xml:space="preserve"> </w:t>
      </w:r>
      <w:r w:rsidR="009D4501" w:rsidRPr="00EB77FB">
        <w:rPr>
          <w:rFonts w:cstheme="minorHAnsi"/>
          <w:sz w:val="20"/>
          <w:szCs w:val="20"/>
          <w:lang w:val="en-US"/>
        </w:rPr>
        <w:t>Analysts must meticulously differentiate between genuine causal relationships and coincidental correlations in data to avert misguided decisions.</w:t>
      </w:r>
      <w:r w:rsidR="009D4501" w:rsidRPr="009D4501">
        <w:rPr>
          <w:rFonts w:cstheme="minorHAnsi"/>
          <w:sz w:val="20"/>
          <w:szCs w:val="20"/>
          <w:lang w:val="en-US"/>
        </w:rPr>
        <w:t xml:space="preserve"> </w:t>
      </w:r>
      <w:r w:rsidR="00425E17" w:rsidRPr="00425E17">
        <w:rPr>
          <w:rFonts w:cstheme="minorHAnsi"/>
          <w:b/>
          <w:bCs/>
          <w:color w:val="00B050"/>
          <w:sz w:val="20"/>
          <w:szCs w:val="20"/>
          <w:lang w:val="en-US"/>
        </w:rPr>
        <w:t>[ABS]</w:t>
      </w:r>
      <w:r w:rsidR="00425E17" w:rsidRPr="00425E17">
        <w:rPr>
          <w:rFonts w:cstheme="minorHAnsi"/>
          <w:color w:val="00B050"/>
          <w:sz w:val="20"/>
          <w:szCs w:val="20"/>
          <w:lang w:val="en-US"/>
        </w:rPr>
        <w:t xml:space="preserve"> </w:t>
      </w:r>
      <w:r w:rsidR="009D4501" w:rsidRPr="009D4501">
        <w:rPr>
          <w:rFonts w:cstheme="minorHAnsi"/>
          <w:sz w:val="20"/>
          <w:szCs w:val="20"/>
          <w:lang w:val="en-US"/>
        </w:rPr>
        <w:t>Ensuring robust, scientifically backed methods to establish causality prevents inaccurate predictions and mitigates risks in investment strategies, thus safeguarding financial interests.</w:t>
      </w:r>
    </w:p>
    <w:p w14:paraId="678744A0" w14:textId="77777777" w:rsidR="00306D80" w:rsidRPr="00306D80" w:rsidRDefault="00306D80" w:rsidP="00750815">
      <w:pPr>
        <w:pStyle w:val="ListParagraph"/>
        <w:snapToGrid w:val="0"/>
        <w:spacing w:after="0" w:line="240" w:lineRule="auto"/>
        <w:ind w:left="1344"/>
        <w:contextualSpacing w:val="0"/>
        <w:rPr>
          <w:rFonts w:cstheme="minorHAnsi"/>
          <w:sz w:val="20"/>
          <w:szCs w:val="20"/>
          <w:lang w:val="en-US"/>
        </w:rPr>
      </w:pPr>
    </w:p>
    <w:p w14:paraId="4B609081" w14:textId="77777777" w:rsidR="00554F54" w:rsidRDefault="00B44FF7" w:rsidP="005606AE">
      <w:pPr>
        <w:pStyle w:val="ListParagraph"/>
        <w:numPr>
          <w:ilvl w:val="1"/>
          <w:numId w:val="32"/>
        </w:numPr>
        <w:snapToGrid w:val="0"/>
        <w:spacing w:after="0" w:line="240" w:lineRule="auto"/>
        <w:contextualSpacing w:val="0"/>
        <w:rPr>
          <w:rFonts w:cstheme="minorHAnsi"/>
          <w:b/>
          <w:bCs/>
          <w:sz w:val="20"/>
          <w:szCs w:val="20"/>
          <w:lang w:val="en-US"/>
        </w:rPr>
      </w:pPr>
      <w:r>
        <w:rPr>
          <w:rFonts w:cstheme="minorHAnsi"/>
          <w:b/>
          <w:bCs/>
          <w:sz w:val="20"/>
          <w:szCs w:val="20"/>
          <w:lang w:val="en-US"/>
        </w:rPr>
        <w:t xml:space="preserve">Student </w:t>
      </w:r>
      <w:r w:rsidR="00A00495">
        <w:rPr>
          <w:rFonts w:cstheme="minorHAnsi"/>
          <w:b/>
          <w:bCs/>
          <w:sz w:val="20"/>
          <w:szCs w:val="20"/>
          <w:lang w:val="en-US"/>
        </w:rPr>
        <w:t xml:space="preserve">Yhasreen: </w:t>
      </w:r>
      <w:r w:rsidRPr="0099199F">
        <w:rPr>
          <w:rFonts w:cstheme="minorHAnsi"/>
          <w:b/>
          <w:bCs/>
          <w:sz w:val="20"/>
          <w:szCs w:val="20"/>
          <w:lang w:val="en-US"/>
        </w:rPr>
        <w:t>2-year Treasury Bond</w:t>
      </w:r>
      <w:r w:rsidR="00CC2C1F">
        <w:rPr>
          <w:rFonts w:cstheme="minorHAnsi"/>
          <w:b/>
          <w:bCs/>
          <w:sz w:val="20"/>
          <w:szCs w:val="20"/>
          <w:lang w:val="en-US"/>
        </w:rPr>
        <w:t xml:space="preserve"> </w:t>
      </w:r>
      <w:r w:rsidRPr="0099199F">
        <w:rPr>
          <w:rFonts w:cstheme="minorHAnsi"/>
          <w:b/>
          <w:bCs/>
          <w:sz w:val="20"/>
          <w:szCs w:val="20"/>
          <w:lang w:val="en-US"/>
        </w:rPr>
        <w:t>Investment</w:t>
      </w:r>
      <w:r w:rsidR="007C46BD">
        <w:rPr>
          <w:rFonts w:cstheme="minorHAnsi"/>
          <w:b/>
          <w:bCs/>
          <w:sz w:val="20"/>
          <w:szCs w:val="20"/>
          <w:lang w:val="en-US"/>
        </w:rPr>
        <w:t xml:space="preserve"> Data Collection Challenges</w:t>
      </w:r>
    </w:p>
    <w:p w14:paraId="529491A9" w14:textId="755264BA" w:rsidR="00C20324" w:rsidRPr="00AA10FD" w:rsidRDefault="00B97C04" w:rsidP="005606AE">
      <w:pPr>
        <w:pStyle w:val="ListParagraph"/>
        <w:numPr>
          <w:ilvl w:val="2"/>
          <w:numId w:val="32"/>
        </w:numPr>
        <w:snapToGrid w:val="0"/>
        <w:spacing w:after="0" w:line="240" w:lineRule="auto"/>
        <w:contextualSpacing w:val="0"/>
        <w:rPr>
          <w:rFonts w:cstheme="minorHAnsi"/>
          <w:b/>
          <w:bCs/>
          <w:sz w:val="20"/>
          <w:szCs w:val="20"/>
          <w:lang w:val="en-US"/>
        </w:rPr>
      </w:pPr>
      <w:r w:rsidRPr="00967D55">
        <w:rPr>
          <w:rFonts w:cstheme="minorHAnsi"/>
          <w:sz w:val="20"/>
          <w:szCs w:val="20"/>
          <w:lang w:val="en-US"/>
        </w:rPr>
        <w:t>Defense</w:t>
      </w:r>
      <w:r w:rsidR="00B44FF7" w:rsidRPr="00967D55">
        <w:rPr>
          <w:rFonts w:cstheme="minorHAnsi"/>
          <w:sz w:val="20"/>
          <w:szCs w:val="20"/>
          <w:lang w:val="en-US"/>
        </w:rPr>
        <w:t xml:space="preserve"> Spending figures between 2014 and 2020, the U.S. provided Ukraine with more than $4 billion in total assistance, including security and non-security aid. This financial support reinforces Ukraine's security, governance, and resilience in the face of Russian aggression. Due to the pro</w:t>
      </w:r>
      <w:r w:rsidR="00B44FF7">
        <w:rPr>
          <w:rFonts w:cstheme="minorHAnsi"/>
          <w:sz w:val="20"/>
          <w:szCs w:val="20"/>
          <w:lang w:val="en-US"/>
        </w:rPr>
        <w:t>xi</w:t>
      </w:r>
      <w:r w:rsidR="00B44FF7" w:rsidRPr="00967D55">
        <w:rPr>
          <w:rFonts w:cstheme="minorHAnsi"/>
          <w:sz w:val="20"/>
          <w:szCs w:val="20"/>
          <w:lang w:val="en-US"/>
        </w:rPr>
        <w:t xml:space="preserve">mity to the 2024 election, the ongoing war that has yet to win, and the ever-growing </w:t>
      </w:r>
      <w:r w:rsidRPr="00967D55">
        <w:rPr>
          <w:rFonts w:cstheme="minorHAnsi"/>
          <w:sz w:val="20"/>
          <w:szCs w:val="20"/>
          <w:lang w:val="en-US"/>
        </w:rPr>
        <w:t>defense</w:t>
      </w:r>
      <w:r w:rsidR="00B44FF7" w:rsidRPr="00967D55">
        <w:rPr>
          <w:rFonts w:cstheme="minorHAnsi"/>
          <w:sz w:val="20"/>
          <w:szCs w:val="20"/>
          <w:lang w:val="en-US"/>
        </w:rPr>
        <w:t xml:space="preserve"> budget forced the Biden administration to understate the upcoming </w:t>
      </w:r>
      <w:r w:rsidRPr="00967D55">
        <w:rPr>
          <w:rFonts w:cstheme="minorHAnsi"/>
          <w:sz w:val="20"/>
          <w:szCs w:val="20"/>
          <w:lang w:val="en-US"/>
        </w:rPr>
        <w:t>defense</w:t>
      </w:r>
      <w:r w:rsidR="00B44FF7" w:rsidRPr="00967D55">
        <w:rPr>
          <w:rFonts w:cstheme="minorHAnsi"/>
          <w:sz w:val="20"/>
          <w:szCs w:val="20"/>
          <w:lang w:val="en-US"/>
        </w:rPr>
        <w:t xml:space="preserve"> budget.</w:t>
      </w:r>
      <w:r w:rsidR="00B44FF7">
        <w:rPr>
          <w:rFonts w:cstheme="minorHAnsi"/>
          <w:b/>
          <w:bCs/>
          <w:sz w:val="20"/>
          <w:szCs w:val="20"/>
          <w:lang w:val="en-US"/>
        </w:rPr>
        <w:t xml:space="preserve"> </w:t>
      </w:r>
      <w:r w:rsidR="00B44FF7" w:rsidRPr="00967D55">
        <w:rPr>
          <w:rFonts w:cstheme="minorHAnsi"/>
          <w:b/>
          <w:bCs/>
          <w:color w:val="00B050"/>
          <w:sz w:val="20"/>
          <w:szCs w:val="20"/>
          <w:lang w:val="en-US"/>
        </w:rPr>
        <w:t>[Forbes]</w:t>
      </w:r>
      <w:r w:rsidR="00FB57E8">
        <w:rPr>
          <w:rFonts w:cstheme="minorHAnsi"/>
          <w:b/>
          <w:bCs/>
          <w:color w:val="00B050"/>
          <w:sz w:val="20"/>
          <w:szCs w:val="20"/>
          <w:lang w:val="en-US"/>
        </w:rPr>
        <w:t xml:space="preserve"> </w:t>
      </w:r>
    </w:p>
    <w:p w14:paraId="28A4D058" w14:textId="77777777" w:rsidR="00AA10FD" w:rsidRDefault="00AA10FD" w:rsidP="00750815">
      <w:pPr>
        <w:pStyle w:val="ListParagraph"/>
        <w:snapToGrid w:val="0"/>
        <w:spacing w:after="0" w:line="240" w:lineRule="auto"/>
        <w:ind w:left="1344"/>
        <w:contextualSpacing w:val="0"/>
        <w:rPr>
          <w:rFonts w:cstheme="minorHAnsi"/>
          <w:b/>
          <w:bCs/>
          <w:sz w:val="20"/>
          <w:szCs w:val="20"/>
          <w:lang w:val="en-US"/>
        </w:rPr>
      </w:pPr>
    </w:p>
    <w:p w14:paraId="1E39E805" w14:textId="77777777" w:rsidR="00BC69E9" w:rsidRPr="00DE0695" w:rsidRDefault="00BC69E9" w:rsidP="00BC69E9">
      <w:pPr>
        <w:pStyle w:val="ListParagraph"/>
        <w:numPr>
          <w:ilvl w:val="2"/>
          <w:numId w:val="32"/>
        </w:numPr>
        <w:snapToGrid w:val="0"/>
        <w:spacing w:after="0" w:line="240" w:lineRule="auto"/>
        <w:contextualSpacing w:val="0"/>
        <w:rPr>
          <w:rFonts w:cstheme="minorHAnsi"/>
          <w:sz w:val="20"/>
          <w:szCs w:val="20"/>
          <w:lang w:val="en-US"/>
        </w:rPr>
      </w:pPr>
      <w:r w:rsidRPr="00DE0695">
        <w:rPr>
          <w:rFonts w:cstheme="minorHAnsi"/>
          <w:sz w:val="20"/>
          <w:szCs w:val="20"/>
          <w:lang w:val="en-US"/>
        </w:rPr>
        <w:t xml:space="preserve">In addition, </w:t>
      </w:r>
      <w:r>
        <w:rPr>
          <w:rFonts w:cstheme="minorHAnsi"/>
          <w:sz w:val="20"/>
          <w:szCs w:val="20"/>
          <w:lang w:val="en-US"/>
        </w:rPr>
        <w:t xml:space="preserve">the </w:t>
      </w:r>
      <w:r w:rsidRPr="00DE0695">
        <w:rPr>
          <w:rFonts w:cstheme="minorHAnsi"/>
          <w:sz w:val="20"/>
          <w:szCs w:val="20"/>
          <w:lang w:val="en-US"/>
        </w:rPr>
        <w:t>Biden Administration announced debt cancellation</w:t>
      </w:r>
      <w:r>
        <w:rPr>
          <w:rFonts w:cstheme="minorHAnsi"/>
          <w:sz w:val="20"/>
          <w:szCs w:val="20"/>
          <w:lang w:val="en-US"/>
        </w:rPr>
        <w:t xml:space="preserve"> on student loans</w:t>
      </w:r>
      <w:r w:rsidRPr="00DE0695">
        <w:rPr>
          <w:rFonts w:cstheme="minorHAnsi"/>
          <w:sz w:val="20"/>
          <w:szCs w:val="20"/>
          <w:lang w:val="en-US"/>
        </w:rPr>
        <w:t xml:space="preserve">. </w:t>
      </w:r>
      <w:r w:rsidRPr="00DE0695">
        <w:rPr>
          <w:rFonts w:cstheme="minorHAnsi"/>
          <w:b/>
          <w:bCs/>
          <w:color w:val="00B050"/>
          <w:sz w:val="20"/>
          <w:szCs w:val="20"/>
          <w:lang w:val="en-US"/>
        </w:rPr>
        <w:t>[U</w:t>
      </w:r>
      <w:r>
        <w:rPr>
          <w:rFonts w:cstheme="minorHAnsi"/>
          <w:b/>
          <w:bCs/>
          <w:color w:val="00B050"/>
          <w:sz w:val="20"/>
          <w:szCs w:val="20"/>
          <w:lang w:val="en-US"/>
        </w:rPr>
        <w:t>.</w:t>
      </w:r>
      <w:r w:rsidRPr="00DE0695">
        <w:rPr>
          <w:rFonts w:cstheme="minorHAnsi"/>
          <w:b/>
          <w:bCs/>
          <w:color w:val="00B050"/>
          <w:sz w:val="20"/>
          <w:szCs w:val="20"/>
          <w:lang w:val="en-US"/>
        </w:rPr>
        <w:t>S</w:t>
      </w:r>
      <w:r>
        <w:rPr>
          <w:rFonts w:cstheme="minorHAnsi"/>
          <w:b/>
          <w:bCs/>
          <w:color w:val="00B050"/>
          <w:sz w:val="20"/>
          <w:szCs w:val="20"/>
          <w:lang w:val="en-US"/>
        </w:rPr>
        <w:t>.</w:t>
      </w:r>
      <w:r w:rsidRPr="00DE0695">
        <w:rPr>
          <w:rFonts w:cstheme="minorHAnsi"/>
          <w:b/>
          <w:bCs/>
          <w:color w:val="00B050"/>
          <w:sz w:val="20"/>
          <w:szCs w:val="20"/>
          <w:lang w:val="en-US"/>
        </w:rPr>
        <w:t xml:space="preserve"> dept Edu]</w:t>
      </w:r>
      <w:r>
        <w:rPr>
          <w:rFonts w:cstheme="minorHAnsi"/>
          <w:b/>
          <w:bCs/>
          <w:color w:val="00B050"/>
          <w:sz w:val="20"/>
          <w:szCs w:val="20"/>
          <w:lang w:val="en-US"/>
        </w:rPr>
        <w:t xml:space="preserve"> </w:t>
      </w:r>
      <w:r w:rsidRPr="00DE0695">
        <w:rPr>
          <w:rFonts w:cstheme="minorHAnsi"/>
          <w:sz w:val="20"/>
          <w:szCs w:val="20"/>
          <w:lang w:val="en-US"/>
        </w:rPr>
        <w:t>Poor Data collection challenges related to unpaid debt</w:t>
      </w:r>
      <w:r>
        <w:rPr>
          <w:rFonts w:cstheme="minorHAnsi"/>
          <w:sz w:val="20"/>
          <w:szCs w:val="20"/>
          <w:lang w:val="en-US"/>
        </w:rPr>
        <w:t xml:space="preserve"> and poor budgeting</w:t>
      </w:r>
      <w:r w:rsidRPr="00DE0695">
        <w:rPr>
          <w:rFonts w:cstheme="minorHAnsi"/>
          <w:sz w:val="20"/>
          <w:szCs w:val="20"/>
          <w:lang w:val="en-US"/>
        </w:rPr>
        <w:t xml:space="preserve"> could lead to inaccurate risk assessment and mispricing of 2-year Treasury bonds.</w:t>
      </w:r>
    </w:p>
    <w:p w14:paraId="7C298528" w14:textId="77777777" w:rsidR="00BC69E9" w:rsidRPr="00BC69E9" w:rsidRDefault="00BC69E9" w:rsidP="00BC69E9">
      <w:pPr>
        <w:pStyle w:val="ListParagraph"/>
        <w:rPr>
          <w:rFonts w:cstheme="minorHAnsi"/>
          <w:sz w:val="20"/>
          <w:szCs w:val="20"/>
          <w:lang w:val="en-US"/>
        </w:rPr>
      </w:pPr>
    </w:p>
    <w:p w14:paraId="55D9928A" w14:textId="5113190A" w:rsidR="00C47F98" w:rsidRDefault="00B44FF7" w:rsidP="005606AE">
      <w:pPr>
        <w:pStyle w:val="ListParagraph"/>
        <w:numPr>
          <w:ilvl w:val="2"/>
          <w:numId w:val="32"/>
        </w:numPr>
        <w:snapToGrid w:val="0"/>
        <w:spacing w:after="0" w:line="240" w:lineRule="auto"/>
        <w:contextualSpacing w:val="0"/>
        <w:rPr>
          <w:rFonts w:cstheme="minorHAnsi"/>
          <w:sz w:val="20"/>
          <w:szCs w:val="20"/>
          <w:lang w:val="en-US"/>
        </w:rPr>
      </w:pPr>
      <w:r w:rsidRPr="00C47F98">
        <w:rPr>
          <w:rFonts w:cstheme="minorHAnsi"/>
          <w:sz w:val="20"/>
          <w:szCs w:val="20"/>
          <w:lang w:val="en-US"/>
        </w:rPr>
        <w:t xml:space="preserve">Historical relevance in data collection for a 2-year Treasury bond involves ensuring that past data is still applicable and insightful for predicting future trends and making investment decisions. As economic environments shift, historical interest rate movements or default rates may only sometimes serve as a precise guide for future expectations, demanding scrutiny and adjustment of historical data to align with current market conditions. </w:t>
      </w:r>
    </w:p>
    <w:p w14:paraId="16D7986B" w14:textId="77777777" w:rsidR="00AA10FD" w:rsidRDefault="00AA10FD" w:rsidP="00750815">
      <w:pPr>
        <w:pStyle w:val="ListParagraph"/>
        <w:snapToGrid w:val="0"/>
        <w:spacing w:after="0" w:line="240" w:lineRule="auto"/>
        <w:ind w:left="1344"/>
        <w:contextualSpacing w:val="0"/>
        <w:rPr>
          <w:rFonts w:cstheme="minorHAnsi"/>
          <w:sz w:val="20"/>
          <w:szCs w:val="20"/>
          <w:lang w:val="en-US"/>
        </w:rPr>
      </w:pPr>
    </w:p>
    <w:p w14:paraId="67FF0401" w14:textId="77777777" w:rsidR="00C47F98" w:rsidRDefault="00B44FF7" w:rsidP="005606AE">
      <w:pPr>
        <w:pStyle w:val="ListParagraph"/>
        <w:numPr>
          <w:ilvl w:val="2"/>
          <w:numId w:val="32"/>
        </w:numPr>
        <w:snapToGrid w:val="0"/>
        <w:spacing w:after="0" w:line="240" w:lineRule="auto"/>
        <w:contextualSpacing w:val="0"/>
        <w:rPr>
          <w:rFonts w:cstheme="minorHAnsi"/>
          <w:sz w:val="20"/>
          <w:szCs w:val="20"/>
          <w:lang w:val="en-US"/>
        </w:rPr>
      </w:pPr>
      <w:r w:rsidRPr="00C47F98">
        <w:rPr>
          <w:rFonts w:cstheme="minorHAnsi"/>
          <w:sz w:val="20"/>
          <w:szCs w:val="20"/>
          <w:lang w:val="en-US"/>
        </w:rPr>
        <w:t xml:space="preserve">On another note, utilizing paid subscription data brings challenges like managing costs and ensuring that the premium data delivers superior insights and accuracy than freely available alternatives. Moreover, relying on rating agency data presents its own set of challenges. Different agencies may assign ratings to the same bond due to differing assessment criteria and methodologies, introducing potential biases. </w:t>
      </w:r>
    </w:p>
    <w:p w14:paraId="3D4990FA" w14:textId="77777777" w:rsidR="00AA10FD" w:rsidRPr="00AA10FD" w:rsidRDefault="00AA10FD" w:rsidP="00750815">
      <w:pPr>
        <w:pStyle w:val="ListParagraph"/>
        <w:snapToGrid w:val="0"/>
        <w:spacing w:after="0" w:line="240" w:lineRule="auto"/>
        <w:contextualSpacing w:val="0"/>
        <w:rPr>
          <w:rFonts w:cstheme="minorHAnsi"/>
          <w:sz w:val="20"/>
          <w:szCs w:val="20"/>
          <w:lang w:val="en-US"/>
        </w:rPr>
      </w:pPr>
    </w:p>
    <w:p w14:paraId="5D3B5B49" w14:textId="77777777" w:rsidR="00D243BE" w:rsidRDefault="00B44FF7" w:rsidP="00D243BE">
      <w:pPr>
        <w:pStyle w:val="ListParagraph"/>
        <w:numPr>
          <w:ilvl w:val="2"/>
          <w:numId w:val="32"/>
        </w:numPr>
        <w:snapToGrid w:val="0"/>
        <w:spacing w:after="0" w:line="240" w:lineRule="auto"/>
        <w:contextualSpacing w:val="0"/>
        <w:rPr>
          <w:rFonts w:cstheme="minorHAnsi"/>
          <w:sz w:val="20"/>
          <w:szCs w:val="20"/>
          <w:lang w:val="en-US"/>
        </w:rPr>
      </w:pPr>
      <w:r w:rsidRPr="00C47F98">
        <w:rPr>
          <w:rFonts w:cstheme="minorHAnsi"/>
          <w:sz w:val="20"/>
          <w:szCs w:val="20"/>
          <w:lang w:val="en-US"/>
        </w:rPr>
        <w:t>Additionally, investors must be wary of these ratings' timeliness and comprehensive nature, ensuring they consider the detailed reports rather than just the summarized rating.</w:t>
      </w:r>
      <w:r w:rsidR="00652C89">
        <w:rPr>
          <w:rFonts w:cstheme="minorHAnsi"/>
          <w:sz w:val="20"/>
          <w:szCs w:val="20"/>
          <w:lang w:val="en-US"/>
        </w:rPr>
        <w:t xml:space="preserve"> Bond yields do not commiserate with rating downgrades. </w:t>
      </w:r>
      <w:r w:rsidR="00652C89" w:rsidRPr="00652C89">
        <w:rPr>
          <w:rFonts w:cstheme="minorHAnsi"/>
          <w:b/>
          <w:bCs/>
          <w:color w:val="00B050"/>
          <w:sz w:val="20"/>
          <w:szCs w:val="20"/>
          <w:lang w:val="en-US"/>
        </w:rPr>
        <w:t>[Bloomberg]</w:t>
      </w:r>
      <w:r w:rsidR="00652C89">
        <w:rPr>
          <w:rFonts w:cstheme="minorHAnsi"/>
          <w:b/>
          <w:bCs/>
          <w:color w:val="00B050"/>
          <w:sz w:val="20"/>
          <w:szCs w:val="20"/>
          <w:lang w:val="en-US"/>
        </w:rPr>
        <w:t xml:space="preserve"> </w:t>
      </w:r>
      <w:r w:rsidRPr="00C47F98">
        <w:rPr>
          <w:rFonts w:cstheme="minorHAnsi"/>
          <w:sz w:val="20"/>
          <w:szCs w:val="20"/>
          <w:lang w:val="en-US"/>
        </w:rPr>
        <w:t>Combining all these data aspects, investors must meticulously weave through historical, paid, and rating agency data to formulate a coherent and informed investment strategy for 2-year Treasury bonds.</w:t>
      </w:r>
      <w:r w:rsidR="00652C89">
        <w:rPr>
          <w:rFonts w:cstheme="minorHAnsi"/>
          <w:sz w:val="20"/>
          <w:szCs w:val="20"/>
          <w:lang w:val="en-US"/>
        </w:rPr>
        <w:t xml:space="preserve"> </w:t>
      </w:r>
    </w:p>
    <w:p w14:paraId="4929F53B" w14:textId="77777777" w:rsidR="00D243BE" w:rsidRPr="00D243BE" w:rsidRDefault="00D243BE" w:rsidP="00D243BE">
      <w:pPr>
        <w:pStyle w:val="ListParagraph"/>
        <w:rPr>
          <w:rFonts w:cstheme="minorHAnsi"/>
          <w:b/>
          <w:bCs/>
          <w:sz w:val="28"/>
          <w:szCs w:val="28"/>
          <w:lang w:val="en-US"/>
        </w:rPr>
      </w:pPr>
    </w:p>
    <w:p w14:paraId="30F6D286" w14:textId="7AEAFD19" w:rsidR="00F4266C" w:rsidRPr="00D243BE" w:rsidRDefault="00D243BE" w:rsidP="00D243BE">
      <w:pPr>
        <w:snapToGrid w:val="0"/>
        <w:spacing w:after="0" w:line="240" w:lineRule="auto"/>
        <w:rPr>
          <w:rFonts w:cstheme="minorHAnsi"/>
          <w:sz w:val="20"/>
          <w:szCs w:val="20"/>
          <w:lang w:val="en-US"/>
        </w:rPr>
      </w:pPr>
      <w:r>
        <w:rPr>
          <w:rFonts w:cstheme="minorHAnsi"/>
          <w:b/>
          <w:bCs/>
          <w:sz w:val="28"/>
          <w:szCs w:val="28"/>
          <w:lang w:val="en-US"/>
        </w:rPr>
        <w:lastRenderedPageBreak/>
        <w:t xml:space="preserve">4. </w:t>
      </w:r>
      <w:r w:rsidR="00B44FF7" w:rsidRPr="00D243BE">
        <w:rPr>
          <w:rFonts w:cstheme="minorHAnsi"/>
          <w:b/>
          <w:bCs/>
          <w:sz w:val="28"/>
          <w:szCs w:val="28"/>
          <w:lang w:val="en-US"/>
        </w:rPr>
        <w:t>Step 4</w:t>
      </w:r>
      <w:r w:rsidR="00165AD1" w:rsidRPr="00D243BE">
        <w:rPr>
          <w:rFonts w:cstheme="minorHAnsi"/>
          <w:b/>
          <w:bCs/>
          <w:sz w:val="28"/>
          <w:szCs w:val="28"/>
          <w:lang w:val="en-US"/>
        </w:rPr>
        <w:t>56</w:t>
      </w:r>
      <w:r w:rsidR="00B44FF7" w:rsidRPr="00D243BE">
        <w:rPr>
          <w:rFonts w:cstheme="minorHAnsi"/>
          <w:b/>
          <w:bCs/>
          <w:sz w:val="28"/>
          <w:szCs w:val="28"/>
          <w:lang w:val="en-US"/>
        </w:rPr>
        <w:t xml:space="preserve">. Data </w:t>
      </w:r>
      <w:r w:rsidR="00643CFC" w:rsidRPr="00D243BE">
        <w:rPr>
          <w:rFonts w:cstheme="minorHAnsi"/>
          <w:b/>
          <w:bCs/>
          <w:sz w:val="28"/>
          <w:szCs w:val="28"/>
          <w:lang w:val="en-US"/>
        </w:rPr>
        <w:t>s</w:t>
      </w:r>
      <w:r w:rsidR="00165AD1" w:rsidRPr="00D243BE">
        <w:rPr>
          <w:rFonts w:cstheme="minorHAnsi"/>
          <w:b/>
          <w:bCs/>
          <w:sz w:val="28"/>
          <w:szCs w:val="28"/>
          <w:lang w:val="en-US"/>
        </w:rPr>
        <w:t>ource, data</w:t>
      </w:r>
      <w:r w:rsidR="00B44FF7" w:rsidRPr="00D243BE">
        <w:rPr>
          <w:rFonts w:cstheme="minorHAnsi"/>
          <w:b/>
          <w:bCs/>
          <w:sz w:val="28"/>
          <w:szCs w:val="28"/>
          <w:lang w:val="en-US"/>
        </w:rPr>
        <w:t xml:space="preserve"> analysis</w:t>
      </w:r>
      <w:r w:rsidR="00165AD1" w:rsidRPr="00D243BE">
        <w:rPr>
          <w:rFonts w:cstheme="minorHAnsi"/>
          <w:b/>
          <w:bCs/>
          <w:sz w:val="28"/>
          <w:szCs w:val="28"/>
          <w:lang w:val="en-US"/>
        </w:rPr>
        <w:t xml:space="preserve"> and data </w:t>
      </w:r>
      <w:r w:rsidR="00F25FB2" w:rsidRPr="00D243BE">
        <w:rPr>
          <w:rFonts w:cstheme="minorHAnsi"/>
          <w:b/>
          <w:bCs/>
          <w:sz w:val="28"/>
          <w:szCs w:val="28"/>
          <w:lang w:val="en-US"/>
        </w:rPr>
        <w:t xml:space="preserve">collection </w:t>
      </w:r>
      <w:r w:rsidR="00101FED" w:rsidRPr="00D243BE">
        <w:rPr>
          <w:rFonts w:cstheme="minorHAnsi"/>
          <w:b/>
          <w:bCs/>
          <w:sz w:val="28"/>
          <w:szCs w:val="28"/>
          <w:lang w:val="en-US"/>
        </w:rPr>
        <w:t>challenges</w:t>
      </w:r>
    </w:p>
    <w:p w14:paraId="07F734B3" w14:textId="07A3F204" w:rsidR="003B2692" w:rsidRPr="00D243BE" w:rsidRDefault="00B44FF7" w:rsidP="00D243BE">
      <w:pPr>
        <w:pStyle w:val="ListParagraph"/>
        <w:numPr>
          <w:ilvl w:val="1"/>
          <w:numId w:val="36"/>
        </w:numPr>
        <w:snapToGrid w:val="0"/>
        <w:spacing w:after="0" w:line="240" w:lineRule="auto"/>
        <w:rPr>
          <w:rFonts w:cstheme="minorHAnsi"/>
          <w:b/>
          <w:bCs/>
          <w:sz w:val="20"/>
          <w:szCs w:val="20"/>
          <w:lang w:val="en-US"/>
        </w:rPr>
      </w:pPr>
      <w:r w:rsidRPr="00D243BE">
        <w:rPr>
          <w:rFonts w:cstheme="minorHAnsi"/>
          <w:b/>
          <w:bCs/>
          <w:sz w:val="20"/>
          <w:szCs w:val="20"/>
          <w:lang w:val="en-US"/>
        </w:rPr>
        <w:t>Student:</w:t>
      </w:r>
      <w:r w:rsidRPr="00D243BE">
        <w:rPr>
          <w:rFonts w:cstheme="minorHAnsi"/>
          <w:b/>
          <w:bCs/>
          <w:sz w:val="20"/>
          <w:szCs w:val="20"/>
        </w:rPr>
        <w:t xml:space="preserve"> </w:t>
      </w:r>
      <w:r w:rsidRPr="00D243BE">
        <w:rPr>
          <w:rFonts w:cstheme="minorHAnsi"/>
          <w:b/>
          <w:bCs/>
          <w:sz w:val="20"/>
          <w:szCs w:val="20"/>
          <w:lang w:val="en-US"/>
        </w:rPr>
        <w:t>Oratile Personal unsecured loan at a fixed rate (like Credit Card)</w:t>
      </w:r>
      <w:r w:rsidR="00F63FD2" w:rsidRPr="00D243BE">
        <w:rPr>
          <w:rFonts w:cstheme="minorHAnsi"/>
          <w:b/>
          <w:bCs/>
          <w:sz w:val="20"/>
          <w:szCs w:val="20"/>
          <w:lang w:val="en-US"/>
        </w:rPr>
        <w:t>.</w:t>
      </w:r>
      <w:r w:rsidRPr="00D243BE">
        <w:rPr>
          <w:rFonts w:cstheme="minorHAnsi"/>
          <w:b/>
          <w:bCs/>
          <w:sz w:val="20"/>
          <w:szCs w:val="20"/>
          <w:lang w:val="en-US"/>
        </w:rPr>
        <w:t xml:space="preserve"> Data insights</w:t>
      </w:r>
    </w:p>
    <w:p w14:paraId="31AD7E96" w14:textId="77777777" w:rsidR="003B2692" w:rsidRPr="00833EB8" w:rsidRDefault="003B2692" w:rsidP="00833EB8">
      <w:pPr>
        <w:snapToGrid w:val="0"/>
        <w:spacing w:after="0" w:line="240" w:lineRule="auto"/>
        <w:rPr>
          <w:rFonts w:cstheme="minorHAnsi"/>
          <w:b/>
          <w:bCs/>
          <w:sz w:val="20"/>
          <w:szCs w:val="20"/>
          <w:lang w:val="en-US"/>
        </w:rPr>
      </w:pPr>
    </w:p>
    <w:p w14:paraId="23A7ED91" w14:textId="1E507B88" w:rsidR="00EC673A" w:rsidRPr="00EC673A" w:rsidRDefault="00EC673A" w:rsidP="00EC673A">
      <w:pPr>
        <w:spacing w:after="564" w:line="283" w:lineRule="auto"/>
        <w:ind w:left="-5" w:right="-13" w:hanging="10"/>
        <w:jc w:val="both"/>
        <w:rPr>
          <w:rFonts w:cstheme="minorHAnsi"/>
          <w:sz w:val="20"/>
          <w:szCs w:val="20"/>
          <w:lang w:val="en-US"/>
        </w:rPr>
      </w:pPr>
      <w:r w:rsidRPr="00EC673A">
        <w:rPr>
          <w:rFonts w:cstheme="minorHAnsi"/>
          <w:sz w:val="20"/>
          <w:szCs w:val="20"/>
          <w:lang w:val="en-US"/>
        </w:rPr>
        <w:t>To address challenges related to leverage, non-linearity, liquidity and regulation in scenario 1, we collected additional data such as consumer credit scores, customer service payments Consumer debt as a percentage of income and annual claims data. Previously collected data, such as credit card delinquency rates, credit utilization rates, and credit card transaction data from US licensed depository institutions, are also useful. Annual claims data are collected from the Financial Ombudsman Service website, while all other data are collected from the Federal Reserve Economic Data (FRED) website.</w:t>
      </w:r>
    </w:p>
    <w:p w14:paraId="7C51916A" w14:textId="5EF086D4" w:rsidR="00EC673A" w:rsidRPr="00EC673A" w:rsidRDefault="00EC673A" w:rsidP="00EC673A">
      <w:pPr>
        <w:spacing w:after="564" w:line="283" w:lineRule="auto"/>
        <w:ind w:left="-5" w:right="-13" w:hanging="10"/>
        <w:jc w:val="both"/>
        <w:rPr>
          <w:rFonts w:cstheme="minorHAnsi"/>
          <w:sz w:val="20"/>
          <w:szCs w:val="20"/>
          <w:lang w:val="en-US"/>
        </w:rPr>
      </w:pPr>
      <w:r w:rsidRPr="00EC673A">
        <w:rPr>
          <w:rFonts w:cstheme="minorHAnsi"/>
          <w:sz w:val="20"/>
          <w:szCs w:val="20"/>
          <w:lang w:val="en-US"/>
        </w:rPr>
        <w:t>Debt-to-income ratio (DTI) is calculated by dividing your total monthly debt payments by your total monthly income (U.S. Bureau of Labor Statistics, 2023). The debt-to-income ratio shows how much debt a debtor has relative to their income and can reveal how much leverage they use. We are concerned that consumer default rates may increase due to recent increases in  debt-to-income ratios, as shown in the line chart. Likewise, tracking the credit utilization ratio or the percentage of available credit a borrower is using can help determine their debt risk. High loan utilization rates are a sign of highly leveraged borrowers, which increases the risk of default. Based on the borrower's current debt level, we can assess the appropriate loan amount and terms using this information.</w:t>
      </w:r>
    </w:p>
    <w:p w14:paraId="6044831F" w14:textId="77777777" w:rsidR="00EC673A" w:rsidRPr="00EC673A" w:rsidRDefault="00EC673A" w:rsidP="00EC673A">
      <w:pPr>
        <w:spacing w:after="564" w:line="283" w:lineRule="auto"/>
        <w:ind w:left="-5" w:right="-13" w:hanging="10"/>
        <w:jc w:val="both"/>
        <w:rPr>
          <w:rFonts w:cstheme="minorHAnsi"/>
          <w:sz w:val="20"/>
          <w:szCs w:val="20"/>
          <w:lang w:val="en-US"/>
        </w:rPr>
      </w:pPr>
      <w:r w:rsidRPr="00EC673A">
        <w:rPr>
          <w:rFonts w:cstheme="minorHAnsi"/>
          <w:sz w:val="20"/>
          <w:szCs w:val="20"/>
          <w:lang w:val="en-US"/>
        </w:rPr>
        <w:t>Consumer credit scores are a good indicator of a borrower's liquidity and creditworthiness. We have more confidence in a borrower's ability to meet their financial obligations because a higher credit score typically correlates with a higher ability to repay debt. Tracking changes in credit ratings over time can reveal non-linearities in creditworthiness. Loan approvals and interest rates can have a non-linear correlation with credit scores. Higher credit scores can lead to better terms for borrowers, while lower credit scores can lead to higher fees or even loan denials. Additionally, analyzing credit card transaction volumes and patterns can help us determine the liquidity of the credit card market and adjust our lending strategy as needed. Monitoring consumer complaints related to credit card products can help identify potential legal issues and areas of concern. Bar charts showing an increase in complaints about loan products can be a sign of problems with repayment, customer service or general financial problems. We remain compliant with legal standards for consumer protection and ethical lending practices by tracking complaint data annually. We can demonstrate our commitment to maintaining regulatory compliance and a favorable lending environment by handling and resolving complaints.</w:t>
      </w:r>
    </w:p>
    <w:p w14:paraId="0F6F809E" w14:textId="697E272F" w:rsidR="006C7C1E" w:rsidRDefault="00EC673A" w:rsidP="00EC673A">
      <w:pPr>
        <w:spacing w:after="564" w:line="283" w:lineRule="auto"/>
        <w:ind w:left="-5" w:right="-13" w:hanging="10"/>
        <w:jc w:val="both"/>
      </w:pPr>
      <w:r w:rsidRPr="00EC673A">
        <w:rPr>
          <w:rFonts w:cstheme="minorHAnsi"/>
          <w:sz w:val="20"/>
          <w:szCs w:val="20"/>
          <w:lang w:val="en-US"/>
        </w:rPr>
        <w:t>Of course, some of these datasets can be useful for solving many challenges. For example, delinquency rates can reveal information about a borrower's creditworthiness and ability to repay debt. Higher delinquency rates may signal greater default risk and potential debt problems, as evidenced by the recent increase in the trend line in the visualization. In addition, nonlinearity in borrower behavior can be reflected in d</w:t>
      </w:r>
      <w:r>
        <w:rPr>
          <w:rFonts w:cstheme="minorHAnsi"/>
          <w:sz w:val="20"/>
          <w:szCs w:val="20"/>
          <w:lang w:val="en-US"/>
        </w:rPr>
        <w:t xml:space="preserve">elinquency rates. For example, </w:t>
      </w:r>
      <w:r w:rsidRPr="00EC673A">
        <w:rPr>
          <w:rFonts w:cstheme="minorHAnsi"/>
          <w:sz w:val="20"/>
          <w:szCs w:val="20"/>
          <w:lang w:val="en-US"/>
        </w:rPr>
        <w:t>spikes or sudden fluctuations in delinquency rates could indicate changes in repayment patterns or financial difficulties, as shown in the 2008 financial crisis chart. Additionally, calculate The liquidity of a credit card portfolio can be affected by delinquency rates. Higher default rates can lead to lower cash flows and higher credit risk, which can affect the liquidity of the lending institution as well as the  credit card market as a whole. Finally, regulators regularly monitor default rates to assess compliance with lending laws. Increased regulatory oversight and the need for additional regulatory measures could lead to higher delinquency rates (OpenAI, 2022).</w:t>
      </w:r>
      <w:r w:rsidR="006C7C1E">
        <w:t>).</w:t>
      </w:r>
    </w:p>
    <w:p w14:paraId="67DE05E0" w14:textId="7345BF39" w:rsidR="003B2692" w:rsidRDefault="003B2692" w:rsidP="006C7C1E">
      <w:pPr>
        <w:tabs>
          <w:tab w:val="left" w:pos="1898"/>
        </w:tabs>
        <w:snapToGrid w:val="0"/>
        <w:spacing w:after="0" w:line="240" w:lineRule="auto"/>
        <w:rPr>
          <w:rFonts w:cstheme="minorHAnsi"/>
          <w:sz w:val="20"/>
          <w:szCs w:val="20"/>
        </w:rPr>
      </w:pPr>
    </w:p>
    <w:p w14:paraId="76B18350" w14:textId="77777777" w:rsidR="005606AE" w:rsidRDefault="005606AE" w:rsidP="006C7C1E">
      <w:pPr>
        <w:tabs>
          <w:tab w:val="left" w:pos="1898"/>
        </w:tabs>
        <w:snapToGrid w:val="0"/>
        <w:spacing w:after="0" w:line="240" w:lineRule="auto"/>
        <w:rPr>
          <w:rFonts w:cstheme="minorHAnsi"/>
          <w:sz w:val="20"/>
          <w:szCs w:val="20"/>
        </w:rPr>
      </w:pPr>
    </w:p>
    <w:p w14:paraId="2348D80A" w14:textId="77777777" w:rsidR="005606AE" w:rsidRDefault="005606AE" w:rsidP="006C7C1E">
      <w:pPr>
        <w:tabs>
          <w:tab w:val="left" w:pos="1898"/>
        </w:tabs>
        <w:snapToGrid w:val="0"/>
        <w:spacing w:after="0" w:line="240" w:lineRule="auto"/>
        <w:rPr>
          <w:rFonts w:cstheme="minorHAnsi"/>
          <w:sz w:val="20"/>
          <w:szCs w:val="20"/>
        </w:rPr>
      </w:pPr>
    </w:p>
    <w:p w14:paraId="32F00F3E" w14:textId="77777777" w:rsidR="005606AE" w:rsidRDefault="005606AE" w:rsidP="006C7C1E">
      <w:pPr>
        <w:tabs>
          <w:tab w:val="left" w:pos="1898"/>
        </w:tabs>
        <w:snapToGrid w:val="0"/>
        <w:spacing w:after="0" w:line="240" w:lineRule="auto"/>
        <w:rPr>
          <w:rFonts w:cstheme="minorHAnsi"/>
          <w:sz w:val="20"/>
          <w:szCs w:val="20"/>
        </w:rPr>
      </w:pPr>
    </w:p>
    <w:p w14:paraId="26C7740D" w14:textId="77777777" w:rsidR="005606AE" w:rsidRDefault="005606AE" w:rsidP="006C7C1E">
      <w:pPr>
        <w:tabs>
          <w:tab w:val="left" w:pos="1898"/>
        </w:tabs>
        <w:snapToGrid w:val="0"/>
        <w:spacing w:after="0" w:line="240" w:lineRule="auto"/>
        <w:rPr>
          <w:rFonts w:cstheme="minorHAnsi"/>
          <w:sz w:val="20"/>
          <w:szCs w:val="20"/>
        </w:rPr>
      </w:pPr>
    </w:p>
    <w:p w14:paraId="6761668F" w14:textId="77777777" w:rsidR="0026742F" w:rsidRDefault="0026742F" w:rsidP="006C7C1E">
      <w:pPr>
        <w:tabs>
          <w:tab w:val="left" w:pos="1898"/>
        </w:tabs>
        <w:snapToGrid w:val="0"/>
        <w:spacing w:after="0" w:line="240" w:lineRule="auto"/>
        <w:rPr>
          <w:rFonts w:cstheme="minorHAnsi"/>
          <w:sz w:val="20"/>
          <w:szCs w:val="20"/>
        </w:rPr>
      </w:pPr>
    </w:p>
    <w:p w14:paraId="61113598" w14:textId="77777777" w:rsidR="005606AE" w:rsidRDefault="005606AE" w:rsidP="006C7C1E">
      <w:pPr>
        <w:tabs>
          <w:tab w:val="left" w:pos="1898"/>
        </w:tabs>
        <w:snapToGrid w:val="0"/>
        <w:spacing w:after="0" w:line="240" w:lineRule="auto"/>
        <w:rPr>
          <w:rFonts w:cstheme="minorHAnsi"/>
          <w:sz w:val="20"/>
          <w:szCs w:val="20"/>
        </w:rPr>
      </w:pPr>
    </w:p>
    <w:p w14:paraId="3A5E5F06" w14:textId="77777777" w:rsidR="005606AE" w:rsidRPr="005606AE" w:rsidRDefault="005606AE" w:rsidP="006C7C1E">
      <w:pPr>
        <w:tabs>
          <w:tab w:val="left" w:pos="1898"/>
        </w:tabs>
        <w:snapToGrid w:val="0"/>
        <w:spacing w:after="0" w:line="240" w:lineRule="auto"/>
        <w:rPr>
          <w:rFonts w:cstheme="minorHAnsi"/>
          <w:sz w:val="20"/>
          <w:szCs w:val="20"/>
        </w:rPr>
      </w:pPr>
    </w:p>
    <w:p w14:paraId="4B9443DB" w14:textId="77777777" w:rsidR="00D320FA" w:rsidRDefault="00D320FA" w:rsidP="00750815">
      <w:pPr>
        <w:snapToGrid w:val="0"/>
        <w:spacing w:after="0" w:line="240" w:lineRule="auto"/>
        <w:rPr>
          <w:rFonts w:cstheme="minorHAnsi"/>
          <w:sz w:val="20"/>
          <w:szCs w:val="20"/>
          <w:lang w:val="en-US"/>
        </w:rPr>
      </w:pPr>
    </w:p>
    <w:p w14:paraId="11FC0E77" w14:textId="621B01C5" w:rsidR="003B2692" w:rsidRPr="00D243BE" w:rsidRDefault="00B44FF7" w:rsidP="00D243BE">
      <w:pPr>
        <w:pStyle w:val="ListParagraph"/>
        <w:numPr>
          <w:ilvl w:val="1"/>
          <w:numId w:val="36"/>
        </w:numPr>
        <w:snapToGrid w:val="0"/>
        <w:spacing w:after="0" w:line="240" w:lineRule="auto"/>
        <w:rPr>
          <w:rFonts w:cstheme="minorHAnsi"/>
          <w:b/>
          <w:bCs/>
          <w:sz w:val="20"/>
          <w:szCs w:val="20"/>
          <w:lang w:val="en-US"/>
        </w:rPr>
      </w:pPr>
      <w:r w:rsidRPr="00D243BE">
        <w:rPr>
          <w:rFonts w:cstheme="minorHAnsi"/>
          <w:b/>
          <w:bCs/>
          <w:sz w:val="20"/>
          <w:szCs w:val="20"/>
          <w:lang w:val="en-US"/>
        </w:rPr>
        <w:lastRenderedPageBreak/>
        <w:t>Student:</w:t>
      </w:r>
      <w:r w:rsidRPr="00D243BE">
        <w:rPr>
          <w:rFonts w:cstheme="minorHAnsi"/>
          <w:b/>
          <w:bCs/>
          <w:sz w:val="20"/>
          <w:szCs w:val="20"/>
        </w:rPr>
        <w:t xml:space="preserve"> </w:t>
      </w:r>
      <w:r w:rsidRPr="00D243BE">
        <w:rPr>
          <w:rFonts w:cstheme="minorHAnsi"/>
          <w:b/>
          <w:bCs/>
          <w:sz w:val="20"/>
          <w:szCs w:val="20"/>
          <w:lang w:val="en-US"/>
        </w:rPr>
        <w:t>Oratile Personal unsecured loan at a floating rate (like a Car or Home Loan). Data insights</w:t>
      </w:r>
    </w:p>
    <w:p w14:paraId="24DA555C" w14:textId="77777777" w:rsidR="003B2692" w:rsidRDefault="003B2692" w:rsidP="00750815">
      <w:pPr>
        <w:snapToGrid w:val="0"/>
        <w:spacing w:after="0" w:line="240" w:lineRule="auto"/>
        <w:rPr>
          <w:rFonts w:cstheme="minorHAnsi"/>
          <w:sz w:val="20"/>
          <w:szCs w:val="20"/>
          <w:lang w:val="en-US"/>
        </w:rPr>
      </w:pPr>
    </w:p>
    <w:p w14:paraId="5BC6348D" w14:textId="0AC7EBD3" w:rsidR="00EC673A" w:rsidRDefault="00EC673A" w:rsidP="00EC673A">
      <w:pPr>
        <w:snapToGrid w:val="0"/>
        <w:spacing w:after="0" w:line="240" w:lineRule="auto"/>
      </w:pPr>
      <w:r>
        <w:t>For scenario 2, which involves lending money to an individual at a variable interest rate for a secured purchase, we considered additional data to address the challenges of leverage, nonlinearity, liquidity and regulation. Additional data considered are mortgage debt service payments as a percentage of disposable personal income. Previously collected data such as mortgage lending rates and housing indices such as the home price index are also used to help us assess these new challenges. All of this data is collected from the Federal Reserve Economic Data (FRED) website.</w:t>
      </w:r>
    </w:p>
    <w:p w14:paraId="5DDADCBD" w14:textId="2E3015A8" w:rsidR="00EC673A" w:rsidRDefault="00EC673A" w:rsidP="00EC673A">
      <w:pPr>
        <w:snapToGrid w:val="0"/>
        <w:spacing w:after="0" w:line="240" w:lineRule="auto"/>
      </w:pPr>
      <w:r>
        <w:t>Mortgage debt service payments as a percentage of disposable personal income (MDSP) is a ratio that measures the portion of a household's income used to pay off the mortgage. It is calculated by dividing the total required quarterly mortgage payments by the total quarterly personal disposable income (U.S. Bureau of Labour Statistics, 2023). MDSP provides insight into a borrower's ability to make mortgage payments on time and manage their debt. Higher debt service payments as a percentage of income may indicate greater financial hardship and potential default risk. This helps us assess leverage and make decisions regarding the borrower's ability to repay debt. The visualization shows that the index has fallen to its lowest level in recent years, which bodes well for borrowers' health. The slight increase over the previous year does not appear to be a cause for concern.</w:t>
      </w:r>
    </w:p>
    <w:p w14:paraId="30531E7F" w14:textId="2727C586" w:rsidR="00EC673A" w:rsidRDefault="00EC673A" w:rsidP="00EC673A">
      <w:pPr>
        <w:snapToGrid w:val="0"/>
        <w:spacing w:after="0" w:line="240" w:lineRule="auto"/>
      </w:pPr>
      <w:r>
        <w:t>Mortgage information for valuation shows  the loan amount compared to the estimated value of the home (U.S. Bureau of Labor Statistics, 2023). By assessing the borrower's equity position, it becomes easier to assess the leverage challenge. A lower LTV ratio also means  you will have more equity in your home and are less likely to fall into negative equity if home prices drop (Zillow, 2023). The visual manifestation of increasing loan-to-value ratios in recent years may be an indication of greater leverage and higher risk to us. This helps choose the best loan terms and minimize potential losses in case of default (OpenAI, 2022). For example, we may charge additional fees to individuals whose loan-to-value ratio exceeds a certain threshold.</w:t>
      </w:r>
    </w:p>
    <w:p w14:paraId="6709683C" w14:textId="6DF3900C" w:rsidR="00D320FA" w:rsidRDefault="00EC673A" w:rsidP="00EC673A">
      <w:pPr>
        <w:snapToGrid w:val="0"/>
        <w:spacing w:after="0" w:line="240" w:lineRule="auto"/>
      </w:pPr>
      <w:r>
        <w:t>The Home Price Index (HPI) is a measure of the average change in residential real estate prices over time. It can be calculated using different methods and data sources, depending on the country or region. In the United States, the HPI is a common measure of price fluctuations in single-family homes (</w:t>
      </w:r>
      <w:proofErr w:type="spellStart"/>
      <w:r>
        <w:t>Invetopedia</w:t>
      </w:r>
      <w:proofErr w:type="spellEnd"/>
      <w:r>
        <w:t xml:space="preserve">, 2023). By providing information about possible changes and fluctuations in the value of the underlying collateral, it helps assess the non-linear challenge. The house price index peaked just before the 2008 housing crisis, then experienced a decline and subsequent recovery, illustrating the non-linear </w:t>
      </w:r>
      <w:proofErr w:type="spellStart"/>
      <w:r>
        <w:t>behavior</w:t>
      </w:r>
      <w:proofErr w:type="spellEnd"/>
      <w:r>
        <w:t xml:space="preserve"> of the housing market. This emphasizes the importance of taking nonlinearity into account when determining the value of collateral and potential contingencies in mortgage financing. To make informed decisions about loan-to-value ratios, collateral requirements and risk levels, we can monitor real estate market developments. In addition, the real estate price index continues to increase, exceeding the previous peak in 2008, reflecting a relatively liquid real estate market and increasing real estate demand.</w:t>
      </w:r>
    </w:p>
    <w:p w14:paraId="5DAA60A0" w14:textId="77777777" w:rsidR="00EC673A" w:rsidRDefault="00EC673A" w:rsidP="00EC673A">
      <w:pPr>
        <w:snapToGrid w:val="0"/>
        <w:spacing w:after="0" w:line="240" w:lineRule="auto"/>
        <w:rPr>
          <w:rFonts w:cstheme="minorHAnsi"/>
          <w:sz w:val="20"/>
          <w:szCs w:val="20"/>
          <w:lang w:val="en-US"/>
        </w:rPr>
      </w:pPr>
    </w:p>
    <w:p w14:paraId="571912E8" w14:textId="77777777" w:rsidR="005606AE" w:rsidRDefault="005606AE" w:rsidP="00EC673A">
      <w:pPr>
        <w:snapToGrid w:val="0"/>
        <w:spacing w:after="0" w:line="240" w:lineRule="auto"/>
        <w:rPr>
          <w:rFonts w:cstheme="minorHAnsi"/>
          <w:sz w:val="20"/>
          <w:szCs w:val="20"/>
          <w:lang w:val="en-US"/>
        </w:rPr>
      </w:pPr>
    </w:p>
    <w:p w14:paraId="6112B030" w14:textId="77777777" w:rsidR="005606AE" w:rsidRDefault="005606AE" w:rsidP="00EC673A">
      <w:pPr>
        <w:snapToGrid w:val="0"/>
        <w:spacing w:after="0" w:line="240" w:lineRule="auto"/>
        <w:rPr>
          <w:rFonts w:cstheme="minorHAnsi"/>
          <w:sz w:val="20"/>
          <w:szCs w:val="20"/>
          <w:lang w:val="en-US"/>
        </w:rPr>
      </w:pPr>
    </w:p>
    <w:p w14:paraId="42E1F352" w14:textId="77777777" w:rsidR="005606AE" w:rsidRDefault="005606AE" w:rsidP="00EC673A">
      <w:pPr>
        <w:snapToGrid w:val="0"/>
        <w:spacing w:after="0" w:line="240" w:lineRule="auto"/>
        <w:rPr>
          <w:rFonts w:cstheme="minorHAnsi"/>
          <w:sz w:val="20"/>
          <w:szCs w:val="20"/>
          <w:lang w:val="en-US"/>
        </w:rPr>
      </w:pPr>
    </w:p>
    <w:p w14:paraId="503EA90A" w14:textId="77777777" w:rsidR="005606AE" w:rsidRDefault="005606AE" w:rsidP="00EC673A">
      <w:pPr>
        <w:snapToGrid w:val="0"/>
        <w:spacing w:after="0" w:line="240" w:lineRule="auto"/>
        <w:rPr>
          <w:rFonts w:cstheme="minorHAnsi"/>
          <w:sz w:val="20"/>
          <w:szCs w:val="20"/>
          <w:lang w:val="en-US"/>
        </w:rPr>
      </w:pPr>
    </w:p>
    <w:p w14:paraId="6A130A2E" w14:textId="77777777" w:rsidR="005606AE" w:rsidRDefault="005606AE" w:rsidP="00EC673A">
      <w:pPr>
        <w:snapToGrid w:val="0"/>
        <w:spacing w:after="0" w:line="240" w:lineRule="auto"/>
        <w:rPr>
          <w:rFonts w:cstheme="minorHAnsi"/>
          <w:sz w:val="20"/>
          <w:szCs w:val="20"/>
          <w:lang w:val="en-US"/>
        </w:rPr>
      </w:pPr>
    </w:p>
    <w:p w14:paraId="31156203" w14:textId="77777777" w:rsidR="005606AE" w:rsidRDefault="005606AE" w:rsidP="00EC673A">
      <w:pPr>
        <w:snapToGrid w:val="0"/>
        <w:spacing w:after="0" w:line="240" w:lineRule="auto"/>
        <w:rPr>
          <w:rFonts w:cstheme="minorHAnsi"/>
          <w:sz w:val="20"/>
          <w:szCs w:val="20"/>
          <w:lang w:val="en-US"/>
        </w:rPr>
      </w:pPr>
    </w:p>
    <w:p w14:paraId="442D8AB6" w14:textId="77777777" w:rsidR="005606AE" w:rsidRDefault="005606AE" w:rsidP="00EC673A">
      <w:pPr>
        <w:snapToGrid w:val="0"/>
        <w:spacing w:after="0" w:line="240" w:lineRule="auto"/>
        <w:rPr>
          <w:rFonts w:cstheme="minorHAnsi"/>
          <w:sz w:val="20"/>
          <w:szCs w:val="20"/>
          <w:lang w:val="en-US"/>
        </w:rPr>
      </w:pPr>
    </w:p>
    <w:p w14:paraId="0C9A27CE" w14:textId="77777777" w:rsidR="005606AE" w:rsidRDefault="005606AE" w:rsidP="00EC673A">
      <w:pPr>
        <w:snapToGrid w:val="0"/>
        <w:spacing w:after="0" w:line="240" w:lineRule="auto"/>
        <w:rPr>
          <w:rFonts w:cstheme="minorHAnsi"/>
          <w:sz w:val="20"/>
          <w:szCs w:val="20"/>
          <w:lang w:val="en-US"/>
        </w:rPr>
      </w:pPr>
    </w:p>
    <w:p w14:paraId="3F6C4C3A" w14:textId="77777777" w:rsidR="005606AE" w:rsidRDefault="005606AE" w:rsidP="00EC673A">
      <w:pPr>
        <w:snapToGrid w:val="0"/>
        <w:spacing w:after="0" w:line="240" w:lineRule="auto"/>
        <w:rPr>
          <w:rFonts w:cstheme="minorHAnsi"/>
          <w:sz w:val="20"/>
          <w:szCs w:val="20"/>
          <w:lang w:val="en-US"/>
        </w:rPr>
      </w:pPr>
    </w:p>
    <w:p w14:paraId="15585036" w14:textId="77777777" w:rsidR="005606AE" w:rsidRDefault="005606AE" w:rsidP="00EC673A">
      <w:pPr>
        <w:snapToGrid w:val="0"/>
        <w:spacing w:after="0" w:line="240" w:lineRule="auto"/>
        <w:rPr>
          <w:rFonts w:cstheme="minorHAnsi"/>
          <w:sz w:val="20"/>
          <w:szCs w:val="20"/>
          <w:lang w:val="en-US"/>
        </w:rPr>
      </w:pPr>
    </w:p>
    <w:p w14:paraId="2FD03ABE" w14:textId="77777777" w:rsidR="005606AE" w:rsidRDefault="005606AE" w:rsidP="00EC673A">
      <w:pPr>
        <w:snapToGrid w:val="0"/>
        <w:spacing w:after="0" w:line="240" w:lineRule="auto"/>
        <w:rPr>
          <w:rFonts w:cstheme="minorHAnsi"/>
          <w:sz w:val="20"/>
          <w:szCs w:val="20"/>
          <w:lang w:val="en-US"/>
        </w:rPr>
      </w:pPr>
    </w:p>
    <w:p w14:paraId="23FA62FF" w14:textId="77777777" w:rsidR="005606AE" w:rsidRDefault="005606AE" w:rsidP="00EC673A">
      <w:pPr>
        <w:snapToGrid w:val="0"/>
        <w:spacing w:after="0" w:line="240" w:lineRule="auto"/>
        <w:rPr>
          <w:rFonts w:cstheme="minorHAnsi"/>
          <w:sz w:val="20"/>
          <w:szCs w:val="20"/>
          <w:lang w:val="en-US"/>
        </w:rPr>
      </w:pPr>
    </w:p>
    <w:p w14:paraId="47A9AB41" w14:textId="77777777" w:rsidR="005606AE" w:rsidRDefault="005606AE" w:rsidP="00EC673A">
      <w:pPr>
        <w:snapToGrid w:val="0"/>
        <w:spacing w:after="0" w:line="240" w:lineRule="auto"/>
        <w:rPr>
          <w:rFonts w:cstheme="minorHAnsi"/>
          <w:sz w:val="20"/>
          <w:szCs w:val="20"/>
          <w:lang w:val="en-US"/>
        </w:rPr>
      </w:pPr>
    </w:p>
    <w:p w14:paraId="6744E80E" w14:textId="77777777" w:rsidR="005606AE" w:rsidRDefault="005606AE" w:rsidP="00EC673A">
      <w:pPr>
        <w:snapToGrid w:val="0"/>
        <w:spacing w:after="0" w:line="240" w:lineRule="auto"/>
        <w:rPr>
          <w:rFonts w:cstheme="minorHAnsi"/>
          <w:sz w:val="20"/>
          <w:szCs w:val="20"/>
          <w:lang w:val="en-US"/>
        </w:rPr>
      </w:pPr>
    </w:p>
    <w:p w14:paraId="369888FE" w14:textId="77777777" w:rsidR="005606AE" w:rsidRDefault="005606AE" w:rsidP="00EC673A">
      <w:pPr>
        <w:snapToGrid w:val="0"/>
        <w:spacing w:after="0" w:line="240" w:lineRule="auto"/>
        <w:rPr>
          <w:rFonts w:cstheme="minorHAnsi"/>
          <w:sz w:val="20"/>
          <w:szCs w:val="20"/>
          <w:lang w:val="en-US"/>
        </w:rPr>
      </w:pPr>
    </w:p>
    <w:p w14:paraId="7A241A7C" w14:textId="77777777" w:rsidR="005606AE" w:rsidRDefault="005606AE" w:rsidP="00EC673A">
      <w:pPr>
        <w:snapToGrid w:val="0"/>
        <w:spacing w:after="0" w:line="240" w:lineRule="auto"/>
        <w:rPr>
          <w:rFonts w:cstheme="minorHAnsi"/>
          <w:sz w:val="20"/>
          <w:szCs w:val="20"/>
          <w:lang w:val="en-US"/>
        </w:rPr>
      </w:pPr>
    </w:p>
    <w:p w14:paraId="17FBC23A" w14:textId="77777777" w:rsidR="005606AE" w:rsidRDefault="005606AE" w:rsidP="00EC673A">
      <w:pPr>
        <w:snapToGrid w:val="0"/>
        <w:spacing w:after="0" w:line="240" w:lineRule="auto"/>
        <w:rPr>
          <w:rFonts w:cstheme="minorHAnsi"/>
          <w:sz w:val="20"/>
          <w:szCs w:val="20"/>
          <w:lang w:val="en-US"/>
        </w:rPr>
      </w:pPr>
    </w:p>
    <w:p w14:paraId="0F905371" w14:textId="77777777" w:rsidR="005606AE" w:rsidRDefault="005606AE" w:rsidP="00EC673A">
      <w:pPr>
        <w:snapToGrid w:val="0"/>
        <w:spacing w:after="0" w:line="240" w:lineRule="auto"/>
        <w:rPr>
          <w:rFonts w:cstheme="minorHAnsi"/>
          <w:sz w:val="20"/>
          <w:szCs w:val="20"/>
          <w:lang w:val="en-US"/>
        </w:rPr>
      </w:pPr>
    </w:p>
    <w:p w14:paraId="0C0AC2EB" w14:textId="77777777" w:rsidR="005606AE" w:rsidRDefault="005606AE" w:rsidP="00EC673A">
      <w:pPr>
        <w:snapToGrid w:val="0"/>
        <w:spacing w:after="0" w:line="240" w:lineRule="auto"/>
        <w:rPr>
          <w:rFonts w:cstheme="minorHAnsi"/>
          <w:sz w:val="20"/>
          <w:szCs w:val="20"/>
          <w:lang w:val="en-US"/>
        </w:rPr>
      </w:pPr>
    </w:p>
    <w:p w14:paraId="3D92F845" w14:textId="77777777" w:rsidR="005606AE" w:rsidRDefault="005606AE" w:rsidP="00EC673A">
      <w:pPr>
        <w:snapToGrid w:val="0"/>
        <w:spacing w:after="0" w:line="240" w:lineRule="auto"/>
        <w:rPr>
          <w:rFonts w:cstheme="minorHAnsi"/>
          <w:sz w:val="20"/>
          <w:szCs w:val="20"/>
          <w:lang w:val="en-US"/>
        </w:rPr>
      </w:pPr>
    </w:p>
    <w:p w14:paraId="444FE86E" w14:textId="77777777" w:rsidR="005606AE" w:rsidRDefault="005606AE" w:rsidP="00EC673A">
      <w:pPr>
        <w:snapToGrid w:val="0"/>
        <w:spacing w:after="0" w:line="240" w:lineRule="auto"/>
        <w:rPr>
          <w:rFonts w:cstheme="minorHAnsi"/>
          <w:sz w:val="20"/>
          <w:szCs w:val="20"/>
          <w:lang w:val="en-US"/>
        </w:rPr>
      </w:pPr>
    </w:p>
    <w:p w14:paraId="06AD87B6" w14:textId="77777777" w:rsidR="005606AE" w:rsidRDefault="005606AE" w:rsidP="00EC673A">
      <w:pPr>
        <w:snapToGrid w:val="0"/>
        <w:spacing w:after="0" w:line="240" w:lineRule="auto"/>
        <w:rPr>
          <w:rFonts w:cstheme="minorHAnsi"/>
          <w:sz w:val="20"/>
          <w:szCs w:val="20"/>
          <w:lang w:val="en-US"/>
        </w:rPr>
      </w:pPr>
    </w:p>
    <w:p w14:paraId="7BEDA85C" w14:textId="77777777" w:rsidR="005606AE" w:rsidRPr="00105685" w:rsidRDefault="005606AE" w:rsidP="00EC673A">
      <w:pPr>
        <w:snapToGrid w:val="0"/>
        <w:spacing w:after="0" w:line="240" w:lineRule="auto"/>
        <w:rPr>
          <w:rFonts w:cstheme="minorHAnsi"/>
          <w:sz w:val="20"/>
          <w:szCs w:val="20"/>
          <w:lang w:val="en-US"/>
        </w:rPr>
      </w:pPr>
    </w:p>
    <w:p w14:paraId="6EF0C061" w14:textId="77777777" w:rsidR="003B2692" w:rsidRDefault="00B44FF7" w:rsidP="00D243BE">
      <w:pPr>
        <w:pStyle w:val="ListParagraph"/>
        <w:numPr>
          <w:ilvl w:val="1"/>
          <w:numId w:val="36"/>
        </w:numPr>
        <w:snapToGrid w:val="0"/>
        <w:spacing w:after="0" w:line="240" w:lineRule="auto"/>
        <w:contextualSpacing w:val="0"/>
        <w:rPr>
          <w:rFonts w:cstheme="minorHAnsi"/>
          <w:b/>
          <w:bCs/>
          <w:sz w:val="20"/>
          <w:szCs w:val="20"/>
          <w:lang w:val="en-US"/>
        </w:rPr>
      </w:pPr>
      <w:r w:rsidRPr="00FF47C5">
        <w:rPr>
          <w:rFonts w:cstheme="minorHAnsi"/>
          <w:b/>
          <w:bCs/>
          <w:sz w:val="20"/>
          <w:szCs w:val="20"/>
          <w:lang w:val="en-US"/>
        </w:rPr>
        <w:lastRenderedPageBreak/>
        <w:t>Student:</w:t>
      </w:r>
      <w:r w:rsidRPr="00FF47C5">
        <w:rPr>
          <w:rFonts w:cstheme="minorHAnsi"/>
          <w:b/>
          <w:bCs/>
          <w:sz w:val="20"/>
          <w:szCs w:val="20"/>
        </w:rPr>
        <w:t xml:space="preserve"> </w:t>
      </w:r>
      <w:r w:rsidRPr="00FF47C5">
        <w:rPr>
          <w:rFonts w:cstheme="minorHAnsi"/>
          <w:b/>
          <w:bCs/>
          <w:sz w:val="20"/>
          <w:szCs w:val="20"/>
          <w:lang w:val="en-US"/>
        </w:rPr>
        <w:t>Ebenezer - Construction Business loan at fixed rate Data insights</w:t>
      </w:r>
    </w:p>
    <w:p w14:paraId="4501F939" w14:textId="77777777" w:rsidR="00A30EA3" w:rsidRDefault="00A30EA3" w:rsidP="00750815">
      <w:pPr>
        <w:pStyle w:val="ListParagraph"/>
        <w:snapToGrid w:val="0"/>
        <w:spacing w:after="0" w:line="240" w:lineRule="auto"/>
        <w:ind w:left="936"/>
        <w:contextualSpacing w:val="0"/>
        <w:rPr>
          <w:rFonts w:cstheme="minorHAnsi"/>
          <w:b/>
          <w:bCs/>
          <w:sz w:val="20"/>
          <w:szCs w:val="20"/>
          <w:lang w:val="en-US"/>
        </w:rPr>
      </w:pPr>
    </w:p>
    <w:p w14:paraId="154528D1" w14:textId="77777777" w:rsidR="00F617BE" w:rsidRPr="00B2714C" w:rsidRDefault="00F617BE" w:rsidP="00F617BE">
      <w:pPr>
        <w:pStyle w:val="ListParagraph"/>
        <w:snapToGrid w:val="0"/>
        <w:spacing w:after="0" w:line="240" w:lineRule="auto"/>
        <w:ind w:left="936"/>
        <w:rPr>
          <w:rFonts w:cstheme="minorHAnsi"/>
          <w:sz w:val="20"/>
          <w:szCs w:val="20"/>
          <w:lang w:val="en-US"/>
        </w:rPr>
      </w:pPr>
      <w:r w:rsidRPr="00B2714C">
        <w:rPr>
          <w:rFonts w:cstheme="minorHAnsi"/>
          <w:b/>
          <w:bCs/>
          <w:sz w:val="20"/>
          <w:szCs w:val="20"/>
          <w:lang w:val="en-US"/>
        </w:rPr>
        <w:t>Step 1</w:t>
      </w:r>
      <w:r w:rsidRPr="00B2714C">
        <w:rPr>
          <w:rFonts w:cstheme="minorHAnsi"/>
          <w:sz w:val="20"/>
          <w:szCs w:val="20"/>
          <w:lang w:val="en-US"/>
        </w:rPr>
        <w:t xml:space="preserve"> - Amplifying Risk Factors (Leverage &amp; Non-linearity):</w:t>
      </w:r>
    </w:p>
    <w:p w14:paraId="193B8829" w14:textId="77777777" w:rsidR="00F617BE" w:rsidRPr="00B2714C" w:rsidRDefault="00F617BE" w:rsidP="00F617BE">
      <w:pPr>
        <w:pStyle w:val="ListParagraph"/>
        <w:snapToGrid w:val="0"/>
        <w:spacing w:after="0" w:line="240" w:lineRule="auto"/>
        <w:ind w:left="936"/>
        <w:rPr>
          <w:rFonts w:cstheme="minorHAnsi"/>
          <w:sz w:val="20"/>
          <w:szCs w:val="20"/>
          <w:lang w:val="en-US"/>
        </w:rPr>
      </w:pPr>
      <w:r w:rsidRPr="00B2714C">
        <w:rPr>
          <w:rFonts w:cstheme="minorHAnsi"/>
          <w:sz w:val="20"/>
          <w:szCs w:val="20"/>
          <w:lang w:val="en-US"/>
        </w:rPr>
        <w:t>Leverage Challenges: In GWP1, Scenario 3, we gathered data that shed light on the challenges associated with leverage in the context of commercial real estate construction loans. This data allowed us to understand the patterns in loan volumes, helping lenders assess the size and extent of construction projects. This is crucial for evaluating how borrowers leverage their funding for these projects.</w:t>
      </w:r>
    </w:p>
    <w:p w14:paraId="1BE34325" w14:textId="77777777" w:rsidR="00F617BE" w:rsidRPr="00B2714C" w:rsidRDefault="00F617BE" w:rsidP="00F617BE">
      <w:pPr>
        <w:pStyle w:val="ListParagraph"/>
        <w:snapToGrid w:val="0"/>
        <w:spacing w:after="0" w:line="240" w:lineRule="auto"/>
        <w:ind w:left="936"/>
        <w:rPr>
          <w:rFonts w:cstheme="minorHAnsi"/>
          <w:sz w:val="20"/>
          <w:szCs w:val="20"/>
          <w:lang w:val="en-US"/>
        </w:rPr>
      </w:pPr>
    </w:p>
    <w:p w14:paraId="7893A965" w14:textId="77777777" w:rsidR="00F617BE" w:rsidRPr="00B2714C" w:rsidRDefault="00F617BE" w:rsidP="00F617BE">
      <w:pPr>
        <w:pStyle w:val="ListParagraph"/>
        <w:snapToGrid w:val="0"/>
        <w:spacing w:after="0" w:line="240" w:lineRule="auto"/>
        <w:ind w:left="936"/>
        <w:rPr>
          <w:rFonts w:cstheme="minorHAnsi"/>
          <w:sz w:val="20"/>
          <w:szCs w:val="20"/>
          <w:lang w:val="en-US"/>
        </w:rPr>
      </w:pPr>
      <w:r w:rsidRPr="00B2714C">
        <w:rPr>
          <w:rFonts w:cstheme="minorHAnsi"/>
          <w:sz w:val="20"/>
          <w:szCs w:val="20"/>
          <w:lang w:val="en-US"/>
        </w:rPr>
        <w:t>Non-linearity Challenges: The data we collected in GWP1 enabled us to identify non-linearities within the construction lending market. Construction projects involve various phases with differing spending patterns, and the insights we gained from construction loan trends have allowed lenders to anticipate how loans may behave under different economic conditions.</w:t>
      </w:r>
    </w:p>
    <w:p w14:paraId="53D6886B" w14:textId="77777777" w:rsidR="00F617BE" w:rsidRPr="00B2714C" w:rsidRDefault="00F617BE" w:rsidP="00F617BE">
      <w:pPr>
        <w:pStyle w:val="ListParagraph"/>
        <w:snapToGrid w:val="0"/>
        <w:spacing w:after="0" w:line="240" w:lineRule="auto"/>
        <w:ind w:left="936"/>
        <w:rPr>
          <w:rFonts w:cstheme="minorHAnsi"/>
          <w:sz w:val="20"/>
          <w:szCs w:val="20"/>
          <w:lang w:val="en-US"/>
        </w:rPr>
      </w:pPr>
    </w:p>
    <w:p w14:paraId="683C4D1B" w14:textId="77777777" w:rsidR="00F617BE" w:rsidRPr="00B2714C" w:rsidRDefault="00F617BE" w:rsidP="00F617BE">
      <w:pPr>
        <w:pStyle w:val="ListParagraph"/>
        <w:snapToGrid w:val="0"/>
        <w:spacing w:after="0" w:line="240" w:lineRule="auto"/>
        <w:ind w:left="936"/>
        <w:rPr>
          <w:rFonts w:cstheme="minorHAnsi"/>
          <w:sz w:val="20"/>
          <w:szCs w:val="20"/>
          <w:lang w:val="en-US"/>
        </w:rPr>
      </w:pPr>
      <w:r w:rsidRPr="00B2714C">
        <w:rPr>
          <w:rFonts w:cstheme="minorHAnsi"/>
          <w:b/>
          <w:bCs/>
          <w:sz w:val="20"/>
          <w:szCs w:val="20"/>
          <w:lang w:val="en-US"/>
        </w:rPr>
        <w:t>Step 2</w:t>
      </w:r>
      <w:r w:rsidRPr="00B2714C">
        <w:rPr>
          <w:rFonts w:cstheme="minorHAnsi"/>
          <w:sz w:val="20"/>
          <w:szCs w:val="20"/>
          <w:lang w:val="en-US"/>
        </w:rPr>
        <w:t xml:space="preserve"> - Frictional Risk Factors (Liquidity &amp; Regulation):</w:t>
      </w:r>
    </w:p>
    <w:p w14:paraId="6C66F5A6" w14:textId="77777777" w:rsidR="00F617BE" w:rsidRPr="00B2714C" w:rsidRDefault="00F617BE" w:rsidP="00F617BE">
      <w:pPr>
        <w:pStyle w:val="ListParagraph"/>
        <w:snapToGrid w:val="0"/>
        <w:spacing w:after="0" w:line="240" w:lineRule="auto"/>
        <w:ind w:left="936"/>
        <w:rPr>
          <w:rFonts w:cstheme="minorHAnsi"/>
          <w:sz w:val="20"/>
          <w:szCs w:val="20"/>
          <w:lang w:val="en-US"/>
        </w:rPr>
      </w:pPr>
      <w:r w:rsidRPr="00B2714C">
        <w:rPr>
          <w:rFonts w:cstheme="minorHAnsi"/>
          <w:sz w:val="20"/>
          <w:szCs w:val="20"/>
          <w:lang w:val="en-US"/>
        </w:rPr>
        <w:t>Liquidity Challenges: Insights from GWP1 provided lenders with valuable information regarding liquidity challenges in the construction lending market. By monitoring trends in loan volumes, lenders can gauge the overall health of the market and make lending decisions based on market liquidity.</w:t>
      </w:r>
    </w:p>
    <w:p w14:paraId="44EAD046" w14:textId="77777777" w:rsidR="00F617BE" w:rsidRPr="00B2714C" w:rsidRDefault="00F617BE" w:rsidP="00F617BE">
      <w:pPr>
        <w:pStyle w:val="ListParagraph"/>
        <w:snapToGrid w:val="0"/>
        <w:spacing w:after="0" w:line="240" w:lineRule="auto"/>
        <w:ind w:left="936"/>
        <w:rPr>
          <w:rFonts w:cstheme="minorHAnsi"/>
          <w:sz w:val="20"/>
          <w:szCs w:val="20"/>
          <w:lang w:val="en-US"/>
        </w:rPr>
      </w:pPr>
    </w:p>
    <w:p w14:paraId="7F44E7B7" w14:textId="77777777" w:rsidR="00F617BE" w:rsidRPr="00B2714C" w:rsidRDefault="00F617BE" w:rsidP="00F617BE">
      <w:pPr>
        <w:pStyle w:val="ListParagraph"/>
        <w:snapToGrid w:val="0"/>
        <w:spacing w:after="0" w:line="240" w:lineRule="auto"/>
        <w:ind w:left="936"/>
        <w:rPr>
          <w:rFonts w:cstheme="minorHAnsi"/>
          <w:sz w:val="20"/>
          <w:szCs w:val="20"/>
          <w:lang w:val="en-US"/>
        </w:rPr>
      </w:pPr>
      <w:r w:rsidRPr="00B2714C">
        <w:rPr>
          <w:rFonts w:cstheme="minorHAnsi"/>
          <w:sz w:val="20"/>
          <w:szCs w:val="20"/>
          <w:lang w:val="en-US"/>
        </w:rPr>
        <w:t>Regulation Challenges: GWP1 insights also helped us address regulation challenges. Construction projects are subject to a web of regulations, and our understanding of how loan demand correlates with external economic factors has given lenders insights into potential regulatory impacts on construction loan demand.</w:t>
      </w:r>
    </w:p>
    <w:p w14:paraId="117A52F7" w14:textId="77777777" w:rsidR="00F617BE" w:rsidRPr="00B2714C" w:rsidRDefault="00F617BE" w:rsidP="00F617BE">
      <w:pPr>
        <w:pStyle w:val="ListParagraph"/>
        <w:snapToGrid w:val="0"/>
        <w:spacing w:after="0" w:line="240" w:lineRule="auto"/>
        <w:ind w:left="936"/>
        <w:rPr>
          <w:rFonts w:cstheme="minorHAnsi"/>
          <w:sz w:val="20"/>
          <w:szCs w:val="20"/>
          <w:lang w:val="en-US"/>
        </w:rPr>
      </w:pPr>
    </w:p>
    <w:p w14:paraId="1CCD8E65" w14:textId="77777777" w:rsidR="00F617BE" w:rsidRPr="00B2714C" w:rsidRDefault="00F617BE" w:rsidP="00F617BE">
      <w:pPr>
        <w:pStyle w:val="ListParagraph"/>
        <w:snapToGrid w:val="0"/>
        <w:spacing w:after="0" w:line="240" w:lineRule="auto"/>
        <w:ind w:left="936"/>
        <w:rPr>
          <w:rFonts w:cstheme="minorHAnsi"/>
          <w:sz w:val="20"/>
          <w:szCs w:val="20"/>
          <w:lang w:val="en-US"/>
        </w:rPr>
      </w:pPr>
      <w:r w:rsidRPr="00B2714C">
        <w:rPr>
          <w:rFonts w:cstheme="minorHAnsi"/>
          <w:sz w:val="20"/>
          <w:szCs w:val="20"/>
          <w:lang w:val="en-US"/>
        </w:rPr>
        <w:t>GWP2 - Scenario 3 Findings (Construction Loan Analysis):</w:t>
      </w:r>
    </w:p>
    <w:p w14:paraId="14DC892B" w14:textId="77777777" w:rsidR="00F617BE" w:rsidRPr="00B2714C" w:rsidRDefault="00F617BE" w:rsidP="00F617BE">
      <w:pPr>
        <w:pStyle w:val="ListParagraph"/>
        <w:snapToGrid w:val="0"/>
        <w:spacing w:after="0" w:line="240" w:lineRule="auto"/>
        <w:ind w:left="936"/>
        <w:rPr>
          <w:rFonts w:cstheme="minorHAnsi"/>
          <w:sz w:val="20"/>
          <w:szCs w:val="20"/>
          <w:lang w:val="en-US"/>
        </w:rPr>
      </w:pPr>
      <w:r w:rsidRPr="00B2714C">
        <w:rPr>
          <w:rFonts w:cstheme="minorHAnsi"/>
          <w:sz w:val="20"/>
          <w:szCs w:val="20"/>
          <w:lang w:val="en-US"/>
        </w:rPr>
        <w:t>Addressing Step 1 Challenges - Amplifying Risk Factors (Leverage &amp; Non-linearity):</w:t>
      </w:r>
    </w:p>
    <w:p w14:paraId="6B86ED3E" w14:textId="77777777" w:rsidR="00F617BE" w:rsidRPr="00B2714C" w:rsidRDefault="00F617BE" w:rsidP="00F617BE">
      <w:pPr>
        <w:pStyle w:val="ListParagraph"/>
        <w:snapToGrid w:val="0"/>
        <w:spacing w:after="0" w:line="240" w:lineRule="auto"/>
        <w:ind w:left="936"/>
        <w:rPr>
          <w:rFonts w:cstheme="minorHAnsi"/>
          <w:sz w:val="20"/>
          <w:szCs w:val="20"/>
          <w:lang w:val="en-US"/>
        </w:rPr>
      </w:pPr>
      <w:r w:rsidRPr="00B2714C">
        <w:rPr>
          <w:rFonts w:cstheme="minorHAnsi"/>
          <w:sz w:val="20"/>
          <w:szCs w:val="20"/>
          <w:lang w:val="en-US"/>
        </w:rPr>
        <w:t>Data on "Total Construction Spending" (TTLCONS): The TTLCONS data enhances our comprehension of leverage challenges linked to construction loans. By analyzing trends in construction spending, we gain insights into the scale and scope of construction projects. This, in turn, aids in assessing borrower leverage more effectively.</w:t>
      </w:r>
    </w:p>
    <w:p w14:paraId="32484D53" w14:textId="77777777" w:rsidR="00F617BE" w:rsidRPr="00B2714C" w:rsidRDefault="00F617BE" w:rsidP="00F617BE">
      <w:pPr>
        <w:pStyle w:val="ListParagraph"/>
        <w:snapToGrid w:val="0"/>
        <w:spacing w:after="0" w:line="240" w:lineRule="auto"/>
        <w:ind w:left="936"/>
        <w:rPr>
          <w:rFonts w:cstheme="minorHAnsi"/>
          <w:sz w:val="20"/>
          <w:szCs w:val="20"/>
          <w:lang w:val="en-US"/>
        </w:rPr>
      </w:pPr>
    </w:p>
    <w:p w14:paraId="1ACB2EEA" w14:textId="77777777" w:rsidR="00F617BE" w:rsidRPr="00B2714C" w:rsidRDefault="00F617BE" w:rsidP="00F617BE">
      <w:pPr>
        <w:pStyle w:val="ListParagraph"/>
        <w:snapToGrid w:val="0"/>
        <w:spacing w:after="0" w:line="240" w:lineRule="auto"/>
        <w:ind w:left="936"/>
        <w:rPr>
          <w:rFonts w:cstheme="minorHAnsi"/>
          <w:sz w:val="20"/>
          <w:szCs w:val="20"/>
          <w:lang w:val="en-US"/>
        </w:rPr>
      </w:pPr>
      <w:r w:rsidRPr="00B2714C">
        <w:rPr>
          <w:rFonts w:cstheme="minorHAnsi"/>
          <w:sz w:val="20"/>
          <w:szCs w:val="20"/>
          <w:lang w:val="en-US"/>
        </w:rPr>
        <w:t>Addressing Step 2 Challenges - Frictional Risk Factors (Liquidity &amp; Regulation):</w:t>
      </w:r>
    </w:p>
    <w:p w14:paraId="7FD37E9A" w14:textId="77777777" w:rsidR="00F617BE" w:rsidRPr="00B2714C" w:rsidRDefault="00F617BE" w:rsidP="00F617BE">
      <w:pPr>
        <w:pStyle w:val="ListParagraph"/>
        <w:snapToGrid w:val="0"/>
        <w:spacing w:after="0" w:line="240" w:lineRule="auto"/>
        <w:ind w:left="936"/>
        <w:rPr>
          <w:rFonts w:cstheme="minorHAnsi"/>
          <w:sz w:val="20"/>
          <w:szCs w:val="20"/>
          <w:lang w:val="en-US"/>
        </w:rPr>
      </w:pPr>
      <w:r w:rsidRPr="00B2714C">
        <w:rPr>
          <w:rFonts w:cstheme="minorHAnsi"/>
          <w:sz w:val="20"/>
          <w:szCs w:val="20"/>
          <w:lang w:val="en-US"/>
        </w:rPr>
        <w:t>The "Total Construction Spending" data also assists in tackling frictional risk factors:</w:t>
      </w:r>
    </w:p>
    <w:p w14:paraId="6FACD19A" w14:textId="77777777" w:rsidR="00F617BE" w:rsidRPr="00B2714C" w:rsidRDefault="00F617BE" w:rsidP="00F617BE">
      <w:pPr>
        <w:pStyle w:val="ListParagraph"/>
        <w:snapToGrid w:val="0"/>
        <w:spacing w:after="0" w:line="240" w:lineRule="auto"/>
        <w:ind w:left="936"/>
        <w:rPr>
          <w:rFonts w:cstheme="minorHAnsi"/>
          <w:sz w:val="20"/>
          <w:szCs w:val="20"/>
          <w:lang w:val="en-US"/>
        </w:rPr>
      </w:pPr>
      <w:r w:rsidRPr="00B2714C">
        <w:rPr>
          <w:rFonts w:cstheme="minorHAnsi"/>
          <w:sz w:val="20"/>
          <w:szCs w:val="20"/>
          <w:lang w:val="en-US"/>
        </w:rPr>
        <w:t xml:space="preserve">  Liquidity Challenges: Lenders can utilize TTLCONS data to evaluate the liquidity of the construction industry. Consistently high construction spending levels indicate a liquid market, while fluctuations may signal liquidity challenges.</w:t>
      </w:r>
    </w:p>
    <w:p w14:paraId="53F2044B" w14:textId="77777777" w:rsidR="00F617BE" w:rsidRPr="00B2714C" w:rsidRDefault="00F617BE" w:rsidP="00F617BE">
      <w:pPr>
        <w:pStyle w:val="ListParagraph"/>
        <w:snapToGrid w:val="0"/>
        <w:spacing w:after="0" w:line="240" w:lineRule="auto"/>
        <w:ind w:left="936"/>
        <w:rPr>
          <w:rFonts w:cstheme="minorHAnsi"/>
          <w:sz w:val="20"/>
          <w:szCs w:val="20"/>
          <w:lang w:val="en-US"/>
        </w:rPr>
      </w:pPr>
      <w:r w:rsidRPr="00B2714C">
        <w:rPr>
          <w:rFonts w:cstheme="minorHAnsi"/>
          <w:sz w:val="20"/>
          <w:szCs w:val="20"/>
          <w:lang w:val="en-US"/>
        </w:rPr>
        <w:t>Regulation Challenges: Understanding trends in construction spending offers insights into how the industry responds to regulatory changes. For instance, a decline in construction spending could indicate regulatory issues affecting project timelines.</w:t>
      </w:r>
    </w:p>
    <w:p w14:paraId="069B9B20" w14:textId="77777777" w:rsidR="00F617BE" w:rsidRPr="00B2714C" w:rsidRDefault="00F617BE" w:rsidP="00F617BE">
      <w:pPr>
        <w:pStyle w:val="ListParagraph"/>
        <w:snapToGrid w:val="0"/>
        <w:spacing w:after="0" w:line="240" w:lineRule="auto"/>
        <w:ind w:left="936"/>
        <w:rPr>
          <w:rFonts w:cstheme="minorHAnsi"/>
          <w:sz w:val="20"/>
          <w:szCs w:val="20"/>
          <w:lang w:val="en-US"/>
        </w:rPr>
      </w:pPr>
    </w:p>
    <w:p w14:paraId="1A9AC0FE" w14:textId="77777777" w:rsidR="00F617BE" w:rsidRPr="00B2714C" w:rsidRDefault="00F617BE" w:rsidP="00F617BE">
      <w:pPr>
        <w:pStyle w:val="ListParagraph"/>
        <w:snapToGrid w:val="0"/>
        <w:spacing w:after="0" w:line="240" w:lineRule="auto"/>
        <w:ind w:left="936"/>
        <w:rPr>
          <w:rFonts w:cstheme="minorHAnsi"/>
          <w:sz w:val="20"/>
          <w:szCs w:val="20"/>
          <w:lang w:val="en-US"/>
        </w:rPr>
      </w:pPr>
      <w:r w:rsidRPr="00B2714C">
        <w:rPr>
          <w:rFonts w:cstheme="minorHAnsi"/>
          <w:sz w:val="20"/>
          <w:szCs w:val="20"/>
          <w:lang w:val="en-US"/>
        </w:rPr>
        <w:t>How Cumulative Insights Aid in Addressing Challenges:</w:t>
      </w:r>
    </w:p>
    <w:p w14:paraId="3DEA83C0" w14:textId="77777777" w:rsidR="00F617BE" w:rsidRPr="00B2714C" w:rsidRDefault="00F617BE" w:rsidP="00F617BE">
      <w:pPr>
        <w:pStyle w:val="ListParagraph"/>
        <w:snapToGrid w:val="0"/>
        <w:spacing w:after="0" w:line="240" w:lineRule="auto"/>
        <w:ind w:left="936"/>
        <w:rPr>
          <w:rFonts w:cstheme="minorHAnsi"/>
          <w:sz w:val="20"/>
          <w:szCs w:val="20"/>
          <w:lang w:val="en-US"/>
        </w:rPr>
      </w:pPr>
      <w:r w:rsidRPr="00B2714C">
        <w:rPr>
          <w:rFonts w:cstheme="minorHAnsi"/>
          <w:sz w:val="20"/>
          <w:szCs w:val="20"/>
          <w:lang w:val="en-US"/>
        </w:rPr>
        <w:t>The synthesis of insights from both GWP1 and GWP2 equips lenders with a holistic grasp of construction loan risks and challenges. This comprehensive understanding allows lenders to adapt their lending strategies based on historical construction loan trends, effectively manage risks related to loan volatility, and evaluate the impact of external economic factors on loan demand and performance.</w:t>
      </w:r>
    </w:p>
    <w:p w14:paraId="68CD2E6B" w14:textId="77777777" w:rsidR="00F617BE" w:rsidRPr="00B2714C" w:rsidRDefault="00F617BE" w:rsidP="00F617BE">
      <w:pPr>
        <w:pStyle w:val="ListParagraph"/>
        <w:snapToGrid w:val="0"/>
        <w:spacing w:after="0" w:line="240" w:lineRule="auto"/>
        <w:ind w:left="936"/>
        <w:rPr>
          <w:rFonts w:cstheme="minorHAnsi"/>
          <w:sz w:val="20"/>
          <w:szCs w:val="20"/>
          <w:lang w:val="en-US"/>
        </w:rPr>
      </w:pPr>
    </w:p>
    <w:p w14:paraId="0F6969BF" w14:textId="30FB7323" w:rsidR="00750815" w:rsidRPr="00F617BE" w:rsidRDefault="00F617BE" w:rsidP="00F617BE">
      <w:pPr>
        <w:pStyle w:val="ListParagraph"/>
        <w:snapToGrid w:val="0"/>
        <w:spacing w:after="0" w:line="240" w:lineRule="auto"/>
        <w:ind w:left="936"/>
        <w:contextualSpacing w:val="0"/>
        <w:rPr>
          <w:rFonts w:cstheme="minorHAnsi"/>
          <w:b/>
          <w:bCs/>
          <w:sz w:val="20"/>
          <w:szCs w:val="20"/>
          <w:lang w:val="en-US"/>
        </w:rPr>
      </w:pPr>
      <w:r w:rsidRPr="00B2714C">
        <w:rPr>
          <w:rFonts w:cstheme="minorHAnsi"/>
          <w:sz w:val="20"/>
          <w:szCs w:val="20"/>
          <w:lang w:val="en-US"/>
        </w:rPr>
        <w:t>In summary, the cumulative insights derived from GWP1 and GWP2 empower lenders to make well-informed decisions, manage risks proactively, and effectively address the financial challenges outlined in Step 1 and Step 2 concerning business construction loa</w:t>
      </w:r>
      <w:r>
        <w:rPr>
          <w:rFonts w:cstheme="minorHAnsi"/>
          <w:sz w:val="20"/>
          <w:szCs w:val="20"/>
          <w:lang w:val="en-US"/>
        </w:rPr>
        <w:t>ns.</w:t>
      </w:r>
    </w:p>
    <w:p w14:paraId="5A0A80ED" w14:textId="77777777" w:rsidR="00750815" w:rsidRDefault="00750815" w:rsidP="00750815">
      <w:pPr>
        <w:pStyle w:val="ListParagraph"/>
        <w:snapToGrid w:val="0"/>
        <w:spacing w:after="0" w:line="240" w:lineRule="auto"/>
        <w:ind w:left="936"/>
        <w:contextualSpacing w:val="0"/>
        <w:rPr>
          <w:rFonts w:cstheme="minorHAnsi"/>
          <w:b/>
          <w:bCs/>
          <w:sz w:val="20"/>
          <w:szCs w:val="20"/>
          <w:lang w:val="en-US"/>
        </w:rPr>
      </w:pPr>
    </w:p>
    <w:p w14:paraId="6000FB4F" w14:textId="77777777" w:rsidR="00750815" w:rsidRDefault="00750815" w:rsidP="00750815">
      <w:pPr>
        <w:pStyle w:val="ListParagraph"/>
        <w:snapToGrid w:val="0"/>
        <w:spacing w:after="0" w:line="240" w:lineRule="auto"/>
        <w:ind w:left="936"/>
        <w:contextualSpacing w:val="0"/>
        <w:rPr>
          <w:rFonts w:cstheme="minorHAnsi"/>
          <w:b/>
          <w:bCs/>
          <w:sz w:val="20"/>
          <w:szCs w:val="20"/>
          <w:lang w:val="en-US"/>
        </w:rPr>
      </w:pPr>
    </w:p>
    <w:p w14:paraId="20B5DF2A" w14:textId="77777777" w:rsidR="00750815" w:rsidRDefault="00750815" w:rsidP="00750815">
      <w:pPr>
        <w:pStyle w:val="ListParagraph"/>
        <w:snapToGrid w:val="0"/>
        <w:spacing w:after="0" w:line="240" w:lineRule="auto"/>
        <w:ind w:left="936"/>
        <w:contextualSpacing w:val="0"/>
        <w:rPr>
          <w:rFonts w:cstheme="minorHAnsi"/>
          <w:b/>
          <w:bCs/>
          <w:sz w:val="20"/>
          <w:szCs w:val="20"/>
          <w:lang w:val="en-US"/>
        </w:rPr>
      </w:pPr>
    </w:p>
    <w:p w14:paraId="06DC1F85" w14:textId="77777777" w:rsidR="00A30EA3" w:rsidRPr="00F617BE" w:rsidRDefault="00A30EA3" w:rsidP="00F617BE">
      <w:pPr>
        <w:snapToGrid w:val="0"/>
        <w:spacing w:after="0" w:line="240" w:lineRule="auto"/>
        <w:rPr>
          <w:rFonts w:cstheme="minorHAnsi"/>
          <w:b/>
          <w:bCs/>
          <w:sz w:val="20"/>
          <w:szCs w:val="20"/>
          <w:lang w:val="en-US"/>
        </w:rPr>
      </w:pPr>
    </w:p>
    <w:p w14:paraId="45B1F13B" w14:textId="77777777" w:rsidR="00A30EA3" w:rsidRDefault="00A30EA3" w:rsidP="00750815">
      <w:pPr>
        <w:pStyle w:val="ListParagraph"/>
        <w:snapToGrid w:val="0"/>
        <w:spacing w:after="0" w:line="240" w:lineRule="auto"/>
        <w:ind w:left="936"/>
        <w:contextualSpacing w:val="0"/>
        <w:rPr>
          <w:rFonts w:cstheme="minorHAnsi"/>
          <w:b/>
          <w:bCs/>
          <w:sz w:val="20"/>
          <w:szCs w:val="20"/>
          <w:lang w:val="en-US"/>
        </w:rPr>
      </w:pPr>
    </w:p>
    <w:p w14:paraId="56803BF3" w14:textId="77777777" w:rsidR="00393DAF" w:rsidRDefault="00393DAF" w:rsidP="00750815">
      <w:pPr>
        <w:pStyle w:val="ListParagraph"/>
        <w:snapToGrid w:val="0"/>
        <w:spacing w:after="0" w:line="240" w:lineRule="auto"/>
        <w:ind w:left="936"/>
        <w:contextualSpacing w:val="0"/>
        <w:rPr>
          <w:rFonts w:cstheme="minorHAnsi"/>
          <w:b/>
          <w:bCs/>
          <w:sz w:val="20"/>
          <w:szCs w:val="20"/>
          <w:lang w:val="en-US"/>
        </w:rPr>
      </w:pPr>
    </w:p>
    <w:p w14:paraId="09A709AB" w14:textId="77777777" w:rsidR="005606AE" w:rsidRDefault="005606AE" w:rsidP="00750815">
      <w:pPr>
        <w:pStyle w:val="ListParagraph"/>
        <w:snapToGrid w:val="0"/>
        <w:spacing w:after="0" w:line="240" w:lineRule="auto"/>
        <w:ind w:left="936"/>
        <w:contextualSpacing w:val="0"/>
        <w:rPr>
          <w:rFonts w:cstheme="minorHAnsi"/>
          <w:b/>
          <w:bCs/>
          <w:sz w:val="20"/>
          <w:szCs w:val="20"/>
          <w:lang w:val="en-US"/>
        </w:rPr>
      </w:pPr>
    </w:p>
    <w:p w14:paraId="4796FB73" w14:textId="77777777" w:rsidR="005606AE" w:rsidRDefault="005606AE" w:rsidP="00750815">
      <w:pPr>
        <w:pStyle w:val="ListParagraph"/>
        <w:snapToGrid w:val="0"/>
        <w:spacing w:after="0" w:line="240" w:lineRule="auto"/>
        <w:ind w:left="936"/>
        <w:contextualSpacing w:val="0"/>
        <w:rPr>
          <w:rFonts w:cstheme="minorHAnsi"/>
          <w:b/>
          <w:bCs/>
          <w:sz w:val="20"/>
          <w:szCs w:val="20"/>
          <w:lang w:val="en-US"/>
        </w:rPr>
      </w:pPr>
    </w:p>
    <w:p w14:paraId="1BE6978D" w14:textId="77777777" w:rsidR="005606AE" w:rsidRDefault="005606AE" w:rsidP="00750815">
      <w:pPr>
        <w:pStyle w:val="ListParagraph"/>
        <w:snapToGrid w:val="0"/>
        <w:spacing w:after="0" w:line="240" w:lineRule="auto"/>
        <w:ind w:left="936"/>
        <w:contextualSpacing w:val="0"/>
        <w:rPr>
          <w:rFonts w:cstheme="minorHAnsi"/>
          <w:b/>
          <w:bCs/>
          <w:sz w:val="20"/>
          <w:szCs w:val="20"/>
          <w:lang w:val="en-US"/>
        </w:rPr>
      </w:pPr>
    </w:p>
    <w:p w14:paraId="4B1DAFF0" w14:textId="77777777" w:rsidR="005606AE" w:rsidRDefault="005606AE" w:rsidP="00750815">
      <w:pPr>
        <w:pStyle w:val="ListParagraph"/>
        <w:snapToGrid w:val="0"/>
        <w:spacing w:after="0" w:line="240" w:lineRule="auto"/>
        <w:ind w:left="936"/>
        <w:contextualSpacing w:val="0"/>
        <w:rPr>
          <w:rFonts w:cstheme="minorHAnsi"/>
          <w:b/>
          <w:bCs/>
          <w:sz w:val="20"/>
          <w:szCs w:val="20"/>
          <w:lang w:val="en-US"/>
        </w:rPr>
      </w:pPr>
    </w:p>
    <w:p w14:paraId="33760E01" w14:textId="77777777" w:rsidR="005606AE" w:rsidRDefault="005606AE" w:rsidP="00750815">
      <w:pPr>
        <w:pStyle w:val="ListParagraph"/>
        <w:snapToGrid w:val="0"/>
        <w:spacing w:after="0" w:line="240" w:lineRule="auto"/>
        <w:ind w:left="936"/>
        <w:contextualSpacing w:val="0"/>
        <w:rPr>
          <w:rFonts w:cstheme="minorHAnsi"/>
          <w:b/>
          <w:bCs/>
          <w:sz w:val="20"/>
          <w:szCs w:val="20"/>
          <w:lang w:val="en-US"/>
        </w:rPr>
      </w:pPr>
    </w:p>
    <w:p w14:paraId="151C806E" w14:textId="77777777" w:rsidR="0026742F" w:rsidRDefault="0026742F" w:rsidP="00750815">
      <w:pPr>
        <w:pStyle w:val="ListParagraph"/>
        <w:snapToGrid w:val="0"/>
        <w:spacing w:after="0" w:line="240" w:lineRule="auto"/>
        <w:ind w:left="936"/>
        <w:contextualSpacing w:val="0"/>
        <w:rPr>
          <w:rFonts w:cstheme="minorHAnsi"/>
          <w:b/>
          <w:bCs/>
          <w:sz w:val="20"/>
          <w:szCs w:val="20"/>
          <w:lang w:val="en-US"/>
        </w:rPr>
      </w:pPr>
    </w:p>
    <w:p w14:paraId="5E506083" w14:textId="77777777" w:rsidR="005606AE" w:rsidRDefault="005606AE" w:rsidP="00750815">
      <w:pPr>
        <w:pStyle w:val="ListParagraph"/>
        <w:snapToGrid w:val="0"/>
        <w:spacing w:after="0" w:line="240" w:lineRule="auto"/>
        <w:ind w:left="936"/>
        <w:contextualSpacing w:val="0"/>
        <w:rPr>
          <w:rFonts w:cstheme="minorHAnsi"/>
          <w:b/>
          <w:bCs/>
          <w:sz w:val="20"/>
          <w:szCs w:val="20"/>
          <w:lang w:val="en-US"/>
        </w:rPr>
      </w:pPr>
    </w:p>
    <w:p w14:paraId="4BBFE14A" w14:textId="77777777" w:rsidR="005606AE" w:rsidRDefault="005606AE" w:rsidP="00750815">
      <w:pPr>
        <w:pStyle w:val="ListParagraph"/>
        <w:snapToGrid w:val="0"/>
        <w:spacing w:after="0" w:line="240" w:lineRule="auto"/>
        <w:ind w:left="936"/>
        <w:contextualSpacing w:val="0"/>
        <w:rPr>
          <w:rFonts w:cstheme="minorHAnsi"/>
          <w:b/>
          <w:bCs/>
          <w:sz w:val="20"/>
          <w:szCs w:val="20"/>
          <w:lang w:val="en-US"/>
        </w:rPr>
      </w:pPr>
    </w:p>
    <w:p w14:paraId="1088B91D" w14:textId="77777777" w:rsidR="00BA5DD4" w:rsidRPr="00C656AA" w:rsidRDefault="00B44FF7" w:rsidP="00D243BE">
      <w:pPr>
        <w:pStyle w:val="ListParagraph"/>
        <w:numPr>
          <w:ilvl w:val="1"/>
          <w:numId w:val="36"/>
        </w:numPr>
        <w:snapToGrid w:val="0"/>
        <w:spacing w:after="0" w:line="240" w:lineRule="auto"/>
        <w:contextualSpacing w:val="0"/>
        <w:rPr>
          <w:rFonts w:cstheme="minorHAnsi"/>
          <w:b/>
          <w:bCs/>
          <w:sz w:val="20"/>
          <w:szCs w:val="20"/>
          <w:lang w:val="en-US"/>
        </w:rPr>
      </w:pPr>
      <w:r w:rsidRPr="007306AF">
        <w:rPr>
          <w:rFonts w:cstheme="minorHAnsi"/>
          <w:b/>
          <w:bCs/>
          <w:sz w:val="20"/>
          <w:szCs w:val="20"/>
          <w:lang w:val="en-US"/>
        </w:rPr>
        <w:t>Student: Yhasreen</w:t>
      </w:r>
      <w:r w:rsidR="00C656AA">
        <w:rPr>
          <w:rFonts w:cstheme="minorHAnsi"/>
          <w:b/>
          <w:bCs/>
          <w:sz w:val="20"/>
          <w:szCs w:val="20"/>
          <w:lang w:val="en-US"/>
        </w:rPr>
        <w:t xml:space="preserve"> - </w:t>
      </w:r>
      <w:r w:rsidR="00E50DB3" w:rsidRPr="00C656AA">
        <w:rPr>
          <w:rFonts w:cstheme="minorHAnsi"/>
          <w:b/>
          <w:bCs/>
          <w:sz w:val="20"/>
          <w:szCs w:val="20"/>
          <w:lang w:val="en-US"/>
        </w:rPr>
        <w:t xml:space="preserve">AAPL </w:t>
      </w:r>
      <w:r w:rsidR="00B073C0" w:rsidRPr="00C656AA">
        <w:rPr>
          <w:rFonts w:cstheme="minorHAnsi"/>
          <w:b/>
          <w:bCs/>
          <w:sz w:val="20"/>
          <w:szCs w:val="20"/>
          <w:lang w:val="en-US"/>
        </w:rPr>
        <w:t>Equity</w:t>
      </w:r>
      <w:r w:rsidRPr="00C656AA">
        <w:rPr>
          <w:rFonts w:cstheme="minorHAnsi"/>
          <w:b/>
          <w:bCs/>
          <w:sz w:val="20"/>
          <w:szCs w:val="20"/>
          <w:lang w:val="en-US"/>
        </w:rPr>
        <w:t xml:space="preserve"> Investment</w:t>
      </w:r>
      <w:r w:rsidR="00165AD1" w:rsidRPr="00C656AA">
        <w:rPr>
          <w:rFonts w:cstheme="minorHAnsi"/>
          <w:b/>
          <w:bCs/>
          <w:sz w:val="20"/>
          <w:szCs w:val="20"/>
          <w:lang w:val="en-US"/>
        </w:rPr>
        <w:t xml:space="preserve"> </w:t>
      </w:r>
      <w:r w:rsidRPr="00C656AA">
        <w:rPr>
          <w:rFonts w:cstheme="minorHAnsi"/>
          <w:b/>
          <w:bCs/>
          <w:sz w:val="20"/>
          <w:szCs w:val="20"/>
          <w:lang w:val="en-US"/>
        </w:rPr>
        <w:t>Data insights</w:t>
      </w:r>
    </w:p>
    <w:p w14:paraId="68324D39" w14:textId="77777777" w:rsidR="00155FC7" w:rsidRDefault="00155FC7" w:rsidP="00D243BE">
      <w:pPr>
        <w:pStyle w:val="ListParagraph"/>
        <w:numPr>
          <w:ilvl w:val="2"/>
          <w:numId w:val="36"/>
        </w:numPr>
        <w:snapToGrid w:val="0"/>
        <w:spacing w:after="0" w:line="240" w:lineRule="auto"/>
        <w:contextualSpacing w:val="0"/>
        <w:rPr>
          <w:rFonts w:cstheme="minorHAnsi"/>
          <w:sz w:val="20"/>
          <w:szCs w:val="20"/>
          <w:lang w:val="en-US"/>
        </w:rPr>
      </w:pPr>
    </w:p>
    <w:p w14:paraId="6CC96CAE" w14:textId="77777777" w:rsidR="00155FC7" w:rsidRDefault="00B44FF7" w:rsidP="00D243BE">
      <w:pPr>
        <w:pStyle w:val="ListParagraph"/>
        <w:numPr>
          <w:ilvl w:val="2"/>
          <w:numId w:val="36"/>
        </w:numPr>
        <w:snapToGrid w:val="0"/>
        <w:spacing w:after="0" w:line="240" w:lineRule="auto"/>
        <w:contextualSpacing w:val="0"/>
        <w:rPr>
          <w:rFonts w:cstheme="minorHAnsi"/>
          <w:sz w:val="20"/>
          <w:szCs w:val="20"/>
          <w:lang w:val="en-US"/>
        </w:rPr>
      </w:pPr>
      <w:r>
        <w:rPr>
          <w:rFonts w:cstheme="minorHAnsi"/>
          <w:noProof/>
          <w:sz w:val="20"/>
          <w:szCs w:val="20"/>
          <w:lang w:val="en-US" w:eastAsia="en-US"/>
        </w:rPr>
        <w:drawing>
          <wp:inline distT="0" distB="0" distL="0" distR="0" wp14:anchorId="32A6B97F" wp14:editId="7DFEC141">
            <wp:extent cx="5423026" cy="3662045"/>
            <wp:effectExtent l="0" t="0" r="6350" b="0"/>
            <wp:docPr id="7422329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232955"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436541" cy="3671172"/>
                    </a:xfrm>
                    <a:prstGeom prst="rect">
                      <a:avLst/>
                    </a:prstGeom>
                    <a:noFill/>
                    <a:ln>
                      <a:noFill/>
                    </a:ln>
                  </pic:spPr>
                </pic:pic>
              </a:graphicData>
            </a:graphic>
          </wp:inline>
        </w:drawing>
      </w:r>
    </w:p>
    <w:p w14:paraId="065B3B69" w14:textId="77777777" w:rsidR="00027133" w:rsidRDefault="00B44FF7" w:rsidP="00D243BE">
      <w:pPr>
        <w:pStyle w:val="ListParagraph"/>
        <w:numPr>
          <w:ilvl w:val="2"/>
          <w:numId w:val="36"/>
        </w:numPr>
        <w:snapToGrid w:val="0"/>
        <w:spacing w:after="0" w:line="240" w:lineRule="auto"/>
        <w:contextualSpacing w:val="0"/>
        <w:rPr>
          <w:rFonts w:cstheme="minorHAnsi"/>
          <w:sz w:val="20"/>
          <w:szCs w:val="20"/>
          <w:lang w:val="en-US"/>
        </w:rPr>
      </w:pPr>
      <w:r>
        <w:rPr>
          <w:noProof/>
          <w:lang w:val="en-US" w:eastAsia="en-US"/>
        </w:rPr>
        <w:drawing>
          <wp:inline distT="0" distB="0" distL="0" distR="0" wp14:anchorId="11C37C5A" wp14:editId="138641A5">
            <wp:extent cx="5523230" cy="2113985"/>
            <wp:effectExtent l="0" t="0" r="1270" b="635"/>
            <wp:docPr id="931665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665422" name=""/>
                    <pic:cNvPicPr/>
                  </pic:nvPicPr>
                  <pic:blipFill>
                    <a:blip r:embed="rId10"/>
                    <a:stretch>
                      <a:fillRect/>
                    </a:stretch>
                  </pic:blipFill>
                  <pic:spPr>
                    <a:xfrm>
                      <a:off x="0" y="0"/>
                      <a:ext cx="5531314" cy="2117079"/>
                    </a:xfrm>
                    <a:prstGeom prst="rect">
                      <a:avLst/>
                    </a:prstGeom>
                  </pic:spPr>
                </pic:pic>
              </a:graphicData>
            </a:graphic>
          </wp:inline>
        </w:drawing>
      </w:r>
    </w:p>
    <w:p w14:paraId="7502E9B5" w14:textId="77777777" w:rsidR="00027133" w:rsidRDefault="00B44FF7" w:rsidP="00D243BE">
      <w:pPr>
        <w:pStyle w:val="ListParagraph"/>
        <w:numPr>
          <w:ilvl w:val="2"/>
          <w:numId w:val="36"/>
        </w:numPr>
        <w:snapToGrid w:val="0"/>
        <w:spacing w:after="0" w:line="240" w:lineRule="auto"/>
        <w:contextualSpacing w:val="0"/>
        <w:rPr>
          <w:rFonts w:cstheme="minorHAnsi"/>
          <w:sz w:val="20"/>
          <w:szCs w:val="20"/>
          <w:lang w:val="en-US"/>
        </w:rPr>
      </w:pPr>
      <w:r w:rsidRPr="0074318C">
        <w:rPr>
          <w:rFonts w:cstheme="minorHAnsi"/>
          <w:sz w:val="20"/>
          <w:szCs w:val="20"/>
          <w:lang w:val="en-US"/>
        </w:rPr>
        <w:t xml:space="preserve">For an investor leveraging to buy Apple stock, the Federal Reserve interest rates, the USD dollar index, and the USD/SGD exchange rate can present multifaceted considerations. Federal interest rates impact the cost of borrowing; when rates are low, leveraging is relatively inexpensive, potentially enhancing investment capacities, whereas higher rates augment borrowing costs, squeezing profit margins. </w:t>
      </w:r>
    </w:p>
    <w:p w14:paraId="0BCCB84C" w14:textId="037F9A2C" w:rsidR="00323D7A" w:rsidRDefault="00B44FF7" w:rsidP="00D243BE">
      <w:pPr>
        <w:pStyle w:val="ListParagraph"/>
        <w:numPr>
          <w:ilvl w:val="2"/>
          <w:numId w:val="36"/>
        </w:numPr>
        <w:snapToGrid w:val="0"/>
        <w:spacing w:after="0" w:line="240" w:lineRule="auto"/>
        <w:contextualSpacing w:val="0"/>
        <w:rPr>
          <w:rFonts w:cstheme="minorHAnsi"/>
          <w:sz w:val="20"/>
          <w:szCs w:val="20"/>
          <w:lang w:val="en-US"/>
        </w:rPr>
      </w:pPr>
      <w:r w:rsidRPr="0074318C">
        <w:rPr>
          <w:rFonts w:cstheme="minorHAnsi"/>
          <w:sz w:val="20"/>
          <w:szCs w:val="20"/>
          <w:lang w:val="en-US"/>
        </w:rPr>
        <w:t xml:space="preserve">Concurrently, the USD dollar index, which encapsulates the dollar's value against a basket of international currencies </w:t>
      </w:r>
      <w:r w:rsidR="00F56C7E">
        <w:rPr>
          <w:rFonts w:cstheme="minorHAnsi"/>
          <w:sz w:val="20"/>
          <w:szCs w:val="20"/>
          <w:lang w:val="en-US"/>
        </w:rPr>
        <w:t xml:space="preserve">like </w:t>
      </w:r>
      <w:r w:rsidRPr="0074318C">
        <w:rPr>
          <w:rFonts w:cstheme="minorHAnsi"/>
          <w:sz w:val="20"/>
          <w:szCs w:val="20"/>
          <w:lang w:val="en-US"/>
        </w:rPr>
        <w:t>USD/SGD</w:t>
      </w:r>
      <w:r w:rsidR="00F56C7E">
        <w:rPr>
          <w:rFonts w:cstheme="minorHAnsi"/>
          <w:sz w:val="20"/>
          <w:szCs w:val="20"/>
          <w:lang w:val="en-US"/>
        </w:rPr>
        <w:t>, USD/CNY, USD/INR</w:t>
      </w:r>
      <w:r w:rsidRPr="0074318C">
        <w:rPr>
          <w:rFonts w:cstheme="minorHAnsi"/>
          <w:sz w:val="20"/>
          <w:szCs w:val="20"/>
          <w:lang w:val="en-US"/>
        </w:rPr>
        <w:t xml:space="preserve"> exchange rate, critically impacts Apple's international business, affecting both revenues from global sales and costs for overseas operations and supply chains. A robust USD may suppress Apple's overseas earnings when converted back to dollars, whereas a weaker dollar could enhance them, thus indirectly influencing stock prices. Notable financial market</w:t>
      </w:r>
      <w:r w:rsidR="00882B08">
        <w:rPr>
          <w:rFonts w:cstheme="minorHAnsi"/>
          <w:sz w:val="20"/>
          <w:szCs w:val="20"/>
          <w:lang w:val="en-US"/>
        </w:rPr>
        <w:t>s such as</w:t>
      </w:r>
      <w:r w:rsidRPr="0074318C">
        <w:rPr>
          <w:rFonts w:cstheme="minorHAnsi"/>
          <w:sz w:val="20"/>
          <w:szCs w:val="20"/>
          <w:lang w:val="en-US"/>
        </w:rPr>
        <w:t xml:space="preserve"> USD/SGD movements also impact investor sentiment and cross-border investment flows. The interconnectedness of these variables with Apple's performance and broader economic health necessitates a holistic approach to leveraging strategies, ensuring the investor is shielded optimally against unforeseen macroeconomic shifts.</w:t>
      </w:r>
    </w:p>
    <w:p w14:paraId="47C6F2AE" w14:textId="77777777" w:rsidR="00027133" w:rsidRDefault="00B44FF7" w:rsidP="00D243BE">
      <w:pPr>
        <w:pStyle w:val="ListParagraph"/>
        <w:numPr>
          <w:ilvl w:val="2"/>
          <w:numId w:val="36"/>
        </w:numPr>
        <w:snapToGrid w:val="0"/>
        <w:spacing w:after="0" w:line="240" w:lineRule="auto"/>
        <w:contextualSpacing w:val="0"/>
        <w:rPr>
          <w:rFonts w:cstheme="minorHAnsi"/>
          <w:sz w:val="20"/>
          <w:szCs w:val="20"/>
          <w:lang w:val="en-US"/>
        </w:rPr>
      </w:pPr>
      <w:r w:rsidRPr="00027133">
        <w:rPr>
          <w:rFonts w:cstheme="minorHAnsi"/>
          <w:sz w:val="20"/>
          <w:szCs w:val="20"/>
          <w:lang w:val="en-US"/>
        </w:rPr>
        <w:t>The fluctuating values of the Indian Rupee and the Chinese Renminbi impact Apple's production costs due to its extensive manufacturing and assembly operations in these countries. Variations in these currencies against the USD alter input costs, affecting profit margins. Additionally, currency risk emerges, as currency value fluctuations can unpredictably influence revenues and expenses in these regions, impacting Apple's financial performance and, subsequently, its stock price, becoming a vital consideration for investors.</w:t>
      </w:r>
    </w:p>
    <w:p w14:paraId="3658EA75" w14:textId="77777777" w:rsidR="00D27D71" w:rsidRDefault="00D27D71" w:rsidP="00750815">
      <w:pPr>
        <w:pStyle w:val="ListParagraph"/>
        <w:snapToGrid w:val="0"/>
        <w:spacing w:after="0" w:line="240" w:lineRule="auto"/>
        <w:ind w:left="1344"/>
        <w:contextualSpacing w:val="0"/>
        <w:rPr>
          <w:rFonts w:cstheme="minorHAnsi"/>
          <w:sz w:val="20"/>
          <w:szCs w:val="20"/>
          <w:lang w:val="en-US"/>
        </w:rPr>
      </w:pPr>
    </w:p>
    <w:p w14:paraId="0C275DE7" w14:textId="77777777" w:rsidR="0010195B" w:rsidRDefault="00B44FF7" w:rsidP="00D243BE">
      <w:pPr>
        <w:pStyle w:val="ListParagraph"/>
        <w:numPr>
          <w:ilvl w:val="2"/>
          <w:numId w:val="36"/>
        </w:numPr>
        <w:snapToGrid w:val="0"/>
        <w:spacing w:after="0" w:line="240" w:lineRule="auto"/>
        <w:contextualSpacing w:val="0"/>
        <w:rPr>
          <w:rFonts w:cstheme="minorHAnsi"/>
          <w:sz w:val="20"/>
          <w:szCs w:val="20"/>
          <w:lang w:val="en-US"/>
        </w:rPr>
      </w:pPr>
      <w:r>
        <w:rPr>
          <w:rFonts w:cstheme="minorHAnsi"/>
          <w:noProof/>
          <w:sz w:val="20"/>
          <w:szCs w:val="20"/>
          <w:lang w:val="en-US" w:eastAsia="en-US"/>
        </w:rPr>
        <w:lastRenderedPageBreak/>
        <w:drawing>
          <wp:inline distT="0" distB="0" distL="0" distR="0" wp14:anchorId="20910C38" wp14:editId="778E7970">
            <wp:extent cx="5456524" cy="2892583"/>
            <wp:effectExtent l="0" t="0" r="0" b="3175"/>
            <wp:docPr id="19423040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04031"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484089" cy="2907196"/>
                    </a:xfrm>
                    <a:prstGeom prst="rect">
                      <a:avLst/>
                    </a:prstGeom>
                    <a:noFill/>
                    <a:ln>
                      <a:noFill/>
                    </a:ln>
                  </pic:spPr>
                </pic:pic>
              </a:graphicData>
            </a:graphic>
          </wp:inline>
        </w:drawing>
      </w:r>
    </w:p>
    <w:p w14:paraId="5D4A20C3" w14:textId="77777777" w:rsidR="003E4273" w:rsidRDefault="003E4273" w:rsidP="00750815">
      <w:pPr>
        <w:pStyle w:val="ListParagraph"/>
        <w:snapToGrid w:val="0"/>
        <w:spacing w:after="0" w:line="240" w:lineRule="auto"/>
        <w:ind w:left="1344"/>
        <w:contextualSpacing w:val="0"/>
        <w:rPr>
          <w:rFonts w:cstheme="minorHAnsi"/>
          <w:sz w:val="20"/>
          <w:szCs w:val="20"/>
          <w:lang w:val="en-US"/>
        </w:rPr>
      </w:pPr>
    </w:p>
    <w:p w14:paraId="7FD7BB5E" w14:textId="7CC9FE93" w:rsidR="0074318C" w:rsidRPr="0074318C" w:rsidRDefault="00B44FF7" w:rsidP="00D243BE">
      <w:pPr>
        <w:pStyle w:val="ListParagraph"/>
        <w:numPr>
          <w:ilvl w:val="2"/>
          <w:numId w:val="36"/>
        </w:numPr>
        <w:snapToGrid w:val="0"/>
        <w:spacing w:after="0" w:line="240" w:lineRule="auto"/>
        <w:contextualSpacing w:val="0"/>
        <w:rPr>
          <w:rFonts w:cstheme="minorHAnsi"/>
          <w:sz w:val="20"/>
          <w:szCs w:val="20"/>
          <w:lang w:val="en-US"/>
        </w:rPr>
      </w:pPr>
      <w:r w:rsidRPr="0074318C">
        <w:rPr>
          <w:rFonts w:cstheme="minorHAnsi"/>
          <w:sz w:val="20"/>
          <w:szCs w:val="20"/>
          <w:lang w:val="en-US"/>
        </w:rPr>
        <w:t>The Relative Strength Index</w:t>
      </w:r>
      <w:r w:rsidR="00F82CC4" w:rsidRPr="0074318C">
        <w:rPr>
          <w:rFonts w:cstheme="minorHAnsi"/>
          <w:sz w:val="20"/>
          <w:szCs w:val="20"/>
          <w:lang w:val="en-US"/>
        </w:rPr>
        <w:t xml:space="preserve"> </w:t>
      </w:r>
      <w:r w:rsidRPr="0074318C">
        <w:rPr>
          <w:rFonts w:cstheme="minorHAnsi"/>
          <w:sz w:val="20"/>
          <w:szCs w:val="20"/>
          <w:lang w:val="en-US"/>
        </w:rPr>
        <w:t>RSI, Moving Average Convergence Divergence MACD, Bollinger Bands</w:t>
      </w:r>
      <w:r w:rsidR="00F82CC4" w:rsidRPr="0074318C">
        <w:rPr>
          <w:rFonts w:cstheme="minorHAnsi"/>
          <w:sz w:val="20"/>
          <w:szCs w:val="20"/>
          <w:lang w:val="en-US"/>
        </w:rPr>
        <w:t xml:space="preserve"> B</w:t>
      </w:r>
      <w:r w:rsidRPr="0074318C">
        <w:rPr>
          <w:rFonts w:cstheme="minorHAnsi"/>
          <w:sz w:val="20"/>
          <w:szCs w:val="20"/>
          <w:lang w:val="en-US"/>
        </w:rPr>
        <w:t xml:space="preserve">B, 14-day Moving Average </w:t>
      </w:r>
      <w:r w:rsidR="00F82CC4" w:rsidRPr="0074318C">
        <w:rPr>
          <w:rFonts w:cstheme="minorHAnsi"/>
          <w:sz w:val="20"/>
          <w:szCs w:val="20"/>
          <w:lang w:val="en-US"/>
        </w:rPr>
        <w:t>14D</w:t>
      </w:r>
      <w:r w:rsidRPr="0074318C">
        <w:rPr>
          <w:rFonts w:cstheme="minorHAnsi"/>
          <w:sz w:val="20"/>
          <w:szCs w:val="20"/>
          <w:lang w:val="en-US"/>
        </w:rPr>
        <w:t xml:space="preserve">MA, and trading volume </w:t>
      </w:r>
      <w:r w:rsidR="00F82CC4" w:rsidRPr="0074318C">
        <w:rPr>
          <w:rFonts w:cstheme="minorHAnsi"/>
          <w:sz w:val="20"/>
          <w:szCs w:val="20"/>
          <w:lang w:val="en-US"/>
        </w:rPr>
        <w:t xml:space="preserve">T.V. </w:t>
      </w:r>
      <w:r w:rsidRPr="0074318C">
        <w:rPr>
          <w:rFonts w:cstheme="minorHAnsi"/>
          <w:sz w:val="20"/>
          <w:szCs w:val="20"/>
          <w:lang w:val="en-US"/>
        </w:rPr>
        <w:t xml:space="preserve">assist as potent technical indicators to scrutinize in terms of volatility and non-linearity embedded within Apple's historical stock price. The RSI helps gauge overbought or oversold conditions, revealing potential reversals or persistent trends in price, which may imply volatility or stability. MACD, with its convergence and divergence of short-term and long-term M.A., signals momentum and possible price reversals. Bollinger Bands encapsulate price within a range, with breakouts indicating volatility. </w:t>
      </w:r>
    </w:p>
    <w:p w14:paraId="123BFFE2" w14:textId="77777777" w:rsidR="00DA5B50" w:rsidRPr="0074318C" w:rsidRDefault="00B44FF7" w:rsidP="00750815">
      <w:pPr>
        <w:pStyle w:val="ListParagraph"/>
        <w:snapToGrid w:val="0"/>
        <w:spacing w:after="0" w:line="240" w:lineRule="auto"/>
        <w:ind w:left="1344"/>
        <w:contextualSpacing w:val="0"/>
        <w:rPr>
          <w:rFonts w:cstheme="minorHAnsi"/>
          <w:sz w:val="20"/>
          <w:szCs w:val="20"/>
          <w:lang w:val="en-US"/>
        </w:rPr>
      </w:pPr>
      <w:r w:rsidRPr="00DA5B50">
        <w:rPr>
          <w:rFonts w:cstheme="minorHAnsi"/>
          <w:sz w:val="20"/>
          <w:szCs w:val="20"/>
          <w:lang w:val="en-US"/>
        </w:rPr>
        <w:t>The 14DMA smoothens price data, offering a glimpse into prevailing trends and hinting at underlying non-linearity when juxtaposed with actual prices. L</w:t>
      </w:r>
      <w:r w:rsidRPr="0074318C">
        <w:rPr>
          <w:rFonts w:cstheme="minorHAnsi"/>
          <w:sz w:val="20"/>
          <w:szCs w:val="20"/>
          <w:lang w:val="en-US"/>
        </w:rPr>
        <w:t>astly, trading volume, especially when examined with price movements, can underscore the strength behind price changes, shedding light on possible speculative activity or genuine shifts in value, thereby revealing insights into potential volatility and non-linear dynamics in Apple's stock price movements.</w:t>
      </w:r>
    </w:p>
    <w:p w14:paraId="22D448F6" w14:textId="77777777" w:rsidR="00DA5B50" w:rsidRPr="00DA5B50" w:rsidRDefault="00DA5B50" w:rsidP="00750815">
      <w:pPr>
        <w:pStyle w:val="ListParagraph"/>
        <w:snapToGrid w:val="0"/>
        <w:spacing w:after="0" w:line="240" w:lineRule="auto"/>
        <w:contextualSpacing w:val="0"/>
        <w:rPr>
          <w:rFonts w:cstheme="minorHAnsi"/>
          <w:b/>
          <w:bCs/>
          <w:sz w:val="20"/>
          <w:szCs w:val="20"/>
          <w:u w:val="single"/>
          <w:lang w:val="en-US"/>
        </w:rPr>
      </w:pPr>
    </w:p>
    <w:p w14:paraId="44FFC043" w14:textId="77777777" w:rsidR="00FB6876" w:rsidRDefault="00B44FF7" w:rsidP="00D243BE">
      <w:pPr>
        <w:pStyle w:val="ListParagraph"/>
        <w:numPr>
          <w:ilvl w:val="2"/>
          <w:numId w:val="36"/>
        </w:numPr>
        <w:snapToGrid w:val="0"/>
        <w:spacing w:after="0" w:line="240" w:lineRule="auto"/>
        <w:contextualSpacing w:val="0"/>
        <w:rPr>
          <w:rFonts w:cstheme="minorHAnsi"/>
          <w:sz w:val="20"/>
          <w:szCs w:val="20"/>
          <w:lang w:val="en-US"/>
        </w:rPr>
      </w:pPr>
      <w:r>
        <w:rPr>
          <w:rFonts w:cstheme="minorHAnsi"/>
          <w:noProof/>
          <w:sz w:val="20"/>
          <w:szCs w:val="20"/>
          <w:lang w:val="en-US" w:eastAsia="en-US"/>
        </w:rPr>
        <w:drawing>
          <wp:inline distT="0" distB="0" distL="0" distR="0" wp14:anchorId="2FD5A743" wp14:editId="327E8CA2">
            <wp:extent cx="5381653" cy="1910281"/>
            <wp:effectExtent l="0" t="0" r="0" b="0"/>
            <wp:docPr id="1315646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4644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393433" cy="1914462"/>
                    </a:xfrm>
                    <a:prstGeom prst="rect">
                      <a:avLst/>
                    </a:prstGeom>
                    <a:noFill/>
                    <a:ln>
                      <a:noFill/>
                    </a:ln>
                  </pic:spPr>
                </pic:pic>
              </a:graphicData>
            </a:graphic>
          </wp:inline>
        </w:drawing>
      </w:r>
    </w:p>
    <w:p w14:paraId="227F9B57" w14:textId="77777777" w:rsidR="00FB6876" w:rsidRPr="00FB6876" w:rsidRDefault="00FB6876" w:rsidP="00750815">
      <w:pPr>
        <w:pStyle w:val="ListParagraph"/>
        <w:snapToGrid w:val="0"/>
        <w:spacing w:after="0" w:line="240" w:lineRule="auto"/>
        <w:contextualSpacing w:val="0"/>
        <w:rPr>
          <w:rFonts w:cstheme="minorHAnsi"/>
          <w:sz w:val="20"/>
          <w:szCs w:val="20"/>
          <w:lang w:val="en-US"/>
        </w:rPr>
      </w:pPr>
    </w:p>
    <w:p w14:paraId="147719A5" w14:textId="0783F992" w:rsidR="009134B9" w:rsidRDefault="00B44FF7" w:rsidP="00D243BE">
      <w:pPr>
        <w:pStyle w:val="ListParagraph"/>
        <w:numPr>
          <w:ilvl w:val="2"/>
          <w:numId w:val="36"/>
        </w:numPr>
        <w:snapToGrid w:val="0"/>
        <w:spacing w:after="0" w:line="240" w:lineRule="auto"/>
        <w:contextualSpacing w:val="0"/>
        <w:rPr>
          <w:rFonts w:cstheme="minorHAnsi"/>
          <w:sz w:val="20"/>
          <w:szCs w:val="20"/>
          <w:lang w:val="en-US"/>
        </w:rPr>
      </w:pPr>
      <w:r w:rsidRPr="00F82CC4">
        <w:rPr>
          <w:rFonts w:cstheme="minorHAnsi"/>
          <w:sz w:val="20"/>
          <w:szCs w:val="20"/>
          <w:lang w:val="en-US"/>
        </w:rPr>
        <w:t xml:space="preserve">Apple's historical stock data, </w:t>
      </w:r>
      <w:r w:rsidR="00A55C2D" w:rsidRPr="00F82CC4">
        <w:rPr>
          <w:rFonts w:cstheme="minorHAnsi"/>
          <w:sz w:val="20"/>
          <w:szCs w:val="20"/>
          <w:lang w:val="en-US"/>
        </w:rPr>
        <w:t>presented</w:t>
      </w:r>
      <w:r w:rsidRPr="00F82CC4">
        <w:rPr>
          <w:rFonts w:cstheme="minorHAnsi"/>
          <w:sz w:val="20"/>
          <w:szCs w:val="20"/>
          <w:lang w:val="en-US"/>
        </w:rPr>
        <w:t xml:space="preserve"> by a mean of 154.84 and a median of 154.09, indicates</w:t>
      </w:r>
      <w:r w:rsidR="0025787E" w:rsidRPr="00F82CC4">
        <w:rPr>
          <w:rFonts w:cstheme="minorHAnsi"/>
          <w:sz w:val="20"/>
          <w:szCs w:val="20"/>
          <w:lang w:val="en-US"/>
        </w:rPr>
        <w:t xml:space="preserve"> the proximity of the mean and median alongside negligible skewness</w:t>
      </w:r>
      <w:r w:rsidR="00F82CC4" w:rsidRPr="00F82CC4">
        <w:rPr>
          <w:rFonts w:cstheme="minorHAnsi"/>
          <w:sz w:val="20"/>
          <w:szCs w:val="20"/>
          <w:lang w:val="en-US"/>
        </w:rPr>
        <w:t xml:space="preserve"> of 0.02</w:t>
      </w:r>
      <w:r w:rsidR="0025787E" w:rsidRPr="00F82CC4">
        <w:rPr>
          <w:rFonts w:cstheme="minorHAnsi"/>
          <w:sz w:val="20"/>
          <w:szCs w:val="20"/>
          <w:lang w:val="en-US"/>
        </w:rPr>
        <w:t xml:space="preserve"> </w:t>
      </w:r>
      <w:r w:rsidR="00F82CC4" w:rsidRPr="00F82CC4">
        <w:rPr>
          <w:rFonts w:cstheme="minorHAnsi"/>
          <w:sz w:val="20"/>
          <w:szCs w:val="20"/>
          <w:lang w:val="en-US"/>
        </w:rPr>
        <w:t>affirms</w:t>
      </w:r>
      <w:r w:rsidR="0025787E" w:rsidRPr="00F82CC4">
        <w:rPr>
          <w:rFonts w:cstheme="minorHAnsi"/>
          <w:sz w:val="20"/>
          <w:szCs w:val="20"/>
          <w:lang w:val="en-US"/>
        </w:rPr>
        <w:t xml:space="preserve"> a reasonably </w:t>
      </w:r>
      <w:r w:rsidR="00F82CC4" w:rsidRPr="00F82CC4">
        <w:rPr>
          <w:rFonts w:cstheme="minorHAnsi"/>
          <w:sz w:val="20"/>
          <w:szCs w:val="20"/>
          <w:lang w:val="en-US"/>
        </w:rPr>
        <w:t xml:space="preserve">balanced and </w:t>
      </w:r>
      <w:r w:rsidR="0025787E" w:rsidRPr="00F82CC4">
        <w:rPr>
          <w:rFonts w:cstheme="minorHAnsi"/>
          <w:sz w:val="20"/>
          <w:szCs w:val="20"/>
          <w:lang w:val="en-US"/>
        </w:rPr>
        <w:t>symmetric distribution</w:t>
      </w:r>
      <w:r w:rsidR="00F82CC4" w:rsidRPr="00F82CC4">
        <w:rPr>
          <w:rFonts w:cstheme="minorHAnsi"/>
          <w:sz w:val="20"/>
          <w:szCs w:val="20"/>
          <w:lang w:val="en-US"/>
        </w:rPr>
        <w:t xml:space="preserve"> of stock prices around the mean, with neither significant tails nor a pronounced bias towards higher or lower values. A</w:t>
      </w:r>
      <w:r w:rsidR="0025787E" w:rsidRPr="00F82CC4">
        <w:rPr>
          <w:rFonts w:cstheme="minorHAnsi"/>
          <w:sz w:val="20"/>
          <w:szCs w:val="20"/>
          <w:lang w:val="en-US"/>
        </w:rPr>
        <w:t>l</w:t>
      </w:r>
      <w:r w:rsidR="00F82CC4" w:rsidRPr="00F82CC4">
        <w:rPr>
          <w:rFonts w:cstheme="minorHAnsi"/>
          <w:sz w:val="20"/>
          <w:szCs w:val="20"/>
          <w:lang w:val="en-US"/>
        </w:rPr>
        <w:t>though Apple has a bimodal distribution, it implies the existence of two prominent peaks in the stock price distribution, hinting that Apple’s stock price may have oscillated between dual and dominant price regimes over the assessed historical period.</w:t>
      </w:r>
      <w:r w:rsidR="00F82CC4">
        <w:rPr>
          <w:rFonts w:cstheme="minorHAnsi"/>
          <w:sz w:val="20"/>
          <w:szCs w:val="20"/>
          <w:lang w:val="en-US"/>
        </w:rPr>
        <w:t xml:space="preserve"> </w:t>
      </w:r>
      <w:r w:rsidRPr="00F82CC4">
        <w:rPr>
          <w:rFonts w:cstheme="minorHAnsi"/>
          <w:sz w:val="20"/>
          <w:szCs w:val="20"/>
          <w:lang w:val="en-US"/>
        </w:rPr>
        <w:t xml:space="preserve">The kurtosis of -1.02, being platykurtic, implies a distribution with lighter tails and fewer outliers, revealing that the stock’s returns may not experience extreme values frequently. </w:t>
      </w:r>
      <w:r w:rsidR="0025787E" w:rsidRPr="00F82CC4">
        <w:rPr>
          <w:rFonts w:cstheme="minorHAnsi"/>
          <w:sz w:val="20"/>
          <w:szCs w:val="20"/>
          <w:lang w:val="en-US"/>
        </w:rPr>
        <w:t xml:space="preserve">The platykurtic nature (-1.02 kurtosis) speaks to a distribution with lighter tails and fewer extreme outliers, possibly </w:t>
      </w:r>
      <w:r w:rsidR="00F56C7E" w:rsidRPr="00F82CC4">
        <w:rPr>
          <w:rFonts w:cstheme="minorHAnsi"/>
          <w:sz w:val="20"/>
          <w:szCs w:val="20"/>
          <w:lang w:val="en-US"/>
        </w:rPr>
        <w:t>signaling</w:t>
      </w:r>
      <w:r w:rsidR="0025787E" w:rsidRPr="00F82CC4">
        <w:rPr>
          <w:rFonts w:cstheme="minorHAnsi"/>
          <w:sz w:val="20"/>
          <w:szCs w:val="20"/>
          <w:lang w:val="en-US"/>
        </w:rPr>
        <w:t xml:space="preserve"> less susceptibility to abrupt, extreme price shifts. However, the bimodal nature introduces an element of non-linearity, suggesting that Apple's stock price has experienced varied </w:t>
      </w:r>
      <w:r w:rsidR="00B97C04" w:rsidRPr="00F82CC4">
        <w:rPr>
          <w:rFonts w:cstheme="minorHAnsi"/>
          <w:sz w:val="20"/>
          <w:szCs w:val="20"/>
          <w:lang w:val="en-US"/>
        </w:rPr>
        <w:t>behavior</w:t>
      </w:r>
      <w:r w:rsidR="0025787E" w:rsidRPr="00F82CC4">
        <w:rPr>
          <w:rFonts w:cstheme="minorHAnsi"/>
          <w:sz w:val="20"/>
          <w:szCs w:val="20"/>
          <w:lang w:val="en-US"/>
        </w:rPr>
        <w:t xml:space="preserve"> or regimes precipitated by underlying factors or events that warrant closer examination to apprehend the dynamics influencing these disparate modes in pricing patterns. </w:t>
      </w:r>
    </w:p>
    <w:p w14:paraId="3F6FEB33" w14:textId="77777777" w:rsidR="00EF5B17" w:rsidRDefault="00EF5B17" w:rsidP="00EF5B17">
      <w:pPr>
        <w:pStyle w:val="ListParagraph"/>
        <w:snapToGrid w:val="0"/>
        <w:spacing w:after="0" w:line="240" w:lineRule="auto"/>
        <w:ind w:left="1344"/>
        <w:contextualSpacing w:val="0"/>
        <w:rPr>
          <w:rFonts w:cstheme="minorHAnsi"/>
          <w:sz w:val="20"/>
          <w:szCs w:val="20"/>
          <w:lang w:val="en-US"/>
        </w:rPr>
      </w:pPr>
    </w:p>
    <w:p w14:paraId="4E2A0AE7" w14:textId="77777777" w:rsidR="00EF5B17" w:rsidRDefault="00EF5B17" w:rsidP="00EF5B17">
      <w:pPr>
        <w:pStyle w:val="ListParagraph"/>
        <w:snapToGrid w:val="0"/>
        <w:spacing w:after="0" w:line="240" w:lineRule="auto"/>
        <w:ind w:left="1344"/>
        <w:contextualSpacing w:val="0"/>
        <w:rPr>
          <w:rFonts w:cstheme="minorHAnsi"/>
          <w:sz w:val="20"/>
          <w:szCs w:val="20"/>
          <w:lang w:val="en-US"/>
        </w:rPr>
      </w:pPr>
    </w:p>
    <w:p w14:paraId="1ADADB63" w14:textId="1FD4EEDD" w:rsidR="00EF5B17" w:rsidRDefault="00EF5B17" w:rsidP="00D243BE">
      <w:pPr>
        <w:pStyle w:val="ListParagraph"/>
        <w:numPr>
          <w:ilvl w:val="2"/>
          <w:numId w:val="36"/>
        </w:numPr>
        <w:snapToGrid w:val="0"/>
        <w:spacing w:after="0" w:line="240" w:lineRule="auto"/>
        <w:contextualSpacing w:val="0"/>
        <w:rPr>
          <w:rFonts w:cstheme="minorHAnsi"/>
          <w:sz w:val="20"/>
          <w:szCs w:val="20"/>
          <w:lang w:val="en-US"/>
        </w:rPr>
      </w:pPr>
      <w:r>
        <w:rPr>
          <w:rFonts w:cstheme="minorHAnsi"/>
          <w:sz w:val="20"/>
          <w:szCs w:val="20"/>
          <w:lang w:val="en-US"/>
        </w:rPr>
        <w:t xml:space="preserve">GWP1 probe into </w:t>
      </w:r>
      <w:r w:rsidRPr="00EF5B17">
        <w:rPr>
          <w:rFonts w:cstheme="minorHAnsi"/>
          <w:sz w:val="20"/>
          <w:szCs w:val="20"/>
          <w:lang w:val="en-US"/>
        </w:rPr>
        <w:t>Apple's quarterly earnings reports offer</w:t>
      </w:r>
      <w:r w:rsidR="002000F0">
        <w:rPr>
          <w:rFonts w:cstheme="minorHAnsi"/>
          <w:sz w:val="20"/>
          <w:szCs w:val="20"/>
          <w:lang w:val="en-US"/>
        </w:rPr>
        <w:t>s</w:t>
      </w:r>
      <w:r w:rsidRPr="00EF5B17">
        <w:rPr>
          <w:rFonts w:cstheme="minorHAnsi"/>
          <w:sz w:val="20"/>
          <w:szCs w:val="20"/>
          <w:lang w:val="en-US"/>
        </w:rPr>
        <w:t xml:space="preserve"> insights into its revenue, profit margins, and net income</w:t>
      </w:r>
    </w:p>
    <w:p w14:paraId="591F2B06" w14:textId="77777777" w:rsidR="00EF5B17" w:rsidRPr="00EF5B17" w:rsidRDefault="00EF5B17" w:rsidP="00EF5B17">
      <w:pPr>
        <w:pStyle w:val="ListParagraph"/>
        <w:rPr>
          <w:rFonts w:cstheme="minorHAnsi"/>
          <w:sz w:val="20"/>
          <w:szCs w:val="20"/>
          <w:lang w:val="en-US"/>
        </w:rPr>
      </w:pPr>
    </w:p>
    <w:p w14:paraId="0306A657" w14:textId="31803DF0" w:rsidR="00EF5B17" w:rsidRDefault="00EF5B17" w:rsidP="00D243BE">
      <w:pPr>
        <w:pStyle w:val="ListParagraph"/>
        <w:numPr>
          <w:ilvl w:val="2"/>
          <w:numId w:val="36"/>
        </w:numPr>
        <w:snapToGrid w:val="0"/>
        <w:spacing w:after="0" w:line="240" w:lineRule="auto"/>
        <w:contextualSpacing w:val="0"/>
        <w:rPr>
          <w:rFonts w:cstheme="minorHAnsi"/>
          <w:sz w:val="20"/>
          <w:szCs w:val="20"/>
          <w:lang w:val="en-US"/>
        </w:rPr>
      </w:pPr>
      <w:r>
        <w:rPr>
          <w:rFonts w:cstheme="minorHAnsi"/>
          <w:sz w:val="20"/>
          <w:szCs w:val="20"/>
          <w:lang w:val="en-US"/>
        </w:rPr>
        <w:t>GWP2 e</w:t>
      </w:r>
      <w:r w:rsidRPr="00EF5B17">
        <w:rPr>
          <w:rFonts w:cstheme="minorHAnsi"/>
          <w:sz w:val="20"/>
          <w:szCs w:val="20"/>
          <w:lang w:val="en-US"/>
        </w:rPr>
        <w:t>xam</w:t>
      </w:r>
      <w:r>
        <w:rPr>
          <w:rFonts w:cstheme="minorHAnsi"/>
          <w:sz w:val="20"/>
          <w:szCs w:val="20"/>
          <w:lang w:val="en-US"/>
        </w:rPr>
        <w:t>ines</w:t>
      </w:r>
      <w:r w:rsidRPr="00EF5B17">
        <w:rPr>
          <w:rFonts w:cstheme="minorHAnsi"/>
          <w:sz w:val="20"/>
          <w:szCs w:val="20"/>
          <w:lang w:val="en-US"/>
        </w:rPr>
        <w:t xml:space="preserve"> technical indicators like Bollinger Bands, Relative Strength Index, Moving Average Convergence Divergence, and 14-day</w:t>
      </w:r>
      <w:r w:rsidR="00D31C71">
        <w:rPr>
          <w:rFonts w:cstheme="minorHAnsi"/>
          <w:sz w:val="20"/>
          <w:szCs w:val="20"/>
          <w:lang w:val="en-US"/>
        </w:rPr>
        <w:t xml:space="preserve"> </w:t>
      </w:r>
      <w:r w:rsidRPr="00EF5B17">
        <w:rPr>
          <w:rFonts w:cstheme="minorHAnsi"/>
          <w:sz w:val="20"/>
          <w:szCs w:val="20"/>
          <w:lang w:val="en-US"/>
        </w:rPr>
        <w:t xml:space="preserve">Moving Average, along with the Dollar Index and international exchange rates, can improve Apple equity investment insights by offering both short-term trading signals and long-term trend analyses. </w:t>
      </w:r>
      <w:r w:rsidR="002000F0" w:rsidRPr="002000F0">
        <w:rPr>
          <w:rFonts w:cstheme="minorHAnsi"/>
          <w:sz w:val="20"/>
          <w:szCs w:val="20"/>
          <w:lang w:val="en-US"/>
        </w:rPr>
        <w:t>This multifaceted approach helps investors assess volatility, momentum, and relative strength and understand broader economic factors affecting Apple.</w:t>
      </w:r>
    </w:p>
    <w:p w14:paraId="2FAC6893" w14:textId="77777777" w:rsidR="00420FD4" w:rsidRDefault="00420FD4" w:rsidP="00420FD4">
      <w:pPr>
        <w:pStyle w:val="ListParagraph"/>
        <w:snapToGrid w:val="0"/>
        <w:spacing w:after="0" w:line="240" w:lineRule="auto"/>
        <w:ind w:left="1344"/>
        <w:contextualSpacing w:val="0"/>
        <w:rPr>
          <w:rFonts w:cstheme="minorHAnsi"/>
          <w:sz w:val="20"/>
          <w:szCs w:val="20"/>
          <w:lang w:val="en-US"/>
        </w:rPr>
      </w:pPr>
    </w:p>
    <w:p w14:paraId="7039E4A1" w14:textId="77777777" w:rsidR="00BA5DD4" w:rsidRDefault="00B44FF7" w:rsidP="00D243BE">
      <w:pPr>
        <w:pStyle w:val="ListParagraph"/>
        <w:numPr>
          <w:ilvl w:val="1"/>
          <w:numId w:val="36"/>
        </w:numPr>
        <w:snapToGrid w:val="0"/>
        <w:spacing w:after="0" w:line="240" w:lineRule="auto"/>
        <w:contextualSpacing w:val="0"/>
        <w:rPr>
          <w:rFonts w:cstheme="minorHAnsi"/>
          <w:b/>
          <w:bCs/>
          <w:sz w:val="20"/>
          <w:szCs w:val="20"/>
          <w:lang w:val="en-US"/>
        </w:rPr>
      </w:pPr>
      <w:r>
        <w:rPr>
          <w:rFonts w:cstheme="minorHAnsi"/>
          <w:b/>
          <w:bCs/>
          <w:sz w:val="20"/>
          <w:szCs w:val="20"/>
          <w:lang w:val="en-US"/>
        </w:rPr>
        <w:t>Student</w:t>
      </w:r>
      <w:r w:rsidR="00F63FD2">
        <w:rPr>
          <w:rFonts w:cstheme="minorHAnsi"/>
          <w:b/>
          <w:bCs/>
          <w:sz w:val="20"/>
          <w:szCs w:val="20"/>
          <w:lang w:val="en-US"/>
        </w:rPr>
        <w:t>:</w:t>
      </w:r>
      <w:r>
        <w:rPr>
          <w:rFonts w:cstheme="minorHAnsi"/>
          <w:b/>
          <w:bCs/>
          <w:sz w:val="20"/>
          <w:szCs w:val="20"/>
          <w:lang w:val="en-US"/>
        </w:rPr>
        <w:t xml:space="preserve"> Yhasreen - </w:t>
      </w:r>
      <w:r w:rsidR="00AC4001">
        <w:rPr>
          <w:rFonts w:cstheme="minorHAnsi"/>
          <w:b/>
          <w:bCs/>
          <w:sz w:val="20"/>
          <w:szCs w:val="20"/>
          <w:lang w:val="en-US"/>
        </w:rPr>
        <w:t>B</w:t>
      </w:r>
      <w:r w:rsidR="00B073C0" w:rsidRPr="00403088">
        <w:rPr>
          <w:rFonts w:cstheme="minorHAnsi"/>
          <w:b/>
          <w:bCs/>
          <w:sz w:val="20"/>
          <w:szCs w:val="20"/>
          <w:lang w:val="en-US"/>
        </w:rPr>
        <w:t>ond</w:t>
      </w:r>
      <w:r w:rsidRPr="00403088">
        <w:rPr>
          <w:rFonts w:cstheme="minorHAnsi"/>
          <w:b/>
          <w:bCs/>
          <w:sz w:val="20"/>
          <w:szCs w:val="20"/>
          <w:lang w:val="en-US"/>
        </w:rPr>
        <w:t xml:space="preserve"> Investment</w:t>
      </w:r>
      <w:r w:rsidR="002F3E44" w:rsidRPr="00403088">
        <w:rPr>
          <w:rFonts w:cstheme="minorHAnsi"/>
          <w:b/>
          <w:bCs/>
          <w:sz w:val="20"/>
          <w:szCs w:val="20"/>
          <w:lang w:val="en-US"/>
        </w:rPr>
        <w:t xml:space="preserve"> </w:t>
      </w:r>
      <w:r w:rsidRPr="00403088">
        <w:rPr>
          <w:rFonts w:cstheme="minorHAnsi"/>
          <w:b/>
          <w:bCs/>
          <w:sz w:val="20"/>
          <w:szCs w:val="20"/>
          <w:lang w:val="en-US"/>
        </w:rPr>
        <w:t>Data insights</w:t>
      </w:r>
      <w:r>
        <w:rPr>
          <w:rFonts w:cstheme="minorHAnsi"/>
          <w:b/>
          <w:bCs/>
          <w:sz w:val="20"/>
          <w:szCs w:val="20"/>
          <w:lang w:val="en-US"/>
        </w:rPr>
        <w:t>:</w:t>
      </w:r>
    </w:p>
    <w:p w14:paraId="7804DE82" w14:textId="77777777" w:rsidR="001F6E48" w:rsidRDefault="001F6E48" w:rsidP="00750815">
      <w:pPr>
        <w:pStyle w:val="ListParagraph"/>
        <w:snapToGrid w:val="0"/>
        <w:spacing w:after="0" w:line="240" w:lineRule="auto"/>
        <w:ind w:left="936"/>
        <w:contextualSpacing w:val="0"/>
        <w:rPr>
          <w:rFonts w:cstheme="minorHAnsi"/>
          <w:b/>
          <w:bCs/>
          <w:sz w:val="20"/>
          <w:szCs w:val="20"/>
          <w:lang w:val="en-US"/>
        </w:rPr>
      </w:pPr>
    </w:p>
    <w:p w14:paraId="6DD92253" w14:textId="77777777" w:rsidR="00A30EA3" w:rsidRDefault="00B44FF7" w:rsidP="00D243BE">
      <w:pPr>
        <w:pStyle w:val="ListParagraph"/>
        <w:numPr>
          <w:ilvl w:val="2"/>
          <w:numId w:val="36"/>
        </w:numPr>
        <w:snapToGrid w:val="0"/>
        <w:spacing w:after="0" w:line="240" w:lineRule="auto"/>
        <w:contextualSpacing w:val="0"/>
        <w:rPr>
          <w:rFonts w:cstheme="minorHAnsi"/>
          <w:b/>
          <w:bCs/>
          <w:sz w:val="20"/>
          <w:szCs w:val="20"/>
          <w:lang w:val="en-US"/>
        </w:rPr>
      </w:pPr>
      <w:r>
        <w:rPr>
          <w:rFonts w:cstheme="minorHAnsi"/>
          <w:b/>
          <w:bCs/>
          <w:noProof/>
          <w:sz w:val="20"/>
          <w:szCs w:val="20"/>
          <w:lang w:val="en-US" w:eastAsia="en-US"/>
        </w:rPr>
        <w:drawing>
          <wp:inline distT="0" distB="0" distL="0" distR="0" wp14:anchorId="3BE5EDC8" wp14:editId="7EDFDDB4">
            <wp:extent cx="1560830" cy="2077770"/>
            <wp:effectExtent l="0" t="0" r="1270" b="0"/>
            <wp:docPr id="1410463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463755"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566175" cy="2084885"/>
                    </a:xfrm>
                    <a:prstGeom prst="rect">
                      <a:avLst/>
                    </a:prstGeom>
                    <a:noFill/>
                    <a:ln>
                      <a:noFill/>
                    </a:ln>
                  </pic:spPr>
                </pic:pic>
              </a:graphicData>
            </a:graphic>
          </wp:inline>
        </w:drawing>
      </w:r>
    </w:p>
    <w:p w14:paraId="3E06C928" w14:textId="77777777" w:rsidR="00121170" w:rsidRDefault="00121170" w:rsidP="00750815">
      <w:pPr>
        <w:pStyle w:val="ListParagraph"/>
        <w:snapToGrid w:val="0"/>
        <w:spacing w:after="0" w:line="240" w:lineRule="auto"/>
        <w:ind w:left="1344"/>
        <w:contextualSpacing w:val="0"/>
        <w:rPr>
          <w:rFonts w:cstheme="minorHAnsi"/>
          <w:b/>
          <w:bCs/>
          <w:sz w:val="20"/>
          <w:szCs w:val="20"/>
          <w:lang w:val="en-US"/>
        </w:rPr>
      </w:pPr>
    </w:p>
    <w:p w14:paraId="255FD8E0" w14:textId="77777777" w:rsidR="001F6E48" w:rsidRDefault="00B44FF7" w:rsidP="00D243BE">
      <w:pPr>
        <w:pStyle w:val="ListParagraph"/>
        <w:numPr>
          <w:ilvl w:val="2"/>
          <w:numId w:val="36"/>
        </w:numPr>
        <w:snapToGrid w:val="0"/>
        <w:spacing w:after="0" w:line="240" w:lineRule="auto"/>
        <w:contextualSpacing w:val="0"/>
        <w:rPr>
          <w:rFonts w:cstheme="minorHAnsi"/>
          <w:b/>
          <w:bCs/>
          <w:sz w:val="20"/>
          <w:szCs w:val="20"/>
          <w:lang w:val="en-US"/>
        </w:rPr>
      </w:pPr>
      <w:r>
        <w:rPr>
          <w:rFonts w:cstheme="minorHAnsi"/>
          <w:b/>
          <w:bCs/>
          <w:noProof/>
          <w:sz w:val="20"/>
          <w:szCs w:val="20"/>
          <w:lang w:val="en-US" w:eastAsia="en-US"/>
        </w:rPr>
        <w:drawing>
          <wp:inline distT="0" distB="0" distL="0" distR="0" wp14:anchorId="6D49509A" wp14:editId="30A61ADC">
            <wp:extent cx="5200650" cy="3168713"/>
            <wp:effectExtent l="0" t="0" r="0" b="0"/>
            <wp:docPr id="9703498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349896"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208216" cy="3173323"/>
                    </a:xfrm>
                    <a:prstGeom prst="rect">
                      <a:avLst/>
                    </a:prstGeom>
                    <a:noFill/>
                    <a:ln>
                      <a:noFill/>
                    </a:ln>
                  </pic:spPr>
                </pic:pic>
              </a:graphicData>
            </a:graphic>
          </wp:inline>
        </w:drawing>
      </w:r>
    </w:p>
    <w:p w14:paraId="690FDEF1" w14:textId="77777777" w:rsidR="00733882" w:rsidRPr="00733882" w:rsidRDefault="00733882" w:rsidP="00750815">
      <w:pPr>
        <w:pStyle w:val="ListParagraph"/>
        <w:snapToGrid w:val="0"/>
        <w:spacing w:after="0" w:line="240" w:lineRule="auto"/>
        <w:ind w:left="1344"/>
        <w:contextualSpacing w:val="0"/>
        <w:rPr>
          <w:rFonts w:cstheme="minorHAnsi"/>
          <w:b/>
          <w:bCs/>
          <w:sz w:val="20"/>
          <w:szCs w:val="20"/>
          <w:lang w:val="en-US"/>
        </w:rPr>
      </w:pPr>
    </w:p>
    <w:p w14:paraId="1968FA4B" w14:textId="54238501" w:rsidR="00D2791C" w:rsidRPr="00805E3A" w:rsidRDefault="00B44FF7" w:rsidP="00D243BE">
      <w:pPr>
        <w:pStyle w:val="ListParagraph"/>
        <w:numPr>
          <w:ilvl w:val="2"/>
          <w:numId w:val="36"/>
        </w:numPr>
        <w:snapToGrid w:val="0"/>
        <w:spacing w:after="0" w:line="240" w:lineRule="auto"/>
        <w:contextualSpacing w:val="0"/>
        <w:rPr>
          <w:rFonts w:cstheme="minorHAnsi"/>
          <w:sz w:val="20"/>
          <w:szCs w:val="20"/>
          <w:lang w:val="en-US"/>
        </w:rPr>
      </w:pPr>
      <w:r w:rsidRPr="00805E3A">
        <w:rPr>
          <w:rFonts w:cstheme="minorHAnsi"/>
          <w:sz w:val="20"/>
          <w:szCs w:val="20"/>
          <w:lang w:val="en-US"/>
        </w:rPr>
        <w:t xml:space="preserve">The correlations between the ETFs, namely XLF, XLI, XLK, and XLC and the 2-year Treasury bond yield present varied degrees of association with fixed-income instruments, thereby crafting distinct potential investment strategies. </w:t>
      </w:r>
    </w:p>
    <w:p w14:paraId="6B56C81D" w14:textId="77777777" w:rsidR="00733882" w:rsidRDefault="00B44FF7" w:rsidP="00D243BE">
      <w:pPr>
        <w:pStyle w:val="ListParagraph"/>
        <w:numPr>
          <w:ilvl w:val="2"/>
          <w:numId w:val="36"/>
        </w:numPr>
        <w:snapToGrid w:val="0"/>
        <w:spacing w:after="0" w:line="240" w:lineRule="auto"/>
        <w:contextualSpacing w:val="0"/>
        <w:rPr>
          <w:rFonts w:cstheme="minorHAnsi"/>
          <w:sz w:val="20"/>
          <w:szCs w:val="20"/>
          <w:lang w:val="en-US"/>
        </w:rPr>
      </w:pPr>
      <w:r w:rsidRPr="00733882">
        <w:rPr>
          <w:rFonts w:cstheme="minorHAnsi"/>
          <w:sz w:val="20"/>
          <w:szCs w:val="20"/>
          <w:lang w:val="en-US"/>
        </w:rPr>
        <w:t>XLF, with the highest correlation of 0.242753, signifies a more pronounced relationship with the Treasury yield, hinting that the financial sector influences short-term interest rate movements. XLI and XLK, with correlations of 0.196980 and 0.097211, respectively, present moderate to low correlations, suggesting that the industrial and technology sectors might offer some degree of diversification away from the direct movements of 2-year Treasury yields, although with some residual sensitivity.</w:t>
      </w:r>
    </w:p>
    <w:p w14:paraId="138ACD69" w14:textId="77777777" w:rsidR="00733882" w:rsidRPr="00733882" w:rsidRDefault="00B44FF7" w:rsidP="00D243BE">
      <w:pPr>
        <w:pStyle w:val="ListParagraph"/>
        <w:numPr>
          <w:ilvl w:val="2"/>
          <w:numId w:val="36"/>
        </w:numPr>
        <w:snapToGrid w:val="0"/>
        <w:spacing w:after="0" w:line="240" w:lineRule="auto"/>
        <w:contextualSpacing w:val="0"/>
        <w:rPr>
          <w:rFonts w:cstheme="minorHAnsi"/>
          <w:sz w:val="20"/>
          <w:szCs w:val="20"/>
          <w:lang w:val="en-US"/>
        </w:rPr>
      </w:pPr>
      <w:r w:rsidRPr="00733882">
        <w:rPr>
          <w:rFonts w:cstheme="minorHAnsi"/>
          <w:sz w:val="20"/>
          <w:szCs w:val="20"/>
          <w:lang w:val="en-US"/>
        </w:rPr>
        <w:t>XLC, with the lowest correlation</w:t>
      </w:r>
      <w:r>
        <w:rPr>
          <w:rFonts w:cstheme="minorHAnsi"/>
          <w:sz w:val="20"/>
          <w:szCs w:val="20"/>
          <w:lang w:val="en-US"/>
        </w:rPr>
        <w:t xml:space="preserve"> of </w:t>
      </w:r>
      <w:r w:rsidRPr="00733882">
        <w:rPr>
          <w:rFonts w:cstheme="minorHAnsi"/>
          <w:sz w:val="20"/>
          <w:szCs w:val="20"/>
          <w:lang w:val="en-US"/>
        </w:rPr>
        <w:t xml:space="preserve">0.060744, might be a potential diversification tool during specific market conditions. An investor might leverage these correlations in crafting a diversified portfolio, aligning exposures </w:t>
      </w:r>
      <w:r w:rsidRPr="00733882">
        <w:rPr>
          <w:rFonts w:cstheme="minorHAnsi"/>
          <w:sz w:val="20"/>
          <w:szCs w:val="20"/>
          <w:lang w:val="en-US"/>
        </w:rPr>
        <w:lastRenderedPageBreak/>
        <w:t xml:space="preserve">across sectors with anticipated movements in 2-year Treasury yields to modulate risk and return strategically across various market conditions. </w:t>
      </w:r>
    </w:p>
    <w:p w14:paraId="23C21C0C" w14:textId="77777777" w:rsidR="00121170" w:rsidRDefault="00B44FF7" w:rsidP="00D243BE">
      <w:pPr>
        <w:pStyle w:val="ListParagraph"/>
        <w:numPr>
          <w:ilvl w:val="2"/>
          <w:numId w:val="36"/>
        </w:numPr>
        <w:snapToGrid w:val="0"/>
        <w:spacing w:after="0" w:line="240" w:lineRule="auto"/>
        <w:contextualSpacing w:val="0"/>
        <w:rPr>
          <w:rFonts w:cstheme="minorHAnsi"/>
          <w:sz w:val="20"/>
          <w:szCs w:val="20"/>
          <w:lang w:val="en-US"/>
        </w:rPr>
      </w:pPr>
      <w:r>
        <w:rPr>
          <w:noProof/>
          <w:lang w:val="en-US" w:eastAsia="en-US"/>
        </w:rPr>
        <w:drawing>
          <wp:inline distT="0" distB="0" distL="0" distR="0" wp14:anchorId="6F612796" wp14:editId="7D389223">
            <wp:extent cx="5693613" cy="3503691"/>
            <wp:effectExtent l="0" t="0" r="2540" b="1905"/>
            <wp:docPr id="1896261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61380" name=""/>
                    <pic:cNvPicPr/>
                  </pic:nvPicPr>
                  <pic:blipFill>
                    <a:blip r:embed="rId15"/>
                    <a:stretch>
                      <a:fillRect/>
                    </a:stretch>
                  </pic:blipFill>
                  <pic:spPr>
                    <a:xfrm>
                      <a:off x="0" y="0"/>
                      <a:ext cx="5713223" cy="3515758"/>
                    </a:xfrm>
                    <a:prstGeom prst="rect">
                      <a:avLst/>
                    </a:prstGeom>
                  </pic:spPr>
                </pic:pic>
              </a:graphicData>
            </a:graphic>
          </wp:inline>
        </w:drawing>
      </w:r>
    </w:p>
    <w:p w14:paraId="68BAC396" w14:textId="77777777" w:rsidR="00121170" w:rsidRDefault="00121170" w:rsidP="00750815">
      <w:pPr>
        <w:pStyle w:val="ListParagraph"/>
        <w:snapToGrid w:val="0"/>
        <w:spacing w:after="0" w:line="240" w:lineRule="auto"/>
        <w:ind w:left="1344"/>
        <w:contextualSpacing w:val="0"/>
        <w:rPr>
          <w:rFonts w:cstheme="minorHAnsi"/>
          <w:sz w:val="20"/>
          <w:szCs w:val="20"/>
          <w:lang w:val="en-US"/>
        </w:rPr>
      </w:pPr>
    </w:p>
    <w:p w14:paraId="5FEE396B" w14:textId="77777777" w:rsidR="009134B9" w:rsidRDefault="009134B9" w:rsidP="00750815">
      <w:pPr>
        <w:pStyle w:val="ListParagraph"/>
        <w:snapToGrid w:val="0"/>
        <w:spacing w:after="0" w:line="240" w:lineRule="auto"/>
        <w:ind w:left="1344"/>
        <w:contextualSpacing w:val="0"/>
        <w:rPr>
          <w:rFonts w:cstheme="minorHAnsi"/>
          <w:sz w:val="20"/>
          <w:szCs w:val="20"/>
          <w:lang w:val="en-US"/>
        </w:rPr>
      </w:pPr>
    </w:p>
    <w:p w14:paraId="511D953D" w14:textId="77777777" w:rsidR="002E36B9" w:rsidRDefault="00B44FF7" w:rsidP="00D243BE">
      <w:pPr>
        <w:pStyle w:val="ListParagraph"/>
        <w:numPr>
          <w:ilvl w:val="2"/>
          <w:numId w:val="36"/>
        </w:numPr>
        <w:snapToGrid w:val="0"/>
        <w:spacing w:after="0" w:line="240" w:lineRule="auto"/>
        <w:contextualSpacing w:val="0"/>
        <w:rPr>
          <w:rFonts w:cstheme="minorHAnsi"/>
          <w:sz w:val="20"/>
          <w:szCs w:val="20"/>
          <w:lang w:val="en-US"/>
        </w:rPr>
      </w:pPr>
      <w:r w:rsidRPr="00C637DE">
        <w:rPr>
          <w:rFonts w:cstheme="minorHAnsi"/>
          <w:sz w:val="20"/>
          <w:szCs w:val="20"/>
          <w:lang w:val="en-US"/>
        </w:rPr>
        <w:t xml:space="preserve">A notable negative correlation of -0.76 between SHY (iShares 1-3 Year Treasury Bond ETF) and the 2-Year Treasury Yield suggests that as yields increase, the value of SHY typically decreases, and vice versa. Investors can employ a hedging strategy by taking positions in SHY to counterbalance their exposure to interest rate risks in their portfolios. </w:t>
      </w:r>
    </w:p>
    <w:p w14:paraId="44BEE381" w14:textId="77777777" w:rsidR="00EF5B17" w:rsidRDefault="00EF5B17" w:rsidP="00805E3A">
      <w:pPr>
        <w:pStyle w:val="ListParagraph"/>
        <w:snapToGrid w:val="0"/>
        <w:spacing w:after="0" w:line="240" w:lineRule="auto"/>
        <w:ind w:left="1344"/>
        <w:contextualSpacing w:val="0"/>
        <w:rPr>
          <w:rFonts w:cstheme="minorHAnsi"/>
          <w:sz w:val="20"/>
          <w:szCs w:val="20"/>
          <w:lang w:val="en-US"/>
        </w:rPr>
      </w:pPr>
    </w:p>
    <w:p w14:paraId="76F3170E" w14:textId="77777777" w:rsidR="007060CC" w:rsidRDefault="007060CC" w:rsidP="00750815">
      <w:pPr>
        <w:snapToGrid w:val="0"/>
        <w:spacing w:after="0" w:line="240" w:lineRule="auto"/>
        <w:rPr>
          <w:rFonts w:cstheme="minorHAnsi"/>
          <w:sz w:val="20"/>
          <w:szCs w:val="20"/>
          <w:lang w:val="en-US"/>
        </w:rPr>
      </w:pPr>
    </w:p>
    <w:p w14:paraId="66C86261" w14:textId="77777777" w:rsidR="007060CC" w:rsidRDefault="007060CC" w:rsidP="00750815">
      <w:pPr>
        <w:snapToGrid w:val="0"/>
        <w:spacing w:after="0" w:line="240" w:lineRule="auto"/>
        <w:rPr>
          <w:rFonts w:cstheme="minorHAnsi"/>
          <w:sz w:val="20"/>
          <w:szCs w:val="20"/>
          <w:lang w:val="en-US"/>
        </w:rPr>
      </w:pPr>
    </w:p>
    <w:p w14:paraId="30730B77" w14:textId="77777777" w:rsidR="007060CC" w:rsidRDefault="007060CC" w:rsidP="00750815">
      <w:pPr>
        <w:snapToGrid w:val="0"/>
        <w:spacing w:after="0" w:line="240" w:lineRule="auto"/>
        <w:rPr>
          <w:rFonts w:cstheme="minorHAnsi"/>
          <w:sz w:val="20"/>
          <w:szCs w:val="20"/>
          <w:lang w:val="en-US"/>
        </w:rPr>
      </w:pPr>
    </w:p>
    <w:p w14:paraId="488BA11B" w14:textId="77777777" w:rsidR="007060CC" w:rsidRDefault="007060CC" w:rsidP="00750815">
      <w:pPr>
        <w:snapToGrid w:val="0"/>
        <w:spacing w:after="0" w:line="240" w:lineRule="auto"/>
        <w:rPr>
          <w:rFonts w:cstheme="minorHAnsi"/>
          <w:sz w:val="20"/>
          <w:szCs w:val="20"/>
          <w:lang w:val="en-US"/>
        </w:rPr>
      </w:pPr>
    </w:p>
    <w:p w14:paraId="2FB07096" w14:textId="77777777" w:rsidR="007060CC" w:rsidRDefault="007060CC" w:rsidP="00750815">
      <w:pPr>
        <w:snapToGrid w:val="0"/>
        <w:spacing w:after="0" w:line="240" w:lineRule="auto"/>
        <w:rPr>
          <w:rFonts w:cstheme="minorHAnsi"/>
          <w:sz w:val="20"/>
          <w:szCs w:val="20"/>
          <w:lang w:val="en-US"/>
        </w:rPr>
      </w:pPr>
    </w:p>
    <w:p w14:paraId="1EDBF3ED" w14:textId="77777777" w:rsidR="007060CC" w:rsidRDefault="007060CC" w:rsidP="00750815">
      <w:pPr>
        <w:snapToGrid w:val="0"/>
        <w:spacing w:after="0" w:line="240" w:lineRule="auto"/>
        <w:rPr>
          <w:rFonts w:cstheme="minorHAnsi"/>
          <w:sz w:val="20"/>
          <w:szCs w:val="20"/>
          <w:lang w:val="en-US"/>
        </w:rPr>
      </w:pPr>
    </w:p>
    <w:p w14:paraId="77297EDF" w14:textId="77777777" w:rsidR="007060CC" w:rsidRDefault="007060CC" w:rsidP="00750815">
      <w:pPr>
        <w:snapToGrid w:val="0"/>
        <w:spacing w:after="0" w:line="240" w:lineRule="auto"/>
        <w:rPr>
          <w:rFonts w:cstheme="minorHAnsi"/>
          <w:sz w:val="20"/>
          <w:szCs w:val="20"/>
          <w:lang w:val="en-US"/>
        </w:rPr>
      </w:pPr>
    </w:p>
    <w:p w14:paraId="0DF51E8F" w14:textId="77777777" w:rsidR="007060CC" w:rsidRDefault="007060CC" w:rsidP="00750815">
      <w:pPr>
        <w:snapToGrid w:val="0"/>
        <w:spacing w:after="0" w:line="240" w:lineRule="auto"/>
        <w:rPr>
          <w:rFonts w:cstheme="minorHAnsi"/>
          <w:sz w:val="20"/>
          <w:szCs w:val="20"/>
          <w:lang w:val="en-US"/>
        </w:rPr>
      </w:pPr>
    </w:p>
    <w:p w14:paraId="0FA21D02" w14:textId="77777777" w:rsidR="007060CC" w:rsidRDefault="007060CC" w:rsidP="00750815">
      <w:pPr>
        <w:snapToGrid w:val="0"/>
        <w:spacing w:after="0" w:line="240" w:lineRule="auto"/>
        <w:rPr>
          <w:rFonts w:cstheme="minorHAnsi"/>
          <w:sz w:val="20"/>
          <w:szCs w:val="20"/>
          <w:lang w:val="en-US"/>
        </w:rPr>
      </w:pPr>
    </w:p>
    <w:p w14:paraId="593F8D06" w14:textId="77777777" w:rsidR="007060CC" w:rsidRDefault="007060CC" w:rsidP="00750815">
      <w:pPr>
        <w:snapToGrid w:val="0"/>
        <w:spacing w:after="0" w:line="240" w:lineRule="auto"/>
        <w:rPr>
          <w:rFonts w:cstheme="minorHAnsi"/>
          <w:sz w:val="20"/>
          <w:szCs w:val="20"/>
          <w:lang w:val="en-US"/>
        </w:rPr>
      </w:pPr>
    </w:p>
    <w:p w14:paraId="7611FAF7" w14:textId="77777777" w:rsidR="007060CC" w:rsidRDefault="007060CC" w:rsidP="00750815">
      <w:pPr>
        <w:snapToGrid w:val="0"/>
        <w:spacing w:after="0" w:line="240" w:lineRule="auto"/>
        <w:rPr>
          <w:rFonts w:cstheme="minorHAnsi"/>
          <w:sz w:val="20"/>
          <w:szCs w:val="20"/>
          <w:lang w:val="en-US"/>
        </w:rPr>
      </w:pPr>
    </w:p>
    <w:p w14:paraId="2AD5C321" w14:textId="77777777" w:rsidR="007060CC" w:rsidRDefault="007060CC" w:rsidP="00750815">
      <w:pPr>
        <w:snapToGrid w:val="0"/>
        <w:spacing w:after="0" w:line="240" w:lineRule="auto"/>
        <w:rPr>
          <w:rFonts w:cstheme="minorHAnsi"/>
          <w:sz w:val="20"/>
          <w:szCs w:val="20"/>
          <w:lang w:val="en-US"/>
        </w:rPr>
      </w:pPr>
    </w:p>
    <w:p w14:paraId="65AB83F4" w14:textId="77777777" w:rsidR="007060CC" w:rsidRDefault="007060CC" w:rsidP="00750815">
      <w:pPr>
        <w:snapToGrid w:val="0"/>
        <w:spacing w:after="0" w:line="240" w:lineRule="auto"/>
        <w:rPr>
          <w:rFonts w:cstheme="minorHAnsi"/>
          <w:sz w:val="20"/>
          <w:szCs w:val="20"/>
          <w:lang w:val="en-US"/>
        </w:rPr>
      </w:pPr>
    </w:p>
    <w:p w14:paraId="7FF225F7" w14:textId="77777777" w:rsidR="007060CC" w:rsidRDefault="007060CC" w:rsidP="00750815">
      <w:pPr>
        <w:snapToGrid w:val="0"/>
        <w:spacing w:after="0" w:line="240" w:lineRule="auto"/>
        <w:rPr>
          <w:rFonts w:cstheme="minorHAnsi"/>
          <w:sz w:val="20"/>
          <w:szCs w:val="20"/>
          <w:lang w:val="en-US"/>
        </w:rPr>
      </w:pPr>
    </w:p>
    <w:p w14:paraId="07A77E61" w14:textId="77777777" w:rsidR="007060CC" w:rsidRPr="007060CC" w:rsidRDefault="007060CC" w:rsidP="00750815">
      <w:pPr>
        <w:snapToGrid w:val="0"/>
        <w:spacing w:after="0" w:line="240" w:lineRule="auto"/>
        <w:rPr>
          <w:rFonts w:cstheme="minorHAnsi"/>
          <w:sz w:val="20"/>
          <w:szCs w:val="20"/>
          <w:lang w:val="en-US"/>
        </w:rPr>
      </w:pPr>
    </w:p>
    <w:p w14:paraId="3FA7F647" w14:textId="77777777" w:rsidR="00392EBB" w:rsidRPr="00392EBB" w:rsidRDefault="00392EBB" w:rsidP="00750815">
      <w:pPr>
        <w:pStyle w:val="ListParagraph"/>
        <w:snapToGrid w:val="0"/>
        <w:spacing w:after="0" w:line="240" w:lineRule="auto"/>
        <w:contextualSpacing w:val="0"/>
        <w:rPr>
          <w:rFonts w:cstheme="minorHAnsi"/>
          <w:sz w:val="20"/>
          <w:szCs w:val="20"/>
          <w:lang w:val="en-US"/>
        </w:rPr>
      </w:pPr>
    </w:p>
    <w:p w14:paraId="299FCD9F" w14:textId="77777777" w:rsidR="00EB495C" w:rsidRDefault="00B44FF7" w:rsidP="00D243BE">
      <w:pPr>
        <w:pStyle w:val="ListParagraph"/>
        <w:numPr>
          <w:ilvl w:val="2"/>
          <w:numId w:val="36"/>
        </w:numPr>
        <w:snapToGrid w:val="0"/>
        <w:spacing w:after="0" w:line="240" w:lineRule="auto"/>
        <w:contextualSpacing w:val="0"/>
        <w:rPr>
          <w:rFonts w:cstheme="minorHAnsi"/>
          <w:sz w:val="20"/>
          <w:szCs w:val="20"/>
          <w:lang w:val="en-US"/>
        </w:rPr>
      </w:pPr>
      <w:r>
        <w:rPr>
          <w:rFonts w:cstheme="minorHAnsi"/>
          <w:noProof/>
          <w:sz w:val="20"/>
          <w:szCs w:val="20"/>
          <w:lang w:val="en-US" w:eastAsia="en-US"/>
        </w:rPr>
        <w:lastRenderedPageBreak/>
        <w:drawing>
          <wp:inline distT="0" distB="0" distL="0" distR="0" wp14:anchorId="7E4B313D" wp14:editId="25ACD9FD">
            <wp:extent cx="5549053" cy="3078178"/>
            <wp:effectExtent l="0" t="0" r="0" b="8255"/>
            <wp:docPr id="11540747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074701" name="Picture 4"/>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567403" cy="3088357"/>
                    </a:xfrm>
                    <a:prstGeom prst="rect">
                      <a:avLst/>
                    </a:prstGeom>
                    <a:noFill/>
                    <a:ln>
                      <a:noFill/>
                    </a:ln>
                  </pic:spPr>
                </pic:pic>
              </a:graphicData>
            </a:graphic>
          </wp:inline>
        </w:drawing>
      </w:r>
    </w:p>
    <w:p w14:paraId="72A01FB4" w14:textId="77777777" w:rsidR="00565E79" w:rsidRPr="00565E79" w:rsidRDefault="00565E79" w:rsidP="00750815">
      <w:pPr>
        <w:pStyle w:val="ListParagraph"/>
        <w:snapToGrid w:val="0"/>
        <w:spacing w:after="0" w:line="240" w:lineRule="auto"/>
        <w:contextualSpacing w:val="0"/>
        <w:rPr>
          <w:rFonts w:cstheme="minorHAnsi"/>
          <w:sz w:val="20"/>
          <w:szCs w:val="20"/>
          <w:lang w:val="en-US"/>
        </w:rPr>
      </w:pPr>
    </w:p>
    <w:p w14:paraId="03ED3F85" w14:textId="77777777" w:rsidR="00392EBB" w:rsidRPr="00392EBB" w:rsidRDefault="00392EBB" w:rsidP="00750815">
      <w:pPr>
        <w:pStyle w:val="ListParagraph"/>
        <w:snapToGrid w:val="0"/>
        <w:spacing w:after="0" w:line="240" w:lineRule="auto"/>
        <w:contextualSpacing w:val="0"/>
        <w:rPr>
          <w:rFonts w:cstheme="minorHAnsi"/>
          <w:sz w:val="20"/>
          <w:szCs w:val="20"/>
          <w:lang w:val="en-US"/>
        </w:rPr>
      </w:pPr>
    </w:p>
    <w:p w14:paraId="3FAA7FFF" w14:textId="77777777" w:rsidR="00392EBB" w:rsidRDefault="00B44FF7" w:rsidP="00D243BE">
      <w:pPr>
        <w:pStyle w:val="ListParagraph"/>
        <w:numPr>
          <w:ilvl w:val="2"/>
          <w:numId w:val="36"/>
        </w:numPr>
        <w:snapToGrid w:val="0"/>
        <w:spacing w:after="0" w:line="240" w:lineRule="auto"/>
        <w:contextualSpacing w:val="0"/>
        <w:rPr>
          <w:rFonts w:cstheme="minorHAnsi"/>
          <w:sz w:val="20"/>
          <w:szCs w:val="20"/>
          <w:lang w:val="en-US"/>
        </w:rPr>
      </w:pPr>
      <w:r>
        <w:rPr>
          <w:rFonts w:cstheme="minorHAnsi"/>
          <w:noProof/>
          <w:sz w:val="20"/>
          <w:szCs w:val="20"/>
          <w:lang w:val="en-US" w:eastAsia="en-US"/>
        </w:rPr>
        <w:drawing>
          <wp:inline distT="0" distB="0" distL="0" distR="0" wp14:anchorId="733376E1" wp14:editId="186489E1">
            <wp:extent cx="5622202" cy="1484529"/>
            <wp:effectExtent l="0" t="0" r="0" b="1905"/>
            <wp:docPr id="16923649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64996" name="Picture 7"/>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662596" cy="1495195"/>
                    </a:xfrm>
                    <a:prstGeom prst="rect">
                      <a:avLst/>
                    </a:prstGeom>
                    <a:noFill/>
                    <a:ln>
                      <a:noFill/>
                    </a:ln>
                  </pic:spPr>
                </pic:pic>
              </a:graphicData>
            </a:graphic>
          </wp:inline>
        </w:drawing>
      </w:r>
    </w:p>
    <w:p w14:paraId="0AFD39B3" w14:textId="77777777" w:rsidR="00392EBB" w:rsidRDefault="00392EBB" w:rsidP="00750815">
      <w:pPr>
        <w:pStyle w:val="ListParagraph"/>
        <w:snapToGrid w:val="0"/>
        <w:spacing w:after="0" w:line="240" w:lineRule="auto"/>
        <w:ind w:left="1344"/>
        <w:contextualSpacing w:val="0"/>
        <w:rPr>
          <w:rFonts w:cstheme="minorHAnsi"/>
          <w:sz w:val="20"/>
          <w:szCs w:val="20"/>
          <w:lang w:val="en-US"/>
        </w:rPr>
      </w:pPr>
    </w:p>
    <w:p w14:paraId="2F9B3642" w14:textId="77777777" w:rsidR="00D2791C" w:rsidRDefault="00D2791C" w:rsidP="00750815">
      <w:pPr>
        <w:pStyle w:val="ListParagraph"/>
        <w:snapToGrid w:val="0"/>
        <w:spacing w:after="0" w:line="240" w:lineRule="auto"/>
        <w:ind w:left="1344"/>
        <w:contextualSpacing w:val="0"/>
        <w:rPr>
          <w:rFonts w:cstheme="minorHAnsi"/>
          <w:sz w:val="20"/>
          <w:szCs w:val="20"/>
          <w:lang w:val="en-US"/>
        </w:rPr>
      </w:pPr>
    </w:p>
    <w:p w14:paraId="707D5E96" w14:textId="77777777" w:rsidR="00027133" w:rsidRDefault="00B44FF7" w:rsidP="00D243BE">
      <w:pPr>
        <w:pStyle w:val="ListParagraph"/>
        <w:numPr>
          <w:ilvl w:val="2"/>
          <w:numId w:val="36"/>
        </w:numPr>
        <w:snapToGrid w:val="0"/>
        <w:spacing w:after="0" w:line="240" w:lineRule="auto"/>
        <w:contextualSpacing w:val="0"/>
        <w:rPr>
          <w:rFonts w:cstheme="minorHAnsi"/>
          <w:sz w:val="20"/>
          <w:szCs w:val="20"/>
          <w:lang w:val="en-US"/>
        </w:rPr>
      </w:pPr>
      <w:r>
        <w:rPr>
          <w:rFonts w:cstheme="minorHAnsi"/>
          <w:sz w:val="20"/>
          <w:szCs w:val="20"/>
          <w:lang w:val="en-US"/>
        </w:rPr>
        <w:t>T</w:t>
      </w:r>
      <w:r w:rsidR="00EB495C" w:rsidRPr="00EB495C">
        <w:rPr>
          <w:rFonts w:cstheme="minorHAnsi"/>
          <w:sz w:val="20"/>
          <w:szCs w:val="20"/>
          <w:lang w:val="en-US"/>
        </w:rPr>
        <w:t xml:space="preserve">he dynamics between the U.S. Debt, U.S. Trade, and the U.S. 2-year Treasury bond are multifaceted and profoundly interlinked. The substantial drop in China's holding of U.S. debt, from USD 1.033 trillion in Jan 2022 to USD 859.4 billion in Jan 2023, manifests a tangible shift in the geopolitical and economic landscape and could have implications for bond yields and interest rates. </w:t>
      </w:r>
    </w:p>
    <w:p w14:paraId="14A28DD1" w14:textId="77777777" w:rsidR="00DD3892" w:rsidRDefault="00DD3892" w:rsidP="00750815">
      <w:pPr>
        <w:pStyle w:val="ListParagraph"/>
        <w:snapToGrid w:val="0"/>
        <w:spacing w:after="0" w:line="240" w:lineRule="auto"/>
        <w:ind w:left="1344"/>
        <w:contextualSpacing w:val="0"/>
        <w:rPr>
          <w:rFonts w:cstheme="minorHAnsi"/>
          <w:sz w:val="20"/>
          <w:szCs w:val="20"/>
          <w:lang w:val="en-US"/>
        </w:rPr>
      </w:pPr>
    </w:p>
    <w:p w14:paraId="3B273F00" w14:textId="77777777" w:rsidR="00027133" w:rsidRDefault="00B44FF7" w:rsidP="00D243BE">
      <w:pPr>
        <w:pStyle w:val="ListParagraph"/>
        <w:numPr>
          <w:ilvl w:val="2"/>
          <w:numId w:val="36"/>
        </w:numPr>
        <w:snapToGrid w:val="0"/>
        <w:spacing w:after="0" w:line="240" w:lineRule="auto"/>
        <w:contextualSpacing w:val="0"/>
        <w:rPr>
          <w:rFonts w:cstheme="minorHAnsi"/>
          <w:sz w:val="20"/>
          <w:szCs w:val="20"/>
          <w:lang w:val="en-US"/>
        </w:rPr>
      </w:pPr>
      <w:r w:rsidRPr="00EB495C">
        <w:rPr>
          <w:rFonts w:cstheme="minorHAnsi"/>
          <w:sz w:val="20"/>
          <w:szCs w:val="20"/>
          <w:lang w:val="en-US"/>
        </w:rPr>
        <w:t xml:space="preserve">Concurrently, with U.S. trade imports soaring to USD 3.767 trillion and exports incrementally edging to USD 744 million, the widening trade deficit may exert pressure on the dollar, potentially impacting inflation rates. The ramifications of these developments on the U.S. 2-year Treasury bond are complex. </w:t>
      </w:r>
    </w:p>
    <w:p w14:paraId="6BA8C60E" w14:textId="77777777" w:rsidR="00DD3892" w:rsidRPr="00DD3892" w:rsidRDefault="00DD3892" w:rsidP="00750815">
      <w:pPr>
        <w:pStyle w:val="ListParagraph"/>
        <w:snapToGrid w:val="0"/>
        <w:spacing w:after="0" w:line="240" w:lineRule="auto"/>
        <w:contextualSpacing w:val="0"/>
        <w:rPr>
          <w:rFonts w:cstheme="minorHAnsi"/>
          <w:sz w:val="20"/>
          <w:szCs w:val="20"/>
          <w:lang w:val="en-US"/>
        </w:rPr>
      </w:pPr>
    </w:p>
    <w:p w14:paraId="3CE18CDF" w14:textId="77777777" w:rsidR="006E6329" w:rsidRDefault="00B44FF7" w:rsidP="00D243BE">
      <w:pPr>
        <w:pStyle w:val="ListParagraph"/>
        <w:numPr>
          <w:ilvl w:val="2"/>
          <w:numId w:val="36"/>
        </w:numPr>
        <w:snapToGrid w:val="0"/>
        <w:spacing w:after="0" w:line="240" w:lineRule="auto"/>
        <w:contextualSpacing w:val="0"/>
        <w:rPr>
          <w:rFonts w:cstheme="minorHAnsi"/>
          <w:sz w:val="20"/>
          <w:szCs w:val="20"/>
          <w:lang w:val="en-US"/>
        </w:rPr>
      </w:pPr>
      <w:r w:rsidRPr="00EB495C">
        <w:rPr>
          <w:rFonts w:cstheme="minorHAnsi"/>
          <w:sz w:val="20"/>
          <w:szCs w:val="20"/>
          <w:lang w:val="en-US"/>
        </w:rPr>
        <w:t>The substantial shedding of U.S. debt by China, coupled with the growing trade deficit</w:t>
      </w:r>
      <w:r w:rsidR="0004665D">
        <w:rPr>
          <w:rFonts w:cstheme="minorHAnsi"/>
          <w:sz w:val="20"/>
          <w:szCs w:val="20"/>
          <w:lang w:val="en-US"/>
        </w:rPr>
        <w:t xml:space="preserve"> and trade tensions</w:t>
      </w:r>
      <w:r w:rsidRPr="00EB495C">
        <w:rPr>
          <w:rFonts w:cstheme="minorHAnsi"/>
          <w:sz w:val="20"/>
          <w:szCs w:val="20"/>
          <w:lang w:val="en-US"/>
        </w:rPr>
        <w:t>, could lead to upward pressure on bond yields to attract buyers. Consequently, the outlook for bonds may be harmful, reflecting apprehensions regarding the U.S.'s escalating debt and potential inflationary impacts.</w:t>
      </w:r>
    </w:p>
    <w:p w14:paraId="33E62679" w14:textId="77777777" w:rsidR="006E6329" w:rsidRPr="006E6329" w:rsidRDefault="006E6329" w:rsidP="006E6329">
      <w:pPr>
        <w:pStyle w:val="ListParagraph"/>
        <w:rPr>
          <w:rFonts w:cstheme="minorHAnsi"/>
          <w:sz w:val="20"/>
          <w:szCs w:val="20"/>
          <w:lang w:val="en-US"/>
        </w:rPr>
      </w:pPr>
    </w:p>
    <w:p w14:paraId="11866295" w14:textId="7CE41954" w:rsidR="006E6329" w:rsidRDefault="006E6329" w:rsidP="00D243BE">
      <w:pPr>
        <w:pStyle w:val="ListParagraph"/>
        <w:numPr>
          <w:ilvl w:val="2"/>
          <w:numId w:val="36"/>
        </w:numPr>
        <w:snapToGrid w:val="0"/>
        <w:spacing w:after="0" w:line="240" w:lineRule="auto"/>
        <w:contextualSpacing w:val="0"/>
        <w:rPr>
          <w:rFonts w:cstheme="minorHAnsi"/>
          <w:sz w:val="20"/>
          <w:szCs w:val="20"/>
          <w:lang w:val="en-US"/>
        </w:rPr>
      </w:pPr>
      <w:r>
        <w:rPr>
          <w:rFonts w:cstheme="minorHAnsi"/>
          <w:sz w:val="20"/>
          <w:szCs w:val="20"/>
          <w:lang w:val="en-US"/>
        </w:rPr>
        <w:t xml:space="preserve">GWP1 delve into </w:t>
      </w:r>
      <w:r w:rsidRPr="006E6329">
        <w:rPr>
          <w:rFonts w:cstheme="minorHAnsi"/>
          <w:sz w:val="20"/>
          <w:szCs w:val="20"/>
          <w:lang w:val="en-US"/>
        </w:rPr>
        <w:t xml:space="preserve">CPI, unemployment rate, savings, and the inverted yield curve </w:t>
      </w:r>
      <w:r>
        <w:rPr>
          <w:rFonts w:cstheme="minorHAnsi"/>
          <w:sz w:val="20"/>
          <w:szCs w:val="20"/>
          <w:lang w:val="en-US"/>
        </w:rPr>
        <w:t xml:space="preserve">which </w:t>
      </w:r>
      <w:r w:rsidRPr="006E6329">
        <w:rPr>
          <w:rFonts w:cstheme="minorHAnsi"/>
          <w:sz w:val="20"/>
          <w:szCs w:val="20"/>
          <w:lang w:val="en-US"/>
        </w:rPr>
        <w:t>can improve bond investment insights by helping investors gauge the current and future economic conditions, interest rate trends, and credit risk. These indicators can assist in making informed decisions about bond types, maturities, and credit quality suitable for investment.</w:t>
      </w:r>
    </w:p>
    <w:p w14:paraId="20C51A42" w14:textId="77777777" w:rsidR="006E6329" w:rsidRPr="006E6329" w:rsidRDefault="006E6329" w:rsidP="006E6329">
      <w:pPr>
        <w:pStyle w:val="ListParagraph"/>
        <w:rPr>
          <w:rFonts w:cstheme="minorHAnsi"/>
          <w:sz w:val="20"/>
          <w:szCs w:val="20"/>
          <w:lang w:val="en-US"/>
        </w:rPr>
      </w:pPr>
    </w:p>
    <w:p w14:paraId="6BF96B3B" w14:textId="2DA5222E" w:rsidR="006E6329" w:rsidRDefault="006E6329" w:rsidP="00D243BE">
      <w:pPr>
        <w:pStyle w:val="ListParagraph"/>
        <w:numPr>
          <w:ilvl w:val="2"/>
          <w:numId w:val="36"/>
        </w:numPr>
        <w:snapToGrid w:val="0"/>
        <w:spacing w:after="0" w:line="240" w:lineRule="auto"/>
        <w:contextualSpacing w:val="0"/>
        <w:rPr>
          <w:rFonts w:cstheme="minorHAnsi"/>
          <w:sz w:val="20"/>
          <w:szCs w:val="20"/>
          <w:lang w:val="en-US"/>
        </w:rPr>
      </w:pPr>
      <w:r>
        <w:rPr>
          <w:rFonts w:cstheme="minorHAnsi"/>
          <w:sz w:val="20"/>
          <w:szCs w:val="20"/>
          <w:lang w:val="en-US"/>
        </w:rPr>
        <w:t>GWP2 looks</w:t>
      </w:r>
      <w:r w:rsidRPr="006E6329">
        <w:rPr>
          <w:rFonts w:cstheme="minorHAnsi"/>
          <w:sz w:val="20"/>
          <w:szCs w:val="20"/>
          <w:lang w:val="en-US"/>
        </w:rPr>
        <w:t xml:space="preserve"> at all relevant U.S. sector ETFs, foreign debt holdings, and U.S. real GDP components </w:t>
      </w:r>
      <w:r w:rsidR="00237D39">
        <w:rPr>
          <w:rFonts w:cstheme="minorHAnsi"/>
          <w:sz w:val="20"/>
          <w:szCs w:val="20"/>
          <w:lang w:val="en-US"/>
        </w:rPr>
        <w:t xml:space="preserve">that </w:t>
      </w:r>
      <w:r w:rsidRPr="006E6329">
        <w:rPr>
          <w:rFonts w:cstheme="minorHAnsi"/>
          <w:sz w:val="20"/>
          <w:szCs w:val="20"/>
          <w:lang w:val="en-US"/>
        </w:rPr>
        <w:t xml:space="preserve">can improve bond investment insights by offering a multi-dimensional economic landscape. </w:t>
      </w:r>
      <w:r w:rsidR="00050CBD">
        <w:rPr>
          <w:rFonts w:cstheme="minorHAnsi"/>
          <w:sz w:val="20"/>
          <w:szCs w:val="20"/>
          <w:lang w:val="en-US"/>
        </w:rPr>
        <w:t>A</w:t>
      </w:r>
      <w:r w:rsidR="00237D39">
        <w:rPr>
          <w:rFonts w:cstheme="minorHAnsi"/>
          <w:sz w:val="20"/>
          <w:szCs w:val="20"/>
          <w:lang w:val="en-US"/>
        </w:rPr>
        <w:t>n</w:t>
      </w:r>
      <w:r w:rsidR="00050CBD">
        <w:rPr>
          <w:rFonts w:cstheme="minorHAnsi"/>
          <w:sz w:val="20"/>
          <w:szCs w:val="20"/>
          <w:lang w:val="en-US"/>
        </w:rPr>
        <w:t xml:space="preserve"> economic view gives a </w:t>
      </w:r>
      <w:r w:rsidRPr="006E6329">
        <w:rPr>
          <w:rFonts w:cstheme="minorHAnsi"/>
          <w:sz w:val="20"/>
          <w:szCs w:val="20"/>
          <w:lang w:val="en-US"/>
        </w:rPr>
        <w:t xml:space="preserve">comprehensive approach </w:t>
      </w:r>
      <w:r w:rsidR="00237D39">
        <w:rPr>
          <w:rFonts w:cstheme="minorHAnsi"/>
          <w:sz w:val="20"/>
          <w:szCs w:val="20"/>
          <w:lang w:val="en-US"/>
        </w:rPr>
        <w:t xml:space="preserve">that </w:t>
      </w:r>
      <w:r w:rsidRPr="006E6329">
        <w:rPr>
          <w:rFonts w:cstheme="minorHAnsi"/>
          <w:sz w:val="20"/>
          <w:szCs w:val="20"/>
          <w:lang w:val="en-US"/>
        </w:rPr>
        <w:t>can help investors identify macroeconomic trends, assess market risks, and allocate their investments more effectively.</w:t>
      </w:r>
    </w:p>
    <w:p w14:paraId="184E051B" w14:textId="77777777" w:rsidR="00420FD4" w:rsidRDefault="00420FD4" w:rsidP="00750815">
      <w:pPr>
        <w:pStyle w:val="ListParagraph"/>
        <w:snapToGrid w:val="0"/>
        <w:spacing w:after="0" w:line="240" w:lineRule="auto"/>
        <w:ind w:left="1344"/>
        <w:contextualSpacing w:val="0"/>
        <w:rPr>
          <w:rFonts w:cstheme="minorHAnsi"/>
          <w:sz w:val="20"/>
          <w:szCs w:val="20"/>
          <w:lang w:val="en-US"/>
        </w:rPr>
      </w:pPr>
    </w:p>
    <w:p w14:paraId="2D94DA47" w14:textId="77777777" w:rsidR="00EF5B17" w:rsidRDefault="00EF5B17" w:rsidP="00750815">
      <w:pPr>
        <w:pStyle w:val="ListParagraph"/>
        <w:snapToGrid w:val="0"/>
        <w:spacing w:after="0" w:line="240" w:lineRule="auto"/>
        <w:ind w:left="1344"/>
        <w:contextualSpacing w:val="0"/>
        <w:rPr>
          <w:rFonts w:cstheme="minorHAnsi"/>
          <w:sz w:val="20"/>
          <w:szCs w:val="20"/>
          <w:lang w:val="en-US"/>
        </w:rPr>
      </w:pPr>
    </w:p>
    <w:p w14:paraId="04268BCB" w14:textId="77777777" w:rsidR="00392EBB" w:rsidRDefault="00392EBB" w:rsidP="00750815">
      <w:pPr>
        <w:pStyle w:val="ListParagraph"/>
        <w:snapToGrid w:val="0"/>
        <w:spacing w:after="0" w:line="240" w:lineRule="auto"/>
        <w:ind w:left="1344"/>
        <w:contextualSpacing w:val="0"/>
        <w:rPr>
          <w:rFonts w:cstheme="minorHAnsi"/>
          <w:sz w:val="20"/>
          <w:szCs w:val="20"/>
          <w:lang w:val="en-US"/>
        </w:rPr>
      </w:pPr>
    </w:p>
    <w:p w14:paraId="55CD99F3" w14:textId="77777777" w:rsidR="00392EBB" w:rsidRDefault="00392EBB" w:rsidP="00750815">
      <w:pPr>
        <w:pStyle w:val="ListParagraph"/>
        <w:snapToGrid w:val="0"/>
        <w:spacing w:after="0" w:line="240" w:lineRule="auto"/>
        <w:ind w:left="1344"/>
        <w:contextualSpacing w:val="0"/>
        <w:rPr>
          <w:rFonts w:cstheme="minorHAnsi"/>
          <w:sz w:val="20"/>
          <w:szCs w:val="20"/>
          <w:lang w:val="en-US"/>
        </w:rPr>
      </w:pPr>
    </w:p>
    <w:p w14:paraId="4B97E9C0" w14:textId="77777777" w:rsidR="00B073C0" w:rsidRPr="00FF47C5" w:rsidRDefault="00B44FF7" w:rsidP="00D243BE">
      <w:pPr>
        <w:pStyle w:val="ListParagraph"/>
        <w:numPr>
          <w:ilvl w:val="1"/>
          <w:numId w:val="36"/>
        </w:numPr>
        <w:snapToGrid w:val="0"/>
        <w:spacing w:after="0" w:line="240" w:lineRule="auto"/>
        <w:contextualSpacing w:val="0"/>
        <w:rPr>
          <w:rFonts w:cstheme="minorHAnsi"/>
          <w:b/>
          <w:bCs/>
          <w:sz w:val="20"/>
          <w:szCs w:val="20"/>
          <w:lang w:val="en-US"/>
        </w:rPr>
      </w:pPr>
      <w:r w:rsidRPr="00FF47C5">
        <w:rPr>
          <w:rFonts w:cstheme="minorHAnsi"/>
          <w:b/>
          <w:bCs/>
          <w:sz w:val="20"/>
          <w:szCs w:val="20"/>
          <w:lang w:val="en-US"/>
        </w:rPr>
        <w:lastRenderedPageBreak/>
        <w:t>Student:</w:t>
      </w:r>
      <w:r w:rsidRPr="00FF47C5">
        <w:rPr>
          <w:rFonts w:cstheme="minorHAnsi"/>
          <w:b/>
          <w:bCs/>
          <w:sz w:val="20"/>
          <w:szCs w:val="20"/>
        </w:rPr>
        <w:t xml:space="preserve"> </w:t>
      </w:r>
      <w:r w:rsidRPr="00FF47C5">
        <w:rPr>
          <w:rFonts w:cstheme="minorHAnsi"/>
          <w:b/>
          <w:bCs/>
          <w:sz w:val="20"/>
          <w:szCs w:val="20"/>
          <w:lang w:val="en-US"/>
        </w:rPr>
        <w:t>Ebenezer</w:t>
      </w:r>
      <w:r w:rsidR="00FF47C5" w:rsidRPr="00FF47C5">
        <w:rPr>
          <w:rFonts w:cstheme="minorHAnsi"/>
          <w:b/>
          <w:bCs/>
          <w:sz w:val="20"/>
          <w:szCs w:val="20"/>
          <w:lang w:val="en-US"/>
        </w:rPr>
        <w:t xml:space="preserve"> -</w:t>
      </w:r>
      <w:r w:rsidR="00FF47C5">
        <w:rPr>
          <w:rFonts w:cstheme="minorHAnsi"/>
          <w:b/>
          <w:bCs/>
          <w:sz w:val="20"/>
          <w:szCs w:val="20"/>
          <w:lang w:val="en-US"/>
        </w:rPr>
        <w:t xml:space="preserve"> </w:t>
      </w:r>
      <w:r w:rsidRPr="00FF47C5">
        <w:rPr>
          <w:rFonts w:cstheme="minorHAnsi"/>
          <w:b/>
          <w:bCs/>
          <w:sz w:val="20"/>
          <w:szCs w:val="20"/>
          <w:lang w:val="en-US"/>
        </w:rPr>
        <w:t>Illiquid security</w:t>
      </w:r>
      <w:r w:rsidR="00BA5DD4" w:rsidRPr="00FF47C5">
        <w:rPr>
          <w:rFonts w:cstheme="minorHAnsi"/>
          <w:b/>
          <w:bCs/>
          <w:sz w:val="20"/>
          <w:szCs w:val="20"/>
          <w:lang w:val="en-US"/>
        </w:rPr>
        <w:t xml:space="preserve"> Investment</w:t>
      </w:r>
      <w:r w:rsidR="00BA4B1D" w:rsidRPr="00FF47C5">
        <w:rPr>
          <w:rFonts w:cstheme="minorHAnsi"/>
          <w:b/>
          <w:bCs/>
          <w:sz w:val="20"/>
          <w:szCs w:val="20"/>
          <w:lang w:val="en-US"/>
        </w:rPr>
        <w:t xml:space="preserve"> data insights</w:t>
      </w:r>
    </w:p>
    <w:p w14:paraId="29AB7634" w14:textId="77777777" w:rsidR="00FA3C0D" w:rsidRPr="007306AF" w:rsidRDefault="00FA3C0D" w:rsidP="00750815">
      <w:pPr>
        <w:pStyle w:val="ListParagraph"/>
        <w:snapToGrid w:val="0"/>
        <w:spacing w:after="0" w:line="240" w:lineRule="auto"/>
        <w:ind w:left="1824"/>
        <w:contextualSpacing w:val="0"/>
        <w:rPr>
          <w:rFonts w:cstheme="minorHAnsi"/>
          <w:sz w:val="20"/>
          <w:szCs w:val="20"/>
          <w:lang w:val="en-US"/>
        </w:rPr>
      </w:pPr>
    </w:p>
    <w:p w14:paraId="44A22C1B" w14:textId="77777777" w:rsidR="00F617BE" w:rsidRPr="00B2714C" w:rsidRDefault="00F617BE" w:rsidP="00F617BE">
      <w:pPr>
        <w:pStyle w:val="ListParagraph"/>
        <w:snapToGrid w:val="0"/>
        <w:spacing w:after="0" w:line="240" w:lineRule="auto"/>
        <w:ind w:left="792"/>
        <w:rPr>
          <w:rFonts w:cstheme="minorHAnsi"/>
          <w:sz w:val="20"/>
          <w:szCs w:val="20"/>
          <w:lang w:val="en-US"/>
        </w:rPr>
      </w:pPr>
      <w:r w:rsidRPr="00B2714C">
        <w:rPr>
          <w:rFonts w:cstheme="minorHAnsi"/>
          <w:sz w:val="20"/>
          <w:szCs w:val="20"/>
          <w:lang w:val="en-US"/>
        </w:rPr>
        <w:t>In my analysis, I decided to utilize the VIX (volatility index) and the volume traded data for real estate investments, specifically focusing on property type, residential type, sales amount, addresses, and towns. These data sets have provided valuable insights into addressing the financial challenge of managing illiquid real estate assets.</w:t>
      </w:r>
    </w:p>
    <w:p w14:paraId="1C82F2F5" w14:textId="77777777" w:rsidR="00F617BE" w:rsidRDefault="00F617BE" w:rsidP="00F617BE">
      <w:pPr>
        <w:pStyle w:val="ListParagraph"/>
        <w:snapToGrid w:val="0"/>
        <w:spacing w:after="0" w:line="240" w:lineRule="auto"/>
        <w:ind w:left="792"/>
        <w:rPr>
          <w:rFonts w:cstheme="minorHAnsi"/>
          <w:sz w:val="20"/>
          <w:szCs w:val="20"/>
          <w:lang w:val="en-US"/>
        </w:rPr>
      </w:pPr>
      <w:r w:rsidRPr="00B2714C">
        <w:rPr>
          <w:rFonts w:cstheme="minorHAnsi"/>
          <w:sz w:val="20"/>
          <w:szCs w:val="20"/>
          <w:lang w:val="en-US"/>
        </w:rPr>
        <w:t>In addition to the VIX as a measure of market volatility, I incorporated data specific to real estate investments, including property type, residential type, sales amount, addresses, and towns. This data is particularly valuable as it allows us to segment the real estate market and gain insights into how different types of properties in various locations respond to market volatility.</w:t>
      </w:r>
    </w:p>
    <w:p w14:paraId="66AF711A" w14:textId="77777777" w:rsidR="00F617BE" w:rsidRPr="00B2714C" w:rsidRDefault="00F617BE" w:rsidP="00F617BE">
      <w:pPr>
        <w:pStyle w:val="ListParagraph"/>
        <w:snapToGrid w:val="0"/>
        <w:spacing w:after="0" w:line="240" w:lineRule="auto"/>
        <w:ind w:left="792"/>
        <w:rPr>
          <w:rFonts w:cstheme="minorHAnsi"/>
          <w:sz w:val="20"/>
          <w:szCs w:val="20"/>
          <w:lang w:val="en-US"/>
        </w:rPr>
      </w:pPr>
    </w:p>
    <w:p w14:paraId="7392D2F3" w14:textId="77777777" w:rsidR="00F617BE" w:rsidRPr="00B2714C" w:rsidRDefault="00F617BE" w:rsidP="00F617BE">
      <w:pPr>
        <w:pStyle w:val="ListParagraph"/>
        <w:snapToGrid w:val="0"/>
        <w:spacing w:after="0" w:line="240" w:lineRule="auto"/>
        <w:ind w:left="792"/>
        <w:rPr>
          <w:rFonts w:cstheme="minorHAnsi"/>
          <w:sz w:val="20"/>
          <w:szCs w:val="20"/>
          <w:lang w:val="en-US"/>
        </w:rPr>
      </w:pPr>
      <w:r w:rsidRPr="00B2714C">
        <w:rPr>
          <w:rFonts w:cstheme="minorHAnsi"/>
          <w:sz w:val="20"/>
          <w:szCs w:val="20"/>
          <w:lang w:val="en-US"/>
        </w:rPr>
        <w:t>Upon analyzing these data sets, I observed a multifaceted relationship between the VIX and the liquidity of different types of real estate investments. When the VIX increases, indicating higher market volatility, the trading volumes and liquidity of certain types of properties may be more affected than others. For example, high-end residential properties in specific towns might experience more pronounced liquidity challenges during market turmoil.</w:t>
      </w:r>
    </w:p>
    <w:p w14:paraId="62B3B2AE" w14:textId="77777777" w:rsidR="00F617BE" w:rsidRDefault="00F617BE" w:rsidP="00F617BE">
      <w:pPr>
        <w:pStyle w:val="ListParagraph"/>
        <w:snapToGrid w:val="0"/>
        <w:spacing w:after="0" w:line="240" w:lineRule="auto"/>
        <w:ind w:left="792"/>
        <w:rPr>
          <w:rFonts w:cstheme="minorHAnsi"/>
          <w:sz w:val="20"/>
          <w:szCs w:val="20"/>
          <w:lang w:val="en-US"/>
        </w:rPr>
      </w:pPr>
      <w:r w:rsidRPr="00B2714C">
        <w:rPr>
          <w:rFonts w:cstheme="minorHAnsi"/>
          <w:sz w:val="20"/>
          <w:szCs w:val="20"/>
          <w:lang w:val="en-US"/>
        </w:rPr>
        <w:t>This multi-dimensional relationship is highly significant in addressing the financial challenge of managing illiquid real estate assets. Real estate investments vary widely in terms of property type, location, and residential type, and these factors can influence how they respond to changes in market volatility. By understanding how different segments of the real estate market react to the VIX, we can make more informed investment decisions and develop strategies tailored to specific property types and locations.</w:t>
      </w:r>
    </w:p>
    <w:p w14:paraId="22DAA789" w14:textId="77777777" w:rsidR="00F617BE" w:rsidRPr="00B2714C" w:rsidRDefault="00F617BE" w:rsidP="00F617BE">
      <w:pPr>
        <w:pStyle w:val="ListParagraph"/>
        <w:snapToGrid w:val="0"/>
        <w:spacing w:after="0" w:line="240" w:lineRule="auto"/>
        <w:ind w:left="792"/>
        <w:rPr>
          <w:rFonts w:cstheme="minorHAnsi"/>
          <w:sz w:val="20"/>
          <w:szCs w:val="20"/>
          <w:lang w:val="en-US"/>
        </w:rPr>
      </w:pPr>
    </w:p>
    <w:p w14:paraId="395A02F2" w14:textId="77777777" w:rsidR="00F617BE" w:rsidRPr="00B2714C" w:rsidRDefault="00F617BE" w:rsidP="00F617BE">
      <w:pPr>
        <w:pStyle w:val="ListParagraph"/>
        <w:snapToGrid w:val="0"/>
        <w:spacing w:after="0" w:line="240" w:lineRule="auto"/>
        <w:ind w:left="792"/>
        <w:rPr>
          <w:rFonts w:cstheme="minorHAnsi"/>
          <w:sz w:val="20"/>
          <w:szCs w:val="20"/>
          <w:lang w:val="en-US"/>
        </w:rPr>
      </w:pPr>
      <w:r w:rsidRPr="00B2714C">
        <w:rPr>
          <w:rFonts w:cstheme="minorHAnsi"/>
          <w:sz w:val="20"/>
          <w:szCs w:val="20"/>
          <w:lang w:val="en-US"/>
        </w:rPr>
        <w:t>The data-driven approach allows us to proactively manage the challenges associated with illiquid real estate assets. For instance, when we observe a spike in the VIX, we can analyze our real estate portfolio in more detail. If we find that high-end residential properties in certain towns are particularly vulnerable to liquidity issues during volatile market conditions, we can consider diversifying our portfolio or adjusting our real estate investment strategies accordingly.</w:t>
      </w:r>
    </w:p>
    <w:p w14:paraId="4D2FBF07" w14:textId="77777777" w:rsidR="00F617BE" w:rsidRDefault="00F617BE" w:rsidP="00F617BE">
      <w:pPr>
        <w:pStyle w:val="ListParagraph"/>
        <w:snapToGrid w:val="0"/>
        <w:spacing w:after="0" w:line="240" w:lineRule="auto"/>
        <w:ind w:left="792"/>
        <w:rPr>
          <w:rFonts w:cstheme="minorHAnsi"/>
          <w:sz w:val="20"/>
          <w:szCs w:val="20"/>
          <w:lang w:val="en-US"/>
        </w:rPr>
      </w:pPr>
      <w:r w:rsidRPr="00B2714C">
        <w:rPr>
          <w:rFonts w:cstheme="minorHAnsi"/>
          <w:sz w:val="20"/>
          <w:szCs w:val="20"/>
          <w:lang w:val="en-US"/>
        </w:rPr>
        <w:t>In this way, the data sets, including property type, residential type, sales amount, addresses, and towns, along with the VIX and volume traded data, help us address the challenge of managing illiquid real estate assets comprehensively. They provide a practical tool for monitoring and managing the impact of market volatility on different segments of our real estate investment portfolio.</w:t>
      </w:r>
    </w:p>
    <w:p w14:paraId="3BC04377" w14:textId="77777777" w:rsidR="00F617BE" w:rsidRPr="00B2714C" w:rsidRDefault="00F617BE" w:rsidP="00F617BE">
      <w:pPr>
        <w:pStyle w:val="ListParagraph"/>
        <w:snapToGrid w:val="0"/>
        <w:spacing w:after="0" w:line="240" w:lineRule="auto"/>
        <w:ind w:left="792"/>
        <w:rPr>
          <w:rFonts w:cstheme="minorHAnsi"/>
          <w:sz w:val="20"/>
          <w:szCs w:val="20"/>
          <w:lang w:val="en-US"/>
        </w:rPr>
      </w:pPr>
    </w:p>
    <w:p w14:paraId="59E8F07D" w14:textId="77777777" w:rsidR="00F617BE" w:rsidRPr="00B2714C" w:rsidRDefault="00F617BE" w:rsidP="00F617BE">
      <w:pPr>
        <w:pStyle w:val="ListParagraph"/>
        <w:snapToGrid w:val="0"/>
        <w:spacing w:after="0" w:line="240" w:lineRule="auto"/>
        <w:ind w:left="792"/>
        <w:rPr>
          <w:rFonts w:cstheme="minorHAnsi"/>
          <w:sz w:val="20"/>
          <w:szCs w:val="20"/>
          <w:lang w:val="en-US"/>
        </w:rPr>
      </w:pPr>
      <w:r w:rsidRPr="00B2714C">
        <w:rPr>
          <w:rFonts w:cstheme="minorHAnsi"/>
          <w:sz w:val="20"/>
          <w:szCs w:val="20"/>
          <w:lang w:val="en-US"/>
        </w:rPr>
        <w:t>These insights build upon the findings from GWP1, where we gained a deeper understanding of volatility and its effects on investment strategies. In GWP2, by incorporating real estate data, we now have a more comprehensive view of liquidity dynamics within the real estate market, allowing us to make more precise investment decisions based on property type, location, and residential type.</w:t>
      </w:r>
    </w:p>
    <w:p w14:paraId="585ED775" w14:textId="77777777" w:rsidR="00F617BE" w:rsidRDefault="00F617BE" w:rsidP="00F617BE">
      <w:pPr>
        <w:pStyle w:val="ListParagraph"/>
        <w:snapToGrid w:val="0"/>
        <w:spacing w:after="0" w:line="240" w:lineRule="auto"/>
        <w:ind w:left="792"/>
        <w:contextualSpacing w:val="0"/>
        <w:rPr>
          <w:rFonts w:cstheme="minorHAnsi"/>
          <w:sz w:val="20"/>
          <w:szCs w:val="20"/>
          <w:lang w:val="en-US"/>
        </w:rPr>
      </w:pPr>
      <w:r w:rsidRPr="00B2714C">
        <w:rPr>
          <w:rFonts w:cstheme="minorHAnsi"/>
          <w:sz w:val="20"/>
          <w:szCs w:val="20"/>
          <w:lang w:val="en-US"/>
        </w:rPr>
        <w:t>The data sets selected and analyzed in both GWP1 and GWP2 have enhanced our ability to address financial challenges, particularly when dealing with illiquid real estate assets. By using the VIX, volume traded data, and real estate-specific information, we have gained valuable insights into how market volatility affects different segments of the real estate market, empowering us to make more informed and tailored investment decisions within this unique asset class.</w:t>
      </w:r>
    </w:p>
    <w:p w14:paraId="31E26642" w14:textId="77777777" w:rsidR="00643422" w:rsidRDefault="00643422" w:rsidP="00750815">
      <w:pPr>
        <w:pStyle w:val="ListParagraph"/>
        <w:snapToGrid w:val="0"/>
        <w:spacing w:after="0" w:line="240" w:lineRule="auto"/>
        <w:ind w:left="792"/>
        <w:contextualSpacing w:val="0"/>
        <w:rPr>
          <w:rFonts w:cstheme="minorHAnsi"/>
          <w:sz w:val="20"/>
          <w:szCs w:val="20"/>
          <w:lang w:val="en-US"/>
        </w:rPr>
      </w:pPr>
    </w:p>
    <w:p w14:paraId="5579C2C0" w14:textId="77777777" w:rsidR="00E5148C" w:rsidRDefault="00E5148C" w:rsidP="00750815">
      <w:pPr>
        <w:pStyle w:val="ListParagraph"/>
        <w:snapToGrid w:val="0"/>
        <w:spacing w:after="0" w:line="240" w:lineRule="auto"/>
        <w:ind w:left="1344"/>
        <w:contextualSpacing w:val="0"/>
        <w:rPr>
          <w:rFonts w:cstheme="minorHAnsi"/>
          <w:sz w:val="20"/>
          <w:szCs w:val="20"/>
          <w:lang w:val="en-US"/>
        </w:rPr>
      </w:pPr>
    </w:p>
    <w:p w14:paraId="3B31123F" w14:textId="77777777" w:rsidR="000F150D" w:rsidRDefault="000F150D" w:rsidP="00750815">
      <w:pPr>
        <w:pStyle w:val="ListParagraph"/>
        <w:snapToGrid w:val="0"/>
        <w:spacing w:after="0" w:line="240" w:lineRule="auto"/>
        <w:ind w:left="1344"/>
        <w:contextualSpacing w:val="0"/>
        <w:rPr>
          <w:rFonts w:cstheme="minorHAnsi"/>
          <w:sz w:val="20"/>
          <w:szCs w:val="20"/>
          <w:lang w:val="en-US"/>
        </w:rPr>
      </w:pPr>
    </w:p>
    <w:p w14:paraId="6495D433" w14:textId="77777777" w:rsidR="00C20324" w:rsidRDefault="00C20324" w:rsidP="00750815">
      <w:pPr>
        <w:pStyle w:val="ListParagraph"/>
        <w:snapToGrid w:val="0"/>
        <w:spacing w:after="0" w:line="240" w:lineRule="auto"/>
        <w:ind w:left="1344"/>
        <w:contextualSpacing w:val="0"/>
        <w:rPr>
          <w:rFonts w:cstheme="minorHAnsi"/>
          <w:sz w:val="20"/>
          <w:szCs w:val="20"/>
          <w:lang w:val="en-US"/>
        </w:rPr>
      </w:pPr>
    </w:p>
    <w:p w14:paraId="62FA9625" w14:textId="77777777" w:rsidR="00A30EA3" w:rsidRDefault="00A30EA3" w:rsidP="00750815">
      <w:pPr>
        <w:pStyle w:val="ListParagraph"/>
        <w:snapToGrid w:val="0"/>
        <w:spacing w:after="0" w:line="240" w:lineRule="auto"/>
        <w:ind w:left="1344"/>
        <w:contextualSpacing w:val="0"/>
        <w:rPr>
          <w:rFonts w:cstheme="minorHAnsi"/>
          <w:sz w:val="20"/>
          <w:szCs w:val="20"/>
          <w:lang w:val="en-US"/>
        </w:rPr>
      </w:pPr>
    </w:p>
    <w:p w14:paraId="425EFFAE" w14:textId="77777777" w:rsidR="00A30EA3" w:rsidRDefault="00A30EA3" w:rsidP="00750815">
      <w:pPr>
        <w:pStyle w:val="ListParagraph"/>
        <w:snapToGrid w:val="0"/>
        <w:spacing w:after="0" w:line="240" w:lineRule="auto"/>
        <w:ind w:left="1344"/>
        <w:contextualSpacing w:val="0"/>
        <w:rPr>
          <w:rFonts w:cstheme="minorHAnsi"/>
          <w:sz w:val="20"/>
          <w:szCs w:val="20"/>
          <w:lang w:val="en-US"/>
        </w:rPr>
      </w:pPr>
    </w:p>
    <w:p w14:paraId="518381D0" w14:textId="77777777" w:rsidR="00A30EA3" w:rsidRDefault="00A30EA3" w:rsidP="00750815">
      <w:pPr>
        <w:pStyle w:val="ListParagraph"/>
        <w:snapToGrid w:val="0"/>
        <w:spacing w:after="0" w:line="240" w:lineRule="auto"/>
        <w:ind w:left="1344"/>
        <w:contextualSpacing w:val="0"/>
        <w:rPr>
          <w:rFonts w:cstheme="minorHAnsi"/>
          <w:sz w:val="20"/>
          <w:szCs w:val="20"/>
          <w:lang w:val="en-US"/>
        </w:rPr>
      </w:pPr>
    </w:p>
    <w:p w14:paraId="3D17ECF8" w14:textId="77777777" w:rsidR="00A30EA3" w:rsidRDefault="00A30EA3" w:rsidP="00750815">
      <w:pPr>
        <w:pStyle w:val="ListParagraph"/>
        <w:snapToGrid w:val="0"/>
        <w:spacing w:after="0" w:line="240" w:lineRule="auto"/>
        <w:ind w:left="1344"/>
        <w:contextualSpacing w:val="0"/>
        <w:rPr>
          <w:rFonts w:cstheme="minorHAnsi"/>
          <w:sz w:val="20"/>
          <w:szCs w:val="20"/>
          <w:lang w:val="en-US"/>
        </w:rPr>
      </w:pPr>
    </w:p>
    <w:p w14:paraId="59EAA8DB" w14:textId="77777777" w:rsidR="00A30EA3" w:rsidRDefault="00A30EA3" w:rsidP="00750815">
      <w:pPr>
        <w:pStyle w:val="ListParagraph"/>
        <w:snapToGrid w:val="0"/>
        <w:spacing w:after="0" w:line="240" w:lineRule="auto"/>
        <w:ind w:left="1344"/>
        <w:contextualSpacing w:val="0"/>
        <w:rPr>
          <w:rFonts w:cstheme="minorHAnsi"/>
          <w:sz w:val="20"/>
          <w:szCs w:val="20"/>
          <w:lang w:val="en-US"/>
        </w:rPr>
      </w:pPr>
    </w:p>
    <w:p w14:paraId="1A5CAD55" w14:textId="77777777" w:rsidR="00A30EA3" w:rsidRDefault="00A30EA3" w:rsidP="00750815">
      <w:pPr>
        <w:pStyle w:val="ListParagraph"/>
        <w:snapToGrid w:val="0"/>
        <w:spacing w:after="0" w:line="240" w:lineRule="auto"/>
        <w:ind w:left="1344"/>
        <w:contextualSpacing w:val="0"/>
        <w:rPr>
          <w:rFonts w:cstheme="minorHAnsi"/>
          <w:sz w:val="20"/>
          <w:szCs w:val="20"/>
          <w:lang w:val="en-US"/>
        </w:rPr>
      </w:pPr>
    </w:p>
    <w:p w14:paraId="70724C33" w14:textId="77777777" w:rsidR="00A30EA3" w:rsidRDefault="00A30EA3" w:rsidP="00750815">
      <w:pPr>
        <w:pStyle w:val="ListParagraph"/>
        <w:snapToGrid w:val="0"/>
        <w:spacing w:after="0" w:line="240" w:lineRule="auto"/>
        <w:ind w:left="1344"/>
        <w:contextualSpacing w:val="0"/>
        <w:rPr>
          <w:rFonts w:cstheme="minorHAnsi"/>
          <w:sz w:val="20"/>
          <w:szCs w:val="20"/>
          <w:lang w:val="en-US"/>
        </w:rPr>
      </w:pPr>
    </w:p>
    <w:p w14:paraId="1B480BD5" w14:textId="77777777" w:rsidR="009E7FD3" w:rsidRDefault="009E7FD3" w:rsidP="00750815">
      <w:pPr>
        <w:pStyle w:val="ListParagraph"/>
        <w:snapToGrid w:val="0"/>
        <w:spacing w:after="0" w:line="240" w:lineRule="auto"/>
        <w:ind w:left="1344"/>
        <w:contextualSpacing w:val="0"/>
        <w:rPr>
          <w:rFonts w:cstheme="minorHAnsi"/>
          <w:sz w:val="20"/>
          <w:szCs w:val="20"/>
          <w:lang w:val="en-US"/>
        </w:rPr>
      </w:pPr>
    </w:p>
    <w:p w14:paraId="6BE234D0" w14:textId="77777777" w:rsidR="00A30EA3" w:rsidRDefault="00A30EA3" w:rsidP="00750815">
      <w:pPr>
        <w:pStyle w:val="ListParagraph"/>
        <w:snapToGrid w:val="0"/>
        <w:spacing w:after="0" w:line="240" w:lineRule="auto"/>
        <w:ind w:left="1344"/>
        <w:contextualSpacing w:val="0"/>
        <w:rPr>
          <w:rFonts w:cstheme="minorHAnsi"/>
          <w:sz w:val="20"/>
          <w:szCs w:val="20"/>
          <w:lang w:val="en-US"/>
        </w:rPr>
      </w:pPr>
    </w:p>
    <w:p w14:paraId="60110C2B" w14:textId="77777777" w:rsidR="00A30EA3" w:rsidRDefault="00A30EA3" w:rsidP="00750815">
      <w:pPr>
        <w:pStyle w:val="ListParagraph"/>
        <w:snapToGrid w:val="0"/>
        <w:spacing w:after="0" w:line="240" w:lineRule="auto"/>
        <w:ind w:left="1344"/>
        <w:contextualSpacing w:val="0"/>
        <w:rPr>
          <w:rFonts w:cstheme="minorHAnsi"/>
          <w:sz w:val="20"/>
          <w:szCs w:val="20"/>
          <w:lang w:val="en-US"/>
        </w:rPr>
      </w:pPr>
    </w:p>
    <w:p w14:paraId="090CAA29" w14:textId="77777777" w:rsidR="00A30EA3" w:rsidRDefault="00A30EA3" w:rsidP="00750815">
      <w:pPr>
        <w:pStyle w:val="ListParagraph"/>
        <w:snapToGrid w:val="0"/>
        <w:spacing w:after="0" w:line="240" w:lineRule="auto"/>
        <w:ind w:left="1344"/>
        <w:contextualSpacing w:val="0"/>
        <w:rPr>
          <w:rFonts w:cstheme="minorHAnsi"/>
          <w:sz w:val="20"/>
          <w:szCs w:val="20"/>
          <w:lang w:val="en-US"/>
        </w:rPr>
      </w:pPr>
    </w:p>
    <w:p w14:paraId="016AAD74" w14:textId="77777777" w:rsidR="005606AE" w:rsidRDefault="005606AE" w:rsidP="00750815">
      <w:pPr>
        <w:pStyle w:val="ListParagraph"/>
        <w:snapToGrid w:val="0"/>
        <w:spacing w:after="0" w:line="240" w:lineRule="auto"/>
        <w:ind w:left="1344"/>
        <w:contextualSpacing w:val="0"/>
        <w:rPr>
          <w:rFonts w:cstheme="minorHAnsi"/>
          <w:sz w:val="20"/>
          <w:szCs w:val="20"/>
          <w:lang w:val="en-US"/>
        </w:rPr>
      </w:pPr>
    </w:p>
    <w:p w14:paraId="5D4EF935" w14:textId="77777777" w:rsidR="005606AE" w:rsidRDefault="005606AE" w:rsidP="00750815">
      <w:pPr>
        <w:pStyle w:val="ListParagraph"/>
        <w:snapToGrid w:val="0"/>
        <w:spacing w:after="0" w:line="240" w:lineRule="auto"/>
        <w:ind w:left="1344"/>
        <w:contextualSpacing w:val="0"/>
        <w:rPr>
          <w:rFonts w:cstheme="minorHAnsi"/>
          <w:sz w:val="20"/>
          <w:szCs w:val="20"/>
          <w:lang w:val="en-US"/>
        </w:rPr>
      </w:pPr>
    </w:p>
    <w:p w14:paraId="53FECE77" w14:textId="77777777" w:rsidR="00750815" w:rsidRDefault="00750815" w:rsidP="00750815">
      <w:pPr>
        <w:pStyle w:val="ListParagraph"/>
        <w:snapToGrid w:val="0"/>
        <w:spacing w:after="0" w:line="240" w:lineRule="auto"/>
        <w:ind w:left="936"/>
        <w:contextualSpacing w:val="0"/>
        <w:rPr>
          <w:rFonts w:cstheme="minorHAnsi"/>
          <w:sz w:val="20"/>
          <w:szCs w:val="20"/>
          <w:lang w:val="en-US"/>
        </w:rPr>
      </w:pPr>
    </w:p>
    <w:p w14:paraId="22895CF2" w14:textId="77777777" w:rsidR="00B13673" w:rsidRDefault="00B13673" w:rsidP="00750815">
      <w:pPr>
        <w:pStyle w:val="ListParagraph"/>
        <w:snapToGrid w:val="0"/>
        <w:spacing w:after="0" w:line="240" w:lineRule="auto"/>
        <w:ind w:left="936"/>
        <w:contextualSpacing w:val="0"/>
        <w:rPr>
          <w:rFonts w:cstheme="minorHAnsi"/>
          <w:sz w:val="20"/>
          <w:szCs w:val="20"/>
          <w:lang w:val="en-US"/>
        </w:rPr>
      </w:pPr>
    </w:p>
    <w:p w14:paraId="7143872A" w14:textId="77777777" w:rsidR="00750815" w:rsidRDefault="00750815" w:rsidP="00750815">
      <w:pPr>
        <w:pStyle w:val="ListParagraph"/>
        <w:snapToGrid w:val="0"/>
        <w:spacing w:after="0" w:line="240" w:lineRule="auto"/>
        <w:ind w:left="936"/>
        <w:contextualSpacing w:val="0"/>
        <w:rPr>
          <w:rFonts w:cstheme="minorHAnsi"/>
          <w:sz w:val="20"/>
          <w:szCs w:val="20"/>
          <w:lang w:val="en-US"/>
        </w:rPr>
      </w:pPr>
    </w:p>
    <w:p w14:paraId="46A55197" w14:textId="77777777" w:rsidR="00750815" w:rsidRDefault="00750815" w:rsidP="00750815">
      <w:pPr>
        <w:pStyle w:val="ListParagraph"/>
        <w:snapToGrid w:val="0"/>
        <w:spacing w:after="0" w:line="240" w:lineRule="auto"/>
        <w:ind w:left="936"/>
        <w:contextualSpacing w:val="0"/>
        <w:rPr>
          <w:rFonts w:cstheme="minorHAnsi"/>
          <w:sz w:val="20"/>
          <w:szCs w:val="20"/>
          <w:lang w:val="en-US"/>
        </w:rPr>
      </w:pPr>
    </w:p>
    <w:p w14:paraId="4F37E718" w14:textId="77777777" w:rsidR="00F4266C" w:rsidRDefault="00B44FF7" w:rsidP="00750815">
      <w:pPr>
        <w:pStyle w:val="ListParagraph"/>
        <w:numPr>
          <w:ilvl w:val="0"/>
          <w:numId w:val="21"/>
        </w:numPr>
        <w:snapToGrid w:val="0"/>
        <w:spacing w:after="0" w:line="240" w:lineRule="auto"/>
        <w:contextualSpacing w:val="0"/>
        <w:rPr>
          <w:rFonts w:cstheme="minorHAnsi"/>
          <w:b/>
          <w:bCs/>
          <w:sz w:val="28"/>
          <w:szCs w:val="28"/>
          <w:lang w:val="en-US"/>
        </w:rPr>
      </w:pPr>
      <w:r w:rsidRPr="003D64B5">
        <w:rPr>
          <w:rFonts w:cstheme="minorHAnsi"/>
          <w:b/>
          <w:bCs/>
          <w:sz w:val="28"/>
          <w:szCs w:val="28"/>
          <w:lang w:val="en-US"/>
        </w:rPr>
        <w:lastRenderedPageBreak/>
        <w:t>Reference:</w:t>
      </w:r>
    </w:p>
    <w:p w14:paraId="02FC9D93" w14:textId="77777777" w:rsidR="008701BF" w:rsidRDefault="008701BF" w:rsidP="00B13673">
      <w:pPr>
        <w:numPr>
          <w:ilvl w:val="1"/>
          <w:numId w:val="21"/>
        </w:numPr>
        <w:spacing w:after="16" w:line="268" w:lineRule="auto"/>
      </w:pPr>
      <w:r>
        <w:t>Federal Reserve Bank of St. Louis. (2023). Mortgage Debt Service Payments as a Percent of Disposable Personal Income. Retrieved from https://fred.stlouisfed.org/series/MDSP</w:t>
      </w:r>
    </w:p>
    <w:p w14:paraId="3035B0D9" w14:textId="77777777" w:rsidR="008701BF" w:rsidRDefault="008701BF" w:rsidP="00B13673">
      <w:pPr>
        <w:numPr>
          <w:ilvl w:val="1"/>
          <w:numId w:val="21"/>
        </w:numPr>
        <w:spacing w:after="16" w:line="268" w:lineRule="auto"/>
      </w:pPr>
      <w:r>
        <w:t>Federal Reserve Bank of St. Louis. (2023).30-Year Fixed Rate Conforming Mortgage Index: Loan-to-Value Greater Than 80, FICO Score Between 720 and 739. Retrieved from https://fred.stlouisfed.org/series/OBMMIC30YFLVGT80FB720A739</w:t>
      </w:r>
    </w:p>
    <w:p w14:paraId="16CE4144" w14:textId="77777777" w:rsidR="008701BF" w:rsidRDefault="008701BF" w:rsidP="00B13673">
      <w:pPr>
        <w:numPr>
          <w:ilvl w:val="1"/>
          <w:numId w:val="21"/>
        </w:numPr>
        <w:spacing w:after="16" w:line="268" w:lineRule="auto"/>
      </w:pPr>
      <w:r>
        <w:t>Federal Reserve Bank of St. Louis. (2023). Consumer Debt Service Payments as a Percent of Disposable Personal Income. Retrieved from https://fred.stlouisfed.org/series/CDSP</w:t>
      </w:r>
    </w:p>
    <w:p w14:paraId="01AA7C50" w14:textId="77777777" w:rsidR="008701BF" w:rsidRDefault="008701BF" w:rsidP="00B13673">
      <w:pPr>
        <w:numPr>
          <w:ilvl w:val="1"/>
          <w:numId w:val="21"/>
        </w:numPr>
        <w:spacing w:after="16" w:line="268" w:lineRule="auto"/>
      </w:pPr>
      <w:r>
        <w:t>Liberto, Daniel. (2023, June 28). House Price Index (HPI). Investopedia. https://www.investopedia.com/terms/h/house-price-index-hpi.asp</w:t>
      </w:r>
    </w:p>
    <w:p w14:paraId="046FBBCB" w14:textId="77777777" w:rsidR="008701BF" w:rsidRDefault="008701BF" w:rsidP="00B13673">
      <w:pPr>
        <w:numPr>
          <w:ilvl w:val="1"/>
          <w:numId w:val="21"/>
        </w:numPr>
        <w:spacing w:after="43" w:line="268" w:lineRule="auto"/>
      </w:pPr>
      <w:r>
        <w:t>OpenAI. (2023). ChatGPT (Mar 14 version) [Large language model]. https://chat.openai.com/chat</w:t>
      </w:r>
    </w:p>
    <w:p w14:paraId="4D840D1A" w14:textId="77777777" w:rsidR="008701BF" w:rsidRDefault="008701BF" w:rsidP="00B13673">
      <w:pPr>
        <w:numPr>
          <w:ilvl w:val="1"/>
          <w:numId w:val="21"/>
        </w:numPr>
        <w:spacing w:after="21" w:line="268" w:lineRule="auto"/>
      </w:pPr>
      <w:r>
        <w:t xml:space="preserve">Federal Reserve Bank of St. Louis. (2023). </w:t>
      </w:r>
      <w:r>
        <w:rPr>
          <w:color w:val="212121"/>
          <w:sz w:val="24"/>
        </w:rPr>
        <w:t>Real Estate Loans: Commercial Real Estate Loans: Construction and Land Development Loans, Small Domestically Chartered Commercial Banks.</w:t>
      </w:r>
    </w:p>
    <w:p w14:paraId="5DF76B50" w14:textId="77777777" w:rsidR="008701BF" w:rsidRDefault="008701BF" w:rsidP="008701BF">
      <w:pPr>
        <w:spacing w:after="21" w:line="268" w:lineRule="auto"/>
        <w:ind w:left="720" w:right="385"/>
        <w:jc w:val="both"/>
      </w:pPr>
      <w:r>
        <w:rPr>
          <w:color w:val="212121"/>
          <w:sz w:val="24"/>
        </w:rPr>
        <w:t>https://fred.stlouisfed.org/series/CLDSCBW027SBOG</w:t>
      </w:r>
    </w:p>
    <w:p w14:paraId="77DCB48D" w14:textId="77777777" w:rsidR="008701BF" w:rsidRDefault="008701BF" w:rsidP="00B13673">
      <w:pPr>
        <w:numPr>
          <w:ilvl w:val="1"/>
          <w:numId w:val="21"/>
        </w:numPr>
        <w:spacing w:after="21" w:line="268" w:lineRule="auto"/>
      </w:pPr>
      <w:r>
        <w:t>Federal Reserve Bank of St. Louis. (2023). I</w:t>
      </w:r>
      <w:r>
        <w:rPr>
          <w:color w:val="212121"/>
          <w:sz w:val="24"/>
        </w:rPr>
        <w:t>nterest Rates and Price Indexes; Commercial Real Estate Price Index, Level https://fred.stlouisfed.org/series/BOGZ1FL075035503Q</w:t>
      </w:r>
    </w:p>
    <w:p w14:paraId="690772EA" w14:textId="77777777" w:rsidR="008701BF" w:rsidRDefault="008701BF" w:rsidP="00B13673">
      <w:pPr>
        <w:numPr>
          <w:ilvl w:val="1"/>
          <w:numId w:val="21"/>
        </w:numPr>
        <w:spacing w:after="21" w:line="268" w:lineRule="auto"/>
      </w:pPr>
      <w:r>
        <w:t xml:space="preserve">Federal Reserve Bank of St. Louis. (2023). </w:t>
      </w:r>
      <w:r>
        <w:rPr>
          <w:color w:val="212121"/>
          <w:sz w:val="24"/>
        </w:rPr>
        <w:t>Federal Funds Effective Rate https://fred.stlouisfed.org/series/FEDFUNDS</w:t>
      </w:r>
    </w:p>
    <w:p w14:paraId="0518D019" w14:textId="77777777" w:rsidR="008701BF" w:rsidRPr="008701BF" w:rsidRDefault="008701BF" w:rsidP="008701BF">
      <w:pPr>
        <w:snapToGrid w:val="0"/>
        <w:spacing w:after="0" w:line="240" w:lineRule="auto"/>
        <w:rPr>
          <w:rFonts w:cstheme="minorHAnsi"/>
          <w:b/>
          <w:bCs/>
          <w:sz w:val="28"/>
          <w:szCs w:val="28"/>
          <w:lang w:val="en-US"/>
        </w:rPr>
      </w:pPr>
    </w:p>
    <w:p w14:paraId="2EA96A5F" w14:textId="77777777" w:rsidR="00C078AF" w:rsidRPr="00371A1B" w:rsidRDefault="00B44FF7" w:rsidP="00371A1B">
      <w:pPr>
        <w:pStyle w:val="ListParagraph"/>
        <w:numPr>
          <w:ilvl w:val="1"/>
          <w:numId w:val="21"/>
        </w:numPr>
        <w:snapToGrid w:val="0"/>
        <w:spacing w:after="0" w:line="240" w:lineRule="auto"/>
        <w:contextualSpacing w:val="0"/>
        <w:rPr>
          <w:rFonts w:cstheme="minorHAnsi"/>
          <w:b/>
          <w:bCs/>
          <w:sz w:val="20"/>
          <w:szCs w:val="20"/>
          <w:lang w:val="en-US"/>
        </w:rPr>
      </w:pPr>
      <w:r w:rsidRPr="007306AF">
        <w:rPr>
          <w:rFonts w:cstheme="minorHAnsi"/>
          <w:b/>
          <w:bCs/>
          <w:sz w:val="20"/>
          <w:szCs w:val="20"/>
          <w:lang w:val="en-US"/>
        </w:rPr>
        <w:t>Student: Yhasreen</w:t>
      </w:r>
      <w:r w:rsidR="00B4604B">
        <w:rPr>
          <w:rFonts w:cstheme="minorHAnsi"/>
          <w:b/>
          <w:bCs/>
          <w:sz w:val="20"/>
          <w:szCs w:val="20"/>
          <w:lang w:val="en-US"/>
        </w:rPr>
        <w:t xml:space="preserve"> </w:t>
      </w:r>
      <w:r w:rsidR="00371A1B">
        <w:rPr>
          <w:rFonts w:cstheme="minorHAnsi"/>
          <w:b/>
          <w:bCs/>
          <w:sz w:val="20"/>
          <w:szCs w:val="20"/>
          <w:lang w:val="en-US"/>
        </w:rPr>
        <w:t xml:space="preserve">for </w:t>
      </w:r>
      <w:r w:rsidR="000E033F" w:rsidRPr="00371A1B">
        <w:rPr>
          <w:rFonts w:cstheme="minorHAnsi"/>
          <w:b/>
          <w:bCs/>
          <w:sz w:val="20"/>
          <w:szCs w:val="20"/>
          <w:lang w:val="en-US"/>
        </w:rPr>
        <w:t>Magnifying</w:t>
      </w:r>
      <w:r w:rsidRPr="00371A1B">
        <w:rPr>
          <w:rFonts w:cstheme="minorHAnsi"/>
          <w:b/>
          <w:bCs/>
          <w:sz w:val="20"/>
          <w:szCs w:val="20"/>
          <w:lang w:val="en-US"/>
        </w:rPr>
        <w:t xml:space="preserve"> Risk:</w:t>
      </w:r>
      <w:r w:rsidR="00421F25" w:rsidRPr="00371A1B">
        <w:rPr>
          <w:rFonts w:cstheme="minorHAnsi"/>
          <w:b/>
          <w:bCs/>
          <w:sz w:val="20"/>
          <w:szCs w:val="20"/>
          <w:lang w:val="en-US"/>
        </w:rPr>
        <w:t xml:space="preserve"> Equity &amp; bond</w:t>
      </w:r>
    </w:p>
    <w:p w14:paraId="34629282" w14:textId="77777777" w:rsidR="00110A1A" w:rsidRPr="00110A1A" w:rsidRDefault="00B44FF7" w:rsidP="00750815">
      <w:pPr>
        <w:pStyle w:val="ListParagraph"/>
        <w:numPr>
          <w:ilvl w:val="2"/>
          <w:numId w:val="21"/>
        </w:numPr>
        <w:snapToGrid w:val="0"/>
        <w:spacing w:after="0" w:line="240" w:lineRule="auto"/>
        <w:contextualSpacing w:val="0"/>
        <w:rPr>
          <w:rFonts w:cstheme="minorHAnsi"/>
          <w:sz w:val="20"/>
          <w:szCs w:val="20"/>
          <w:lang w:val="en-US"/>
        </w:rPr>
      </w:pPr>
      <w:r w:rsidRPr="00110A1A">
        <w:rPr>
          <w:rFonts w:cstheme="minorHAnsi"/>
          <w:sz w:val="20"/>
          <w:szCs w:val="20"/>
          <w:lang w:val="en-US"/>
        </w:rPr>
        <w:t>What Is Margin Trading? How It Works, Examples, Benefits, Risks</w:t>
      </w:r>
    </w:p>
    <w:p w14:paraId="449B5074" w14:textId="77777777" w:rsidR="00170340" w:rsidRDefault="00000000" w:rsidP="00750815">
      <w:pPr>
        <w:pStyle w:val="ListParagraph"/>
        <w:snapToGrid w:val="0"/>
        <w:spacing w:after="0" w:line="240" w:lineRule="auto"/>
        <w:ind w:left="1344"/>
        <w:contextualSpacing w:val="0"/>
        <w:rPr>
          <w:rFonts w:cstheme="minorHAnsi"/>
          <w:sz w:val="20"/>
          <w:szCs w:val="20"/>
          <w:lang w:val="en-US"/>
        </w:rPr>
      </w:pPr>
      <w:hyperlink r:id="rId18" w:history="1">
        <w:r w:rsidR="00B44FF7" w:rsidRPr="00B827E1">
          <w:rPr>
            <w:rStyle w:val="Hyperlink"/>
            <w:rFonts w:cstheme="minorHAnsi"/>
            <w:sz w:val="20"/>
            <w:szCs w:val="20"/>
            <w:lang w:val="en-US"/>
          </w:rPr>
          <w:t>https://fortunly.com/articles/how-margin-trading-works/</w:t>
        </w:r>
      </w:hyperlink>
    </w:p>
    <w:p w14:paraId="156A5A12" w14:textId="77777777" w:rsidR="00371A1B" w:rsidRPr="00371A1B" w:rsidRDefault="00371A1B" w:rsidP="00371A1B">
      <w:pPr>
        <w:snapToGrid w:val="0"/>
        <w:spacing w:after="0" w:line="240" w:lineRule="auto"/>
        <w:rPr>
          <w:rFonts w:cstheme="minorHAnsi"/>
          <w:sz w:val="20"/>
          <w:szCs w:val="20"/>
          <w:lang w:val="en-US"/>
        </w:rPr>
      </w:pPr>
    </w:p>
    <w:p w14:paraId="2C0E158B" w14:textId="77777777" w:rsidR="00110A1A" w:rsidRPr="00110A1A" w:rsidRDefault="00B44FF7" w:rsidP="00750815">
      <w:pPr>
        <w:pStyle w:val="ListParagraph"/>
        <w:numPr>
          <w:ilvl w:val="2"/>
          <w:numId w:val="21"/>
        </w:numPr>
        <w:snapToGrid w:val="0"/>
        <w:spacing w:after="0" w:line="240" w:lineRule="auto"/>
        <w:contextualSpacing w:val="0"/>
        <w:rPr>
          <w:rFonts w:cstheme="minorHAnsi"/>
          <w:sz w:val="20"/>
          <w:szCs w:val="20"/>
          <w:lang w:val="en-US"/>
        </w:rPr>
      </w:pPr>
      <w:r w:rsidRPr="00110A1A">
        <w:rPr>
          <w:rFonts w:cstheme="minorHAnsi"/>
          <w:sz w:val="20"/>
          <w:szCs w:val="20"/>
          <w:lang w:val="en-US"/>
        </w:rPr>
        <w:t>What is margin trading?</w:t>
      </w:r>
    </w:p>
    <w:p w14:paraId="335D4765" w14:textId="77777777" w:rsidR="00C078AF" w:rsidRDefault="00000000" w:rsidP="00750815">
      <w:pPr>
        <w:pStyle w:val="ListParagraph"/>
        <w:snapToGrid w:val="0"/>
        <w:spacing w:after="0" w:line="240" w:lineRule="auto"/>
        <w:ind w:left="1344"/>
        <w:contextualSpacing w:val="0"/>
        <w:rPr>
          <w:rFonts w:cstheme="minorHAnsi"/>
          <w:sz w:val="20"/>
          <w:szCs w:val="20"/>
          <w:lang w:val="en-US"/>
        </w:rPr>
      </w:pPr>
      <w:hyperlink r:id="rId19" w:history="1">
        <w:r w:rsidR="00B44FF7" w:rsidRPr="00B827E1">
          <w:rPr>
            <w:rStyle w:val="Hyperlink"/>
            <w:rFonts w:cstheme="minorHAnsi"/>
            <w:sz w:val="20"/>
            <w:szCs w:val="20"/>
            <w:lang w:val="en-US"/>
          </w:rPr>
          <w:t>https://www.futunn.com/en/learn/detail-what-is-margin-trading-62010-0</w:t>
        </w:r>
      </w:hyperlink>
    </w:p>
    <w:p w14:paraId="1C88B5A0" w14:textId="77777777" w:rsidR="00371A1B" w:rsidRPr="00371A1B" w:rsidRDefault="00371A1B" w:rsidP="00371A1B">
      <w:pPr>
        <w:snapToGrid w:val="0"/>
        <w:spacing w:after="0" w:line="240" w:lineRule="auto"/>
        <w:rPr>
          <w:rFonts w:cstheme="minorHAnsi"/>
          <w:sz w:val="20"/>
          <w:szCs w:val="20"/>
          <w:lang w:val="en-US"/>
        </w:rPr>
      </w:pPr>
    </w:p>
    <w:p w14:paraId="43AC7CFD" w14:textId="77777777" w:rsidR="00110A1A" w:rsidRPr="00110A1A" w:rsidRDefault="00B44FF7" w:rsidP="00750815">
      <w:pPr>
        <w:pStyle w:val="ListParagraph"/>
        <w:numPr>
          <w:ilvl w:val="2"/>
          <w:numId w:val="21"/>
        </w:numPr>
        <w:snapToGrid w:val="0"/>
        <w:spacing w:after="0" w:line="240" w:lineRule="auto"/>
        <w:contextualSpacing w:val="0"/>
        <w:rPr>
          <w:rFonts w:cstheme="minorHAnsi"/>
          <w:sz w:val="20"/>
          <w:szCs w:val="20"/>
          <w:lang w:val="en-US"/>
        </w:rPr>
      </w:pPr>
      <w:r w:rsidRPr="00110A1A">
        <w:rPr>
          <w:rFonts w:cstheme="minorHAnsi"/>
          <w:sz w:val="20"/>
          <w:szCs w:val="20"/>
          <w:lang w:val="en-US"/>
        </w:rPr>
        <w:t>Investing to Yield Tax Savings</w:t>
      </w:r>
    </w:p>
    <w:p w14:paraId="4B43C2C9" w14:textId="77777777" w:rsidR="00110A1A" w:rsidRPr="00110A1A" w:rsidRDefault="00B44FF7" w:rsidP="00750815">
      <w:pPr>
        <w:pStyle w:val="ListParagraph"/>
        <w:snapToGrid w:val="0"/>
        <w:spacing w:after="0" w:line="240" w:lineRule="auto"/>
        <w:ind w:left="1344"/>
        <w:contextualSpacing w:val="0"/>
        <w:rPr>
          <w:rFonts w:cstheme="minorHAnsi"/>
          <w:sz w:val="20"/>
          <w:szCs w:val="20"/>
          <w:lang w:val="en-US"/>
        </w:rPr>
      </w:pPr>
      <w:r w:rsidRPr="00110A1A">
        <w:rPr>
          <w:rFonts w:cstheme="minorHAnsi"/>
          <w:sz w:val="20"/>
          <w:szCs w:val="20"/>
          <w:lang w:val="en-US"/>
        </w:rPr>
        <w:t>https://thestockwatcher.com/pages/articles/popular/2023/2/5/investing-yield-tax-savings</w:t>
      </w:r>
    </w:p>
    <w:p w14:paraId="019480CD" w14:textId="77777777" w:rsidR="00110A1A" w:rsidRDefault="00110A1A" w:rsidP="00750815">
      <w:pPr>
        <w:pStyle w:val="ListParagraph"/>
        <w:snapToGrid w:val="0"/>
        <w:spacing w:after="0" w:line="240" w:lineRule="auto"/>
        <w:ind w:left="1344"/>
        <w:contextualSpacing w:val="0"/>
        <w:rPr>
          <w:rFonts w:cstheme="minorHAnsi"/>
          <w:b/>
          <w:bCs/>
          <w:sz w:val="20"/>
          <w:szCs w:val="20"/>
          <w:lang w:val="en-US"/>
        </w:rPr>
      </w:pPr>
    </w:p>
    <w:p w14:paraId="391DDB8A" w14:textId="77777777" w:rsidR="001710FF" w:rsidRDefault="00B44FF7" w:rsidP="001710FF">
      <w:pPr>
        <w:pStyle w:val="ListParagraph"/>
        <w:numPr>
          <w:ilvl w:val="2"/>
          <w:numId w:val="21"/>
        </w:numPr>
        <w:snapToGrid w:val="0"/>
        <w:spacing w:after="0" w:line="240" w:lineRule="auto"/>
        <w:contextualSpacing w:val="0"/>
        <w:rPr>
          <w:rFonts w:cstheme="minorHAnsi"/>
          <w:sz w:val="20"/>
          <w:szCs w:val="20"/>
          <w:lang w:val="en-US"/>
        </w:rPr>
      </w:pPr>
      <w:r w:rsidRPr="001710FF">
        <w:rPr>
          <w:rFonts w:cstheme="minorHAnsi"/>
          <w:sz w:val="20"/>
          <w:szCs w:val="20"/>
          <w:lang w:val="en-US"/>
        </w:rPr>
        <w:t xml:space="preserve">Momentum and FOMO can drive stocks even higher </w:t>
      </w:r>
    </w:p>
    <w:p w14:paraId="497C1746" w14:textId="77777777" w:rsidR="001710FF" w:rsidRPr="001710FF" w:rsidRDefault="00B44FF7" w:rsidP="001710FF">
      <w:pPr>
        <w:pStyle w:val="ListParagraph"/>
        <w:snapToGrid w:val="0"/>
        <w:spacing w:after="0" w:line="240" w:lineRule="auto"/>
        <w:ind w:left="1344"/>
        <w:contextualSpacing w:val="0"/>
        <w:rPr>
          <w:rFonts w:cstheme="minorHAnsi"/>
          <w:sz w:val="20"/>
          <w:szCs w:val="20"/>
          <w:lang w:val="en-US"/>
        </w:rPr>
      </w:pPr>
      <w:r w:rsidRPr="001710FF">
        <w:rPr>
          <w:rFonts w:cstheme="minorHAnsi"/>
          <w:sz w:val="20"/>
          <w:szCs w:val="20"/>
          <w:lang w:val="en-US"/>
        </w:rPr>
        <w:t xml:space="preserve">but the buying frenzy might end abruptly, Wharton's Jeremy Siegel says </w:t>
      </w:r>
    </w:p>
    <w:p w14:paraId="3895AB14" w14:textId="77777777" w:rsidR="001710FF" w:rsidRDefault="00000000" w:rsidP="001710FF">
      <w:pPr>
        <w:pStyle w:val="ListParagraph"/>
        <w:snapToGrid w:val="0"/>
        <w:spacing w:after="0" w:line="240" w:lineRule="auto"/>
        <w:ind w:left="1344"/>
        <w:contextualSpacing w:val="0"/>
        <w:rPr>
          <w:rFonts w:cstheme="minorHAnsi"/>
          <w:sz w:val="20"/>
          <w:szCs w:val="20"/>
          <w:lang w:val="en-US"/>
        </w:rPr>
      </w:pPr>
      <w:hyperlink r:id="rId20" w:history="1">
        <w:r w:rsidR="00B44FF7" w:rsidRPr="001710FF">
          <w:rPr>
            <w:rStyle w:val="Hyperlink"/>
            <w:rFonts w:cstheme="minorHAnsi"/>
            <w:sz w:val="20"/>
            <w:szCs w:val="20"/>
            <w:lang w:val="en-US"/>
          </w:rPr>
          <w:t>https://finance.yahoo.com/news/momentum-fomo-drive-stocks-even-222211481.html</w:t>
        </w:r>
      </w:hyperlink>
    </w:p>
    <w:p w14:paraId="60D0DF27" w14:textId="77777777" w:rsidR="001710FF" w:rsidRDefault="001710FF" w:rsidP="001710FF">
      <w:pPr>
        <w:pStyle w:val="ListParagraph"/>
        <w:snapToGrid w:val="0"/>
        <w:spacing w:after="0" w:line="240" w:lineRule="auto"/>
        <w:ind w:left="1344"/>
        <w:contextualSpacing w:val="0"/>
        <w:rPr>
          <w:rFonts w:cstheme="minorHAnsi"/>
          <w:b/>
          <w:bCs/>
          <w:sz w:val="20"/>
          <w:szCs w:val="20"/>
          <w:lang w:val="en-US"/>
        </w:rPr>
      </w:pPr>
    </w:p>
    <w:p w14:paraId="480DC08C" w14:textId="77777777" w:rsidR="002A3AF9" w:rsidRDefault="00B44FF7" w:rsidP="00705AD2">
      <w:pPr>
        <w:pStyle w:val="ListParagraph"/>
        <w:numPr>
          <w:ilvl w:val="2"/>
          <w:numId w:val="21"/>
        </w:numPr>
        <w:snapToGrid w:val="0"/>
        <w:spacing w:after="0" w:line="240" w:lineRule="auto"/>
        <w:contextualSpacing w:val="0"/>
        <w:rPr>
          <w:rFonts w:cstheme="minorHAnsi"/>
          <w:sz w:val="20"/>
          <w:szCs w:val="20"/>
          <w:lang w:val="en-US"/>
        </w:rPr>
      </w:pPr>
      <w:r w:rsidRPr="002A3AF9">
        <w:rPr>
          <w:rFonts w:cstheme="minorHAnsi"/>
          <w:sz w:val="20"/>
          <w:szCs w:val="20"/>
          <w:lang w:val="en-US"/>
        </w:rPr>
        <w:t xml:space="preserve">Amundi warns on hidden leverage in the financial system </w:t>
      </w:r>
    </w:p>
    <w:p w14:paraId="52A08B7B" w14:textId="77777777" w:rsidR="002A3AF9" w:rsidRDefault="00000000" w:rsidP="002A3AF9">
      <w:pPr>
        <w:pStyle w:val="ListParagraph"/>
        <w:snapToGrid w:val="0"/>
        <w:spacing w:after="0" w:line="240" w:lineRule="auto"/>
        <w:ind w:left="1344"/>
        <w:contextualSpacing w:val="0"/>
        <w:rPr>
          <w:rFonts w:cstheme="minorHAnsi"/>
          <w:sz w:val="20"/>
          <w:szCs w:val="20"/>
          <w:lang w:val="en-US"/>
        </w:rPr>
      </w:pPr>
      <w:hyperlink r:id="rId21" w:history="1">
        <w:r w:rsidR="00B44FF7" w:rsidRPr="00B827E1">
          <w:rPr>
            <w:rStyle w:val="Hyperlink"/>
            <w:rFonts w:cstheme="minorHAnsi"/>
            <w:sz w:val="20"/>
            <w:szCs w:val="20"/>
            <w:lang w:val="en-US"/>
          </w:rPr>
          <w:t>https://www.ft.com/content/4dfd546b-bff6-4dfa-a858-06b855001faa</w:t>
        </w:r>
      </w:hyperlink>
    </w:p>
    <w:p w14:paraId="7413D89A" w14:textId="77777777" w:rsidR="002A3AF9" w:rsidRDefault="002A3AF9" w:rsidP="002A3AF9">
      <w:pPr>
        <w:pStyle w:val="ListParagraph"/>
        <w:snapToGrid w:val="0"/>
        <w:spacing w:after="0" w:line="240" w:lineRule="auto"/>
        <w:ind w:left="1344"/>
        <w:contextualSpacing w:val="0"/>
        <w:rPr>
          <w:rFonts w:cstheme="minorHAnsi"/>
          <w:sz w:val="20"/>
          <w:szCs w:val="20"/>
          <w:lang w:val="en-US"/>
        </w:rPr>
      </w:pPr>
    </w:p>
    <w:p w14:paraId="386993DE" w14:textId="4A9523FE" w:rsidR="00705AD2" w:rsidRPr="00705AD2" w:rsidRDefault="00B44FF7" w:rsidP="00705AD2">
      <w:pPr>
        <w:pStyle w:val="ListParagraph"/>
        <w:numPr>
          <w:ilvl w:val="2"/>
          <w:numId w:val="21"/>
        </w:numPr>
        <w:snapToGrid w:val="0"/>
        <w:spacing w:after="0" w:line="240" w:lineRule="auto"/>
        <w:contextualSpacing w:val="0"/>
        <w:rPr>
          <w:rFonts w:cstheme="minorHAnsi"/>
          <w:sz w:val="20"/>
          <w:szCs w:val="20"/>
          <w:lang w:val="en-US"/>
        </w:rPr>
      </w:pPr>
      <w:r w:rsidRPr="00705AD2">
        <w:rPr>
          <w:rFonts w:cstheme="minorHAnsi"/>
          <w:sz w:val="20"/>
          <w:szCs w:val="20"/>
          <w:lang w:val="en-US"/>
        </w:rPr>
        <w:t xml:space="preserve">Leveraged ETFs: The Data Says We Are Missing Out </w:t>
      </w:r>
    </w:p>
    <w:p w14:paraId="455A724E" w14:textId="77777777" w:rsidR="00705AD2" w:rsidRPr="00705AD2" w:rsidRDefault="00B44FF7" w:rsidP="00705AD2">
      <w:pPr>
        <w:pStyle w:val="ListParagraph"/>
        <w:snapToGrid w:val="0"/>
        <w:spacing w:after="0" w:line="240" w:lineRule="auto"/>
        <w:ind w:left="1344"/>
        <w:contextualSpacing w:val="0"/>
        <w:rPr>
          <w:rFonts w:cstheme="minorHAnsi"/>
          <w:sz w:val="20"/>
          <w:szCs w:val="20"/>
          <w:lang w:val="en-US"/>
        </w:rPr>
      </w:pPr>
      <w:r w:rsidRPr="00705AD2">
        <w:rPr>
          <w:rFonts w:cstheme="minorHAnsi"/>
          <w:sz w:val="20"/>
          <w:szCs w:val="20"/>
          <w:lang w:val="en-US"/>
        </w:rPr>
        <w:t>https://www.linkedin.com/pulse/leveraged-etfs-data-says-were-missing-out-christian-knapp/</w:t>
      </w:r>
    </w:p>
    <w:p w14:paraId="39DFFF31" w14:textId="77777777" w:rsidR="00705AD2" w:rsidRDefault="00705AD2" w:rsidP="00705AD2">
      <w:pPr>
        <w:pStyle w:val="ListParagraph"/>
        <w:snapToGrid w:val="0"/>
        <w:spacing w:after="0" w:line="240" w:lineRule="auto"/>
        <w:ind w:left="936"/>
        <w:contextualSpacing w:val="0"/>
        <w:rPr>
          <w:rFonts w:cstheme="minorHAnsi"/>
          <w:b/>
          <w:bCs/>
          <w:sz w:val="20"/>
          <w:szCs w:val="20"/>
          <w:lang w:val="en-US"/>
        </w:rPr>
      </w:pPr>
    </w:p>
    <w:p w14:paraId="78AB95E9" w14:textId="7A428875" w:rsidR="006F23A7" w:rsidRPr="006F23A7" w:rsidRDefault="006F23A7" w:rsidP="006F23A7">
      <w:pPr>
        <w:pStyle w:val="ListParagraph"/>
        <w:numPr>
          <w:ilvl w:val="2"/>
          <w:numId w:val="21"/>
        </w:numPr>
        <w:snapToGrid w:val="0"/>
        <w:spacing w:after="0" w:line="240" w:lineRule="auto"/>
        <w:contextualSpacing w:val="0"/>
        <w:rPr>
          <w:rFonts w:cstheme="minorHAnsi"/>
          <w:sz w:val="20"/>
          <w:szCs w:val="20"/>
          <w:lang w:val="en-US"/>
        </w:rPr>
      </w:pPr>
      <w:r w:rsidRPr="006F23A7">
        <w:rPr>
          <w:rFonts w:cstheme="minorHAnsi"/>
          <w:sz w:val="20"/>
          <w:szCs w:val="20"/>
          <w:lang w:val="en-US"/>
        </w:rPr>
        <w:t>Bond Convexity: What Is It, and Why Should You Care? Brian Haughey. 2018.</w:t>
      </w:r>
    </w:p>
    <w:p w14:paraId="17E6B086" w14:textId="6CF11B27" w:rsidR="006F23A7" w:rsidRPr="006F23A7" w:rsidRDefault="006F23A7" w:rsidP="006F23A7">
      <w:pPr>
        <w:pStyle w:val="ListParagraph"/>
        <w:snapToGrid w:val="0"/>
        <w:spacing w:after="0" w:line="240" w:lineRule="auto"/>
        <w:ind w:left="1344"/>
        <w:contextualSpacing w:val="0"/>
        <w:rPr>
          <w:rFonts w:cstheme="minorHAnsi"/>
          <w:sz w:val="20"/>
          <w:szCs w:val="20"/>
          <w:lang w:val="en-US"/>
        </w:rPr>
      </w:pPr>
      <w:r w:rsidRPr="006F23A7">
        <w:rPr>
          <w:rFonts w:cstheme="minorHAnsi"/>
          <w:sz w:val="20"/>
          <w:szCs w:val="20"/>
          <w:lang w:val="en-US"/>
        </w:rPr>
        <w:t>https://www.cannonfinancial.com/uploads/main/bond-convexity-what-is-it-and-why-should-you-care.pdf</w:t>
      </w:r>
    </w:p>
    <w:p w14:paraId="0FEF1A21" w14:textId="77777777" w:rsidR="006F23A7" w:rsidRPr="006F23A7" w:rsidRDefault="006F23A7" w:rsidP="006F23A7">
      <w:pPr>
        <w:pStyle w:val="ListParagraph"/>
        <w:snapToGrid w:val="0"/>
        <w:spacing w:after="0" w:line="240" w:lineRule="auto"/>
        <w:ind w:left="1344"/>
        <w:contextualSpacing w:val="0"/>
        <w:rPr>
          <w:rFonts w:cstheme="minorHAnsi"/>
          <w:sz w:val="20"/>
          <w:szCs w:val="20"/>
          <w:lang w:val="en-US"/>
        </w:rPr>
      </w:pPr>
    </w:p>
    <w:p w14:paraId="47C44255" w14:textId="6579E265" w:rsidR="006F23A7" w:rsidRPr="006F23A7" w:rsidRDefault="006F23A7" w:rsidP="006F23A7">
      <w:pPr>
        <w:pStyle w:val="ListParagraph"/>
        <w:numPr>
          <w:ilvl w:val="2"/>
          <w:numId w:val="21"/>
        </w:numPr>
        <w:snapToGrid w:val="0"/>
        <w:spacing w:after="0" w:line="240" w:lineRule="auto"/>
        <w:contextualSpacing w:val="0"/>
        <w:rPr>
          <w:rFonts w:cstheme="minorHAnsi"/>
          <w:sz w:val="20"/>
          <w:szCs w:val="20"/>
          <w:lang w:val="en-US"/>
        </w:rPr>
      </w:pPr>
      <w:r w:rsidRPr="006F23A7">
        <w:rPr>
          <w:rFonts w:cstheme="minorHAnsi"/>
          <w:sz w:val="20"/>
          <w:szCs w:val="20"/>
          <w:lang w:val="en-US"/>
        </w:rPr>
        <w:t>Convexity in Bond</w:t>
      </w:r>
    </w:p>
    <w:p w14:paraId="6D258FE8" w14:textId="465C54CE" w:rsidR="006F23A7" w:rsidRPr="006F23A7" w:rsidRDefault="00000000" w:rsidP="006F23A7">
      <w:pPr>
        <w:pStyle w:val="ListParagraph"/>
        <w:snapToGrid w:val="0"/>
        <w:spacing w:after="0" w:line="240" w:lineRule="auto"/>
        <w:ind w:left="1344"/>
        <w:contextualSpacing w:val="0"/>
        <w:rPr>
          <w:rFonts w:cstheme="minorHAnsi"/>
          <w:sz w:val="20"/>
          <w:szCs w:val="20"/>
          <w:lang w:val="en-US"/>
        </w:rPr>
      </w:pPr>
      <w:hyperlink r:id="rId22" w:history="1">
        <w:r w:rsidR="006F23A7" w:rsidRPr="006F23A7">
          <w:rPr>
            <w:rStyle w:val="Hyperlink"/>
            <w:rFonts w:cstheme="minorHAnsi"/>
            <w:sz w:val="20"/>
            <w:szCs w:val="20"/>
            <w:lang w:val="en-US"/>
          </w:rPr>
          <w:t>https://www.financestrategists.com/wealth-management/bonds/convexity-in-bond/</w:t>
        </w:r>
      </w:hyperlink>
    </w:p>
    <w:p w14:paraId="00DB8069" w14:textId="77777777" w:rsidR="006F23A7" w:rsidRDefault="006F23A7" w:rsidP="006F23A7">
      <w:pPr>
        <w:snapToGrid w:val="0"/>
        <w:spacing w:after="0" w:line="240" w:lineRule="auto"/>
        <w:rPr>
          <w:rFonts w:cstheme="minorHAnsi"/>
          <w:b/>
          <w:bCs/>
          <w:sz w:val="20"/>
          <w:szCs w:val="20"/>
          <w:lang w:val="en-US"/>
        </w:rPr>
      </w:pPr>
    </w:p>
    <w:p w14:paraId="6C2F3B2B" w14:textId="77777777" w:rsidR="00B13673" w:rsidRDefault="00B13673" w:rsidP="006F23A7">
      <w:pPr>
        <w:snapToGrid w:val="0"/>
        <w:spacing w:after="0" w:line="240" w:lineRule="auto"/>
        <w:rPr>
          <w:rFonts w:cstheme="minorHAnsi"/>
          <w:b/>
          <w:bCs/>
          <w:sz w:val="20"/>
          <w:szCs w:val="20"/>
          <w:lang w:val="en-US"/>
        </w:rPr>
      </w:pPr>
    </w:p>
    <w:p w14:paraId="27A41C0A" w14:textId="77777777" w:rsidR="00B13673" w:rsidRDefault="00B13673" w:rsidP="006F23A7">
      <w:pPr>
        <w:snapToGrid w:val="0"/>
        <w:spacing w:after="0" w:line="240" w:lineRule="auto"/>
        <w:rPr>
          <w:rFonts w:cstheme="minorHAnsi"/>
          <w:b/>
          <w:bCs/>
          <w:sz w:val="20"/>
          <w:szCs w:val="20"/>
          <w:lang w:val="en-US"/>
        </w:rPr>
      </w:pPr>
    </w:p>
    <w:p w14:paraId="3C258F3C" w14:textId="77777777" w:rsidR="00B13673" w:rsidRDefault="00B13673" w:rsidP="006F23A7">
      <w:pPr>
        <w:snapToGrid w:val="0"/>
        <w:spacing w:after="0" w:line="240" w:lineRule="auto"/>
        <w:rPr>
          <w:rFonts w:cstheme="minorHAnsi"/>
          <w:b/>
          <w:bCs/>
          <w:sz w:val="20"/>
          <w:szCs w:val="20"/>
          <w:lang w:val="en-US"/>
        </w:rPr>
      </w:pPr>
    </w:p>
    <w:p w14:paraId="53E3AE56" w14:textId="77777777" w:rsidR="00B13673" w:rsidRDefault="00B13673" w:rsidP="006F23A7">
      <w:pPr>
        <w:snapToGrid w:val="0"/>
        <w:spacing w:after="0" w:line="240" w:lineRule="auto"/>
        <w:rPr>
          <w:rFonts w:cstheme="minorHAnsi"/>
          <w:b/>
          <w:bCs/>
          <w:sz w:val="20"/>
          <w:szCs w:val="20"/>
          <w:lang w:val="en-US"/>
        </w:rPr>
      </w:pPr>
    </w:p>
    <w:p w14:paraId="0D9CF3B3" w14:textId="77777777" w:rsidR="00B13673" w:rsidRDefault="00B13673" w:rsidP="006F23A7">
      <w:pPr>
        <w:snapToGrid w:val="0"/>
        <w:spacing w:after="0" w:line="240" w:lineRule="auto"/>
        <w:rPr>
          <w:rFonts w:cstheme="minorHAnsi"/>
          <w:b/>
          <w:bCs/>
          <w:sz w:val="20"/>
          <w:szCs w:val="20"/>
          <w:lang w:val="en-US"/>
        </w:rPr>
      </w:pPr>
    </w:p>
    <w:p w14:paraId="340A13A3" w14:textId="77777777" w:rsidR="00B13673" w:rsidRDefault="00B13673" w:rsidP="006F23A7">
      <w:pPr>
        <w:snapToGrid w:val="0"/>
        <w:spacing w:after="0" w:line="240" w:lineRule="auto"/>
        <w:rPr>
          <w:rFonts w:cstheme="minorHAnsi"/>
          <w:b/>
          <w:bCs/>
          <w:sz w:val="20"/>
          <w:szCs w:val="20"/>
          <w:lang w:val="en-US"/>
        </w:rPr>
      </w:pPr>
    </w:p>
    <w:p w14:paraId="39BCEFFB" w14:textId="77777777" w:rsidR="009E7FD3" w:rsidRDefault="009E7FD3" w:rsidP="006F23A7">
      <w:pPr>
        <w:snapToGrid w:val="0"/>
        <w:spacing w:after="0" w:line="240" w:lineRule="auto"/>
        <w:rPr>
          <w:rFonts w:cstheme="minorHAnsi"/>
          <w:b/>
          <w:bCs/>
          <w:sz w:val="20"/>
          <w:szCs w:val="20"/>
          <w:lang w:val="en-US"/>
        </w:rPr>
      </w:pPr>
    </w:p>
    <w:p w14:paraId="79AED9C5" w14:textId="77777777" w:rsidR="00B13673" w:rsidRDefault="00B13673" w:rsidP="006F23A7">
      <w:pPr>
        <w:snapToGrid w:val="0"/>
        <w:spacing w:after="0" w:line="240" w:lineRule="auto"/>
        <w:rPr>
          <w:rFonts w:cstheme="minorHAnsi"/>
          <w:b/>
          <w:bCs/>
          <w:sz w:val="20"/>
          <w:szCs w:val="20"/>
          <w:lang w:val="en-US"/>
        </w:rPr>
      </w:pPr>
    </w:p>
    <w:p w14:paraId="51EC0870" w14:textId="77777777" w:rsidR="00B13673" w:rsidRDefault="00B13673" w:rsidP="006F23A7">
      <w:pPr>
        <w:snapToGrid w:val="0"/>
        <w:spacing w:after="0" w:line="240" w:lineRule="auto"/>
        <w:rPr>
          <w:rFonts w:cstheme="minorHAnsi"/>
          <w:b/>
          <w:bCs/>
          <w:sz w:val="20"/>
          <w:szCs w:val="20"/>
          <w:lang w:val="en-US"/>
        </w:rPr>
      </w:pPr>
    </w:p>
    <w:p w14:paraId="614DC102" w14:textId="0D396006" w:rsidR="00C078AF" w:rsidRDefault="00B44FF7" w:rsidP="00371A1B">
      <w:pPr>
        <w:pStyle w:val="ListParagraph"/>
        <w:numPr>
          <w:ilvl w:val="1"/>
          <w:numId w:val="21"/>
        </w:numPr>
        <w:snapToGrid w:val="0"/>
        <w:spacing w:after="0" w:line="240" w:lineRule="auto"/>
        <w:contextualSpacing w:val="0"/>
        <w:rPr>
          <w:rFonts w:cstheme="minorHAnsi"/>
          <w:b/>
          <w:bCs/>
          <w:sz w:val="20"/>
          <w:szCs w:val="20"/>
          <w:lang w:val="en-US"/>
        </w:rPr>
      </w:pPr>
      <w:r w:rsidRPr="00371A1B">
        <w:rPr>
          <w:rFonts w:cstheme="minorHAnsi"/>
          <w:b/>
          <w:bCs/>
          <w:sz w:val="20"/>
          <w:szCs w:val="20"/>
          <w:lang w:val="en-US"/>
        </w:rPr>
        <w:t xml:space="preserve">Student: Yhasreen </w:t>
      </w:r>
      <w:r>
        <w:rPr>
          <w:rFonts w:cstheme="minorHAnsi"/>
          <w:b/>
          <w:bCs/>
          <w:sz w:val="20"/>
          <w:szCs w:val="20"/>
          <w:lang w:val="en-US"/>
        </w:rPr>
        <w:t xml:space="preserve">for </w:t>
      </w:r>
      <w:r w:rsidR="000E033F">
        <w:rPr>
          <w:rFonts w:cstheme="minorHAnsi"/>
          <w:b/>
          <w:bCs/>
          <w:sz w:val="20"/>
          <w:szCs w:val="20"/>
          <w:lang w:val="en-US"/>
        </w:rPr>
        <w:t>Frictional</w:t>
      </w:r>
      <w:r>
        <w:rPr>
          <w:rFonts w:cstheme="minorHAnsi"/>
          <w:b/>
          <w:bCs/>
          <w:sz w:val="20"/>
          <w:szCs w:val="20"/>
          <w:lang w:val="en-US"/>
        </w:rPr>
        <w:t xml:space="preserve"> Risk:</w:t>
      </w:r>
      <w:r w:rsidR="00421F25">
        <w:rPr>
          <w:rFonts w:cstheme="minorHAnsi"/>
          <w:b/>
          <w:bCs/>
          <w:sz w:val="20"/>
          <w:szCs w:val="20"/>
          <w:lang w:val="en-US"/>
        </w:rPr>
        <w:t xml:space="preserve"> Equity &amp; bond</w:t>
      </w:r>
    </w:p>
    <w:p w14:paraId="7EF24B21" w14:textId="77777777" w:rsidR="0041140F" w:rsidRDefault="00B44FF7" w:rsidP="0041140F">
      <w:pPr>
        <w:pStyle w:val="ListParagraph"/>
        <w:numPr>
          <w:ilvl w:val="2"/>
          <w:numId w:val="21"/>
        </w:numPr>
        <w:snapToGrid w:val="0"/>
        <w:spacing w:after="0" w:line="240" w:lineRule="auto"/>
        <w:contextualSpacing w:val="0"/>
        <w:rPr>
          <w:rFonts w:cstheme="minorHAnsi"/>
          <w:sz w:val="20"/>
          <w:szCs w:val="20"/>
          <w:lang w:val="en-US"/>
        </w:rPr>
      </w:pPr>
      <w:r w:rsidRPr="0041140F">
        <w:rPr>
          <w:rFonts w:cstheme="minorHAnsi"/>
          <w:sz w:val="20"/>
          <w:szCs w:val="20"/>
          <w:lang w:val="en-US"/>
        </w:rPr>
        <w:t>2010 Flash Crash</w:t>
      </w:r>
    </w:p>
    <w:p w14:paraId="30393649" w14:textId="77777777" w:rsidR="0041140F" w:rsidRDefault="00000000" w:rsidP="0041140F">
      <w:pPr>
        <w:pStyle w:val="ListParagraph"/>
        <w:snapToGrid w:val="0"/>
        <w:spacing w:after="0" w:line="240" w:lineRule="auto"/>
        <w:ind w:left="1344"/>
        <w:contextualSpacing w:val="0"/>
        <w:rPr>
          <w:rFonts w:cstheme="minorHAnsi"/>
          <w:sz w:val="20"/>
          <w:szCs w:val="20"/>
          <w:lang w:val="en-US"/>
        </w:rPr>
      </w:pPr>
      <w:hyperlink r:id="rId23" w:history="1">
        <w:r w:rsidR="00B44FF7" w:rsidRPr="00B827E1">
          <w:rPr>
            <w:rStyle w:val="Hyperlink"/>
            <w:rFonts w:cstheme="minorHAnsi"/>
            <w:sz w:val="20"/>
            <w:szCs w:val="20"/>
            <w:lang w:val="en-US"/>
          </w:rPr>
          <w:t>https://corporatefinanceinstitute.com/resources/equities/2010-flash-crash/</w:t>
        </w:r>
      </w:hyperlink>
    </w:p>
    <w:p w14:paraId="1DE46DC1" w14:textId="77777777" w:rsidR="0041140F" w:rsidRPr="001710FF" w:rsidRDefault="00B44FF7" w:rsidP="0041140F">
      <w:pPr>
        <w:pStyle w:val="ListParagraph"/>
        <w:numPr>
          <w:ilvl w:val="2"/>
          <w:numId w:val="21"/>
        </w:numPr>
        <w:snapToGrid w:val="0"/>
        <w:spacing w:after="0" w:line="240" w:lineRule="auto"/>
        <w:contextualSpacing w:val="0"/>
        <w:rPr>
          <w:rFonts w:cstheme="minorHAnsi"/>
          <w:sz w:val="20"/>
          <w:szCs w:val="20"/>
          <w:lang w:val="en-US"/>
        </w:rPr>
      </w:pPr>
      <w:r>
        <w:rPr>
          <w:rFonts w:cstheme="minorHAnsi"/>
          <w:sz w:val="20"/>
          <w:szCs w:val="20"/>
          <w:lang w:val="en-US"/>
        </w:rPr>
        <w:t>What is Flash Crash?</w:t>
      </w:r>
    </w:p>
    <w:p w14:paraId="5F5359C8" w14:textId="77777777" w:rsidR="0041140F" w:rsidRPr="0041140F" w:rsidRDefault="00B44FF7" w:rsidP="0041140F">
      <w:pPr>
        <w:pStyle w:val="ListParagraph"/>
        <w:snapToGrid w:val="0"/>
        <w:spacing w:after="0" w:line="240" w:lineRule="auto"/>
        <w:ind w:left="1344"/>
        <w:contextualSpacing w:val="0"/>
        <w:rPr>
          <w:rFonts w:cstheme="minorHAnsi"/>
          <w:sz w:val="20"/>
          <w:szCs w:val="20"/>
          <w:lang w:val="en-US"/>
        </w:rPr>
      </w:pPr>
      <w:r w:rsidRPr="0041140F">
        <w:rPr>
          <w:rFonts w:cstheme="minorHAnsi"/>
          <w:sz w:val="20"/>
          <w:szCs w:val="20"/>
          <w:lang w:val="en-US"/>
        </w:rPr>
        <w:t>https://www.wallstreetmojo.com/flash-crash/</w:t>
      </w:r>
    </w:p>
    <w:p w14:paraId="1BA8313D" w14:textId="77777777" w:rsidR="0041140F" w:rsidRDefault="0041140F" w:rsidP="0041140F">
      <w:pPr>
        <w:pStyle w:val="ListParagraph"/>
        <w:snapToGrid w:val="0"/>
        <w:spacing w:after="0" w:line="240" w:lineRule="auto"/>
        <w:ind w:left="1344"/>
        <w:contextualSpacing w:val="0"/>
        <w:rPr>
          <w:rFonts w:cstheme="minorHAnsi"/>
          <w:sz w:val="20"/>
          <w:szCs w:val="20"/>
          <w:lang w:val="en-US"/>
        </w:rPr>
      </w:pPr>
    </w:p>
    <w:p w14:paraId="1E75B400" w14:textId="77777777" w:rsidR="008B0EAE" w:rsidRDefault="00B44FF7" w:rsidP="00750815">
      <w:pPr>
        <w:pStyle w:val="ListParagraph"/>
        <w:numPr>
          <w:ilvl w:val="2"/>
          <w:numId w:val="21"/>
        </w:numPr>
        <w:snapToGrid w:val="0"/>
        <w:spacing w:after="0" w:line="240" w:lineRule="auto"/>
        <w:contextualSpacing w:val="0"/>
        <w:rPr>
          <w:rFonts w:cstheme="minorHAnsi"/>
          <w:sz w:val="20"/>
          <w:szCs w:val="20"/>
          <w:lang w:val="en-US"/>
        </w:rPr>
      </w:pPr>
      <w:r w:rsidRPr="008B0EAE">
        <w:rPr>
          <w:rFonts w:cstheme="minorHAnsi"/>
          <w:sz w:val="20"/>
          <w:szCs w:val="20"/>
          <w:lang w:val="en-US"/>
        </w:rPr>
        <w:t>Apple advances supplier clean energy commitments</w:t>
      </w:r>
      <w:r>
        <w:rPr>
          <w:rFonts w:cstheme="minorHAnsi"/>
          <w:sz w:val="20"/>
          <w:szCs w:val="20"/>
          <w:lang w:val="en-US"/>
        </w:rPr>
        <w:t xml:space="preserve">. Apple Newsroom.12 </w:t>
      </w:r>
      <w:r w:rsidR="005B52BE">
        <w:rPr>
          <w:rFonts w:cstheme="minorHAnsi"/>
          <w:sz w:val="20"/>
          <w:szCs w:val="20"/>
          <w:lang w:val="en-US"/>
        </w:rPr>
        <w:t>Sep</w:t>
      </w:r>
      <w:r>
        <w:rPr>
          <w:rFonts w:cstheme="minorHAnsi"/>
          <w:sz w:val="20"/>
          <w:szCs w:val="20"/>
          <w:lang w:val="en-US"/>
        </w:rPr>
        <w:t xml:space="preserve"> 2023.</w:t>
      </w:r>
    </w:p>
    <w:p w14:paraId="24871860" w14:textId="77777777" w:rsidR="008B0EAE" w:rsidRDefault="00000000" w:rsidP="00750815">
      <w:pPr>
        <w:pStyle w:val="ListParagraph"/>
        <w:snapToGrid w:val="0"/>
        <w:spacing w:after="0" w:line="240" w:lineRule="auto"/>
        <w:ind w:left="1344"/>
        <w:contextualSpacing w:val="0"/>
        <w:rPr>
          <w:rFonts w:cstheme="minorHAnsi"/>
          <w:sz w:val="20"/>
          <w:szCs w:val="20"/>
          <w:lang w:val="en-US"/>
        </w:rPr>
      </w:pPr>
      <w:hyperlink r:id="rId24" w:anchor=":~:text=Apple%20today%20announced%20expanded%20progress,their%20Apple%20production%20by%202030" w:history="1">
        <w:r w:rsidR="00B44FF7" w:rsidRPr="00B827E1">
          <w:rPr>
            <w:rStyle w:val="Hyperlink"/>
            <w:rFonts w:cstheme="minorHAnsi"/>
            <w:sz w:val="20"/>
            <w:szCs w:val="20"/>
            <w:lang w:val="en-US"/>
          </w:rPr>
          <w:t>https://www.apple.com/newsroom/2023/09/apple-advances-supplier-clean-energy-commitments/#:~:text=Apple%20today%20announced%20expanded%20progress,their%20Apple%20production%20by%202030</w:t>
        </w:r>
      </w:hyperlink>
      <w:r w:rsidR="00B44FF7" w:rsidRPr="008B0EAE">
        <w:rPr>
          <w:rFonts w:cstheme="minorHAnsi"/>
          <w:sz w:val="20"/>
          <w:szCs w:val="20"/>
          <w:lang w:val="en-US"/>
        </w:rPr>
        <w:t>.</w:t>
      </w:r>
    </w:p>
    <w:p w14:paraId="6DBEF370" w14:textId="77777777" w:rsidR="00371A1B" w:rsidRPr="00371A1B" w:rsidRDefault="00371A1B" w:rsidP="00371A1B">
      <w:pPr>
        <w:snapToGrid w:val="0"/>
        <w:spacing w:after="0" w:line="240" w:lineRule="auto"/>
        <w:rPr>
          <w:rFonts w:cstheme="minorHAnsi"/>
          <w:sz w:val="20"/>
          <w:szCs w:val="20"/>
          <w:lang w:val="en-US"/>
        </w:rPr>
      </w:pPr>
    </w:p>
    <w:p w14:paraId="518E045A" w14:textId="77777777" w:rsidR="008B0EAE" w:rsidRDefault="00B44FF7" w:rsidP="00750815">
      <w:pPr>
        <w:pStyle w:val="ListParagraph"/>
        <w:numPr>
          <w:ilvl w:val="2"/>
          <w:numId w:val="21"/>
        </w:numPr>
        <w:snapToGrid w:val="0"/>
        <w:spacing w:after="0" w:line="240" w:lineRule="auto"/>
        <w:contextualSpacing w:val="0"/>
        <w:rPr>
          <w:rFonts w:cstheme="minorHAnsi"/>
          <w:sz w:val="20"/>
          <w:szCs w:val="20"/>
          <w:lang w:val="en-US"/>
        </w:rPr>
      </w:pPr>
      <w:r w:rsidRPr="008B0EAE">
        <w:rPr>
          <w:rFonts w:cstheme="minorHAnsi"/>
          <w:sz w:val="20"/>
          <w:szCs w:val="20"/>
          <w:lang w:val="en-US"/>
        </w:rPr>
        <w:t>Apple’s Carbon-Neutral Suppliers Have Doubled in Number</w:t>
      </w:r>
      <w:r>
        <w:rPr>
          <w:rFonts w:cstheme="minorHAnsi"/>
          <w:sz w:val="20"/>
          <w:szCs w:val="20"/>
          <w:lang w:val="en-US"/>
        </w:rPr>
        <w:t>. 27 Oct 2021.</w:t>
      </w:r>
    </w:p>
    <w:p w14:paraId="5049C37E" w14:textId="77777777" w:rsidR="008B0EAE" w:rsidRDefault="00000000" w:rsidP="00750815">
      <w:pPr>
        <w:pStyle w:val="ListParagraph"/>
        <w:snapToGrid w:val="0"/>
        <w:spacing w:after="0" w:line="240" w:lineRule="auto"/>
        <w:ind w:left="1344"/>
        <w:contextualSpacing w:val="0"/>
        <w:rPr>
          <w:rFonts w:cstheme="minorHAnsi"/>
          <w:sz w:val="20"/>
          <w:szCs w:val="20"/>
          <w:lang w:val="en-US"/>
        </w:rPr>
      </w:pPr>
      <w:hyperlink r:id="rId25" w:history="1">
        <w:r w:rsidR="00B44FF7" w:rsidRPr="00B827E1">
          <w:rPr>
            <w:rStyle w:val="Hyperlink"/>
            <w:rFonts w:cstheme="minorHAnsi"/>
            <w:sz w:val="20"/>
            <w:szCs w:val="20"/>
            <w:lang w:val="en-US"/>
          </w:rPr>
          <w:t>https://www.bloomberg.com/news/articles/2021-10-27/apple-says-it-has-doubled-number-of-carbon-neutral-suppliers?utm_medium=cpc_search&amp;utm_campaign=NB_ENG_DSAXX_DSAXXXXXXXXXX_EVG_XXXX_XXX_Y0469_EN_EN_X_BLOM_GO_SE_XXX_XXXXXXXXXX&amp;gclid=Cj0KCQjw1OmoBhDXARIsAAAYGSHZiHfMscDMn1DjbJDWoAgSuo3U7HGK04GSFNilYgQgRKwFiUMKm80aAgxoEALw_wcB&amp;gclsrc=aw.ds&amp;embedded-checkout=true</w:t>
        </w:r>
      </w:hyperlink>
    </w:p>
    <w:p w14:paraId="38DD8799" w14:textId="77777777" w:rsidR="00371A1B" w:rsidRPr="00371A1B" w:rsidRDefault="00371A1B" w:rsidP="00371A1B">
      <w:pPr>
        <w:snapToGrid w:val="0"/>
        <w:spacing w:after="0" w:line="240" w:lineRule="auto"/>
        <w:rPr>
          <w:rFonts w:cstheme="minorHAnsi"/>
          <w:sz w:val="20"/>
          <w:szCs w:val="20"/>
          <w:lang w:val="en-US"/>
        </w:rPr>
      </w:pPr>
    </w:p>
    <w:p w14:paraId="25A7D5B8" w14:textId="77777777" w:rsidR="00F9582E" w:rsidRDefault="00B44FF7" w:rsidP="00750815">
      <w:pPr>
        <w:pStyle w:val="ListParagraph"/>
        <w:numPr>
          <w:ilvl w:val="2"/>
          <w:numId w:val="21"/>
        </w:numPr>
        <w:snapToGrid w:val="0"/>
        <w:spacing w:after="0" w:line="240" w:lineRule="auto"/>
        <w:contextualSpacing w:val="0"/>
        <w:rPr>
          <w:rFonts w:cstheme="minorHAnsi"/>
          <w:sz w:val="20"/>
          <w:szCs w:val="20"/>
          <w:lang w:val="en-US"/>
        </w:rPr>
      </w:pPr>
      <w:r w:rsidRPr="00F9582E">
        <w:rPr>
          <w:rFonts w:cstheme="minorHAnsi"/>
          <w:sz w:val="20"/>
          <w:szCs w:val="20"/>
          <w:lang w:val="en-US"/>
        </w:rPr>
        <w:t>Apple will use 100 per cent recycled cobalt in batteries by 2025</w:t>
      </w:r>
      <w:r>
        <w:rPr>
          <w:rFonts w:cstheme="minorHAnsi"/>
          <w:sz w:val="20"/>
          <w:szCs w:val="20"/>
          <w:lang w:val="en-US"/>
        </w:rPr>
        <w:t>. Apple press release. 13 Apr 2023.</w:t>
      </w:r>
    </w:p>
    <w:p w14:paraId="32BEC538" w14:textId="19C8023C" w:rsidR="00F9582E" w:rsidRDefault="00000000" w:rsidP="00750815">
      <w:pPr>
        <w:pStyle w:val="ListParagraph"/>
        <w:snapToGrid w:val="0"/>
        <w:spacing w:after="0" w:line="240" w:lineRule="auto"/>
        <w:ind w:left="1344"/>
        <w:contextualSpacing w:val="0"/>
        <w:rPr>
          <w:rFonts w:cstheme="minorHAnsi"/>
          <w:sz w:val="20"/>
          <w:szCs w:val="20"/>
          <w:lang w:val="en-US"/>
        </w:rPr>
      </w:pPr>
      <w:hyperlink r:id="rId26" w:history="1">
        <w:r w:rsidR="000F4246" w:rsidRPr="008D5DFB">
          <w:rPr>
            <w:rStyle w:val="Hyperlink"/>
            <w:rFonts w:cstheme="minorHAnsi"/>
            <w:sz w:val="20"/>
            <w:szCs w:val="20"/>
            <w:lang w:val="en-US"/>
          </w:rPr>
          <w:t>https://www.apple.com/sg/newsroom/2023/04/apple-will-use-100-percent-recycled-cobalt-in-batteries-by-2025/</w:t>
        </w:r>
      </w:hyperlink>
    </w:p>
    <w:p w14:paraId="79E6C7DC" w14:textId="77777777" w:rsidR="000F4246" w:rsidRPr="000F4246" w:rsidRDefault="000F4246" w:rsidP="000F4246">
      <w:pPr>
        <w:snapToGrid w:val="0"/>
        <w:spacing w:after="0" w:line="240" w:lineRule="auto"/>
        <w:rPr>
          <w:rFonts w:cstheme="minorHAnsi"/>
          <w:sz w:val="20"/>
          <w:szCs w:val="20"/>
          <w:lang w:val="en-US"/>
        </w:rPr>
      </w:pPr>
    </w:p>
    <w:p w14:paraId="5BA0B2DC" w14:textId="77777777" w:rsidR="00F9582E" w:rsidRPr="00DD35C7" w:rsidRDefault="00B44FF7" w:rsidP="00750815">
      <w:pPr>
        <w:pStyle w:val="ListParagraph"/>
        <w:numPr>
          <w:ilvl w:val="2"/>
          <w:numId w:val="21"/>
        </w:numPr>
        <w:snapToGrid w:val="0"/>
        <w:spacing w:after="0" w:line="240" w:lineRule="auto"/>
        <w:contextualSpacing w:val="0"/>
        <w:rPr>
          <w:rFonts w:cstheme="minorHAnsi"/>
          <w:sz w:val="20"/>
          <w:szCs w:val="20"/>
          <w:lang w:val="en-US"/>
        </w:rPr>
      </w:pPr>
      <w:r w:rsidRPr="00DD35C7">
        <w:rPr>
          <w:rFonts w:cstheme="minorHAnsi"/>
          <w:sz w:val="20"/>
          <w:szCs w:val="20"/>
          <w:lang w:val="en-US"/>
        </w:rPr>
        <w:t>Apple to use recycled cobalt in batteries by 2025. 13 Apr 2023.</w:t>
      </w:r>
    </w:p>
    <w:p w14:paraId="3EFA80A2" w14:textId="77777777" w:rsidR="00F9582E" w:rsidRDefault="00000000" w:rsidP="00750815">
      <w:pPr>
        <w:pStyle w:val="ListParagraph"/>
        <w:snapToGrid w:val="0"/>
        <w:spacing w:after="0" w:line="240" w:lineRule="auto"/>
        <w:ind w:left="1344"/>
        <w:contextualSpacing w:val="0"/>
        <w:rPr>
          <w:rFonts w:cstheme="minorHAnsi"/>
          <w:sz w:val="20"/>
          <w:szCs w:val="20"/>
          <w:lang w:val="en-US"/>
        </w:rPr>
      </w:pPr>
      <w:hyperlink r:id="rId27" w:history="1">
        <w:r w:rsidR="00B44FF7" w:rsidRPr="00B827E1">
          <w:rPr>
            <w:rStyle w:val="Hyperlink"/>
            <w:rFonts w:cstheme="minorHAnsi"/>
            <w:sz w:val="20"/>
            <w:szCs w:val="20"/>
            <w:lang w:val="en-US"/>
          </w:rPr>
          <w:t>https://www.reuters.com/technology/apple-use-100-recycled-cobalt-batteries-by-2025-2023-04-13/</w:t>
        </w:r>
      </w:hyperlink>
    </w:p>
    <w:p w14:paraId="2B25911B" w14:textId="77777777" w:rsidR="00371A1B" w:rsidRPr="00371A1B" w:rsidRDefault="00371A1B" w:rsidP="00371A1B">
      <w:pPr>
        <w:snapToGrid w:val="0"/>
        <w:spacing w:after="0" w:line="240" w:lineRule="auto"/>
        <w:rPr>
          <w:rFonts w:cstheme="minorHAnsi"/>
          <w:sz w:val="20"/>
          <w:szCs w:val="20"/>
          <w:lang w:val="en-US"/>
        </w:rPr>
      </w:pPr>
    </w:p>
    <w:p w14:paraId="5B3C92DF" w14:textId="77777777" w:rsidR="00F9582E" w:rsidRPr="00DD35C7" w:rsidRDefault="00B44FF7" w:rsidP="00750815">
      <w:pPr>
        <w:pStyle w:val="ListParagraph"/>
        <w:numPr>
          <w:ilvl w:val="2"/>
          <w:numId w:val="21"/>
        </w:numPr>
        <w:snapToGrid w:val="0"/>
        <w:spacing w:after="0" w:line="240" w:lineRule="auto"/>
        <w:contextualSpacing w:val="0"/>
        <w:rPr>
          <w:rFonts w:cstheme="minorHAnsi"/>
          <w:sz w:val="20"/>
          <w:szCs w:val="20"/>
          <w:lang w:val="en-US"/>
        </w:rPr>
      </w:pPr>
      <w:r w:rsidRPr="00DD35C7">
        <w:rPr>
          <w:rFonts w:cstheme="minorHAnsi"/>
          <w:sz w:val="20"/>
          <w:szCs w:val="20"/>
          <w:lang w:val="en-US"/>
        </w:rPr>
        <w:t>Why your iPhone 17 might come with a recycled battery. 20 Apr 2023.</w:t>
      </w:r>
    </w:p>
    <w:p w14:paraId="3DDB5B97" w14:textId="77777777" w:rsidR="00F9582E" w:rsidRDefault="00000000" w:rsidP="00750815">
      <w:pPr>
        <w:pStyle w:val="ListParagraph"/>
        <w:snapToGrid w:val="0"/>
        <w:spacing w:after="0" w:line="240" w:lineRule="auto"/>
        <w:ind w:left="1344"/>
        <w:contextualSpacing w:val="0"/>
        <w:rPr>
          <w:rFonts w:cstheme="minorHAnsi"/>
          <w:sz w:val="20"/>
          <w:szCs w:val="20"/>
          <w:lang w:val="en-US"/>
        </w:rPr>
      </w:pPr>
      <w:hyperlink r:id="rId28" w:history="1">
        <w:r w:rsidR="00B44FF7" w:rsidRPr="00B827E1">
          <w:rPr>
            <w:rStyle w:val="Hyperlink"/>
            <w:rFonts w:cstheme="minorHAnsi"/>
            <w:sz w:val="20"/>
            <w:szCs w:val="20"/>
            <w:lang w:val="en-US"/>
          </w:rPr>
          <w:t>https://www.technologyreview.com/2023/04/20/1071825/apple-cobalt-battery-recycling/</w:t>
        </w:r>
      </w:hyperlink>
    </w:p>
    <w:p w14:paraId="23557CE2" w14:textId="77777777" w:rsidR="00371A1B" w:rsidRPr="00371A1B" w:rsidRDefault="00371A1B" w:rsidP="00371A1B">
      <w:pPr>
        <w:snapToGrid w:val="0"/>
        <w:spacing w:after="0" w:line="240" w:lineRule="auto"/>
        <w:rPr>
          <w:rFonts w:cstheme="minorHAnsi"/>
          <w:sz w:val="20"/>
          <w:szCs w:val="20"/>
          <w:lang w:val="en-US"/>
        </w:rPr>
      </w:pPr>
    </w:p>
    <w:p w14:paraId="21A4B974" w14:textId="77777777" w:rsidR="00F9582E" w:rsidRPr="00DD35C7" w:rsidRDefault="00B44FF7" w:rsidP="00750815">
      <w:pPr>
        <w:pStyle w:val="ListParagraph"/>
        <w:numPr>
          <w:ilvl w:val="2"/>
          <w:numId w:val="21"/>
        </w:numPr>
        <w:snapToGrid w:val="0"/>
        <w:spacing w:after="0" w:line="240" w:lineRule="auto"/>
        <w:contextualSpacing w:val="0"/>
        <w:rPr>
          <w:rFonts w:cstheme="minorHAnsi"/>
          <w:sz w:val="20"/>
          <w:szCs w:val="20"/>
          <w:lang w:val="en-US"/>
        </w:rPr>
      </w:pPr>
      <w:r w:rsidRPr="00DD35C7">
        <w:rPr>
          <w:rFonts w:cstheme="minorHAnsi"/>
          <w:sz w:val="20"/>
          <w:szCs w:val="20"/>
          <w:lang w:val="en-US"/>
        </w:rPr>
        <w:t>All new Apple batteries will use 100% recycled cobalt by 2025. 13 Apr 2023.</w:t>
      </w:r>
    </w:p>
    <w:p w14:paraId="476B5854" w14:textId="77777777" w:rsidR="00F9582E" w:rsidRDefault="00000000" w:rsidP="00750815">
      <w:pPr>
        <w:pStyle w:val="ListParagraph"/>
        <w:snapToGrid w:val="0"/>
        <w:spacing w:after="0" w:line="240" w:lineRule="auto"/>
        <w:ind w:left="1344"/>
        <w:contextualSpacing w:val="0"/>
        <w:rPr>
          <w:rFonts w:cstheme="minorHAnsi"/>
          <w:sz w:val="20"/>
          <w:szCs w:val="20"/>
          <w:lang w:val="en-US"/>
        </w:rPr>
      </w:pPr>
      <w:hyperlink r:id="rId29" w:history="1">
        <w:r w:rsidR="00B44FF7" w:rsidRPr="00B827E1">
          <w:rPr>
            <w:rStyle w:val="Hyperlink"/>
            <w:rFonts w:cstheme="minorHAnsi"/>
            <w:sz w:val="20"/>
            <w:szCs w:val="20"/>
            <w:lang w:val="en-US"/>
          </w:rPr>
          <w:t>https://techcrunch.com/2023/04/13/all-new-apple-batteries-will-use-100-recycled-cobalt-by-2025/</w:t>
        </w:r>
      </w:hyperlink>
    </w:p>
    <w:p w14:paraId="6B16B11D" w14:textId="77777777" w:rsidR="004B1617" w:rsidRPr="00371A1B" w:rsidRDefault="004B1617" w:rsidP="00371A1B">
      <w:pPr>
        <w:snapToGrid w:val="0"/>
        <w:spacing w:after="0" w:line="240" w:lineRule="auto"/>
        <w:rPr>
          <w:rFonts w:cstheme="minorHAnsi"/>
          <w:sz w:val="20"/>
          <w:szCs w:val="20"/>
          <w:lang w:val="en-US"/>
        </w:rPr>
      </w:pPr>
    </w:p>
    <w:p w14:paraId="35607AEC" w14:textId="12BF7B8D" w:rsidR="00425E17" w:rsidRDefault="00B44FF7" w:rsidP="00750815">
      <w:pPr>
        <w:pStyle w:val="ListParagraph"/>
        <w:numPr>
          <w:ilvl w:val="2"/>
          <w:numId w:val="21"/>
        </w:numPr>
        <w:snapToGrid w:val="0"/>
        <w:spacing w:after="0" w:line="240" w:lineRule="auto"/>
        <w:contextualSpacing w:val="0"/>
        <w:rPr>
          <w:rFonts w:cstheme="minorHAnsi"/>
          <w:sz w:val="20"/>
          <w:szCs w:val="20"/>
          <w:lang w:val="en-US"/>
        </w:rPr>
      </w:pPr>
      <w:r w:rsidRPr="00DD35C7">
        <w:rPr>
          <w:rFonts w:cstheme="minorHAnsi"/>
          <w:sz w:val="20"/>
          <w:szCs w:val="20"/>
          <w:lang w:val="en-US"/>
        </w:rPr>
        <w:t>Bureau of International Labor Affairs</w:t>
      </w:r>
      <w:r>
        <w:rPr>
          <w:rFonts w:cstheme="minorHAnsi"/>
          <w:sz w:val="20"/>
          <w:szCs w:val="20"/>
          <w:lang w:val="en-US"/>
        </w:rPr>
        <w:t xml:space="preserve">. </w:t>
      </w:r>
      <w:r w:rsidR="004B1617">
        <w:rPr>
          <w:rFonts w:cstheme="minorHAnsi"/>
          <w:sz w:val="20"/>
          <w:szCs w:val="20"/>
          <w:lang w:val="en-US"/>
        </w:rPr>
        <w:t xml:space="preserve">BOILA. </w:t>
      </w:r>
    </w:p>
    <w:p w14:paraId="515875CB" w14:textId="77777777" w:rsidR="00DD35C7" w:rsidRDefault="00B44FF7" w:rsidP="00425E17">
      <w:pPr>
        <w:pStyle w:val="ListParagraph"/>
        <w:snapToGrid w:val="0"/>
        <w:spacing w:after="0" w:line="240" w:lineRule="auto"/>
        <w:ind w:left="1344"/>
        <w:contextualSpacing w:val="0"/>
        <w:rPr>
          <w:rFonts w:cstheme="minorHAnsi"/>
          <w:sz w:val="20"/>
          <w:szCs w:val="20"/>
          <w:lang w:val="en-US"/>
        </w:rPr>
      </w:pPr>
      <w:r w:rsidRPr="00DD35C7">
        <w:rPr>
          <w:rFonts w:cstheme="minorHAnsi"/>
          <w:sz w:val="20"/>
          <w:szCs w:val="20"/>
          <w:lang w:val="en-US"/>
        </w:rPr>
        <w:t>Combatting Child Labor in the Democratic Republic of the Congo’s Cobalt Industry (COTECCO)</w:t>
      </w:r>
    </w:p>
    <w:p w14:paraId="49ABC037" w14:textId="77777777" w:rsidR="00DD35C7" w:rsidRDefault="00000000" w:rsidP="00750815">
      <w:pPr>
        <w:pStyle w:val="ListParagraph"/>
        <w:snapToGrid w:val="0"/>
        <w:spacing w:after="0" w:line="240" w:lineRule="auto"/>
        <w:ind w:left="1344"/>
        <w:contextualSpacing w:val="0"/>
        <w:rPr>
          <w:rFonts w:cstheme="minorHAnsi"/>
          <w:sz w:val="20"/>
          <w:szCs w:val="20"/>
          <w:lang w:val="en-US"/>
        </w:rPr>
      </w:pPr>
      <w:hyperlink r:id="rId30" w:history="1">
        <w:r w:rsidR="00B44FF7" w:rsidRPr="00B827E1">
          <w:rPr>
            <w:rStyle w:val="Hyperlink"/>
            <w:rFonts w:cstheme="minorHAnsi"/>
            <w:sz w:val="20"/>
            <w:szCs w:val="20"/>
            <w:lang w:val="en-US"/>
          </w:rPr>
          <w:t>https://www.dol.gov/agencies/ilab/combatting-child-labor-democratic-republic-congos-cobalt-industry-cotecco</w:t>
        </w:r>
      </w:hyperlink>
    </w:p>
    <w:p w14:paraId="5CF9E528" w14:textId="77777777" w:rsidR="00371A1B" w:rsidRPr="00371A1B" w:rsidRDefault="00371A1B" w:rsidP="00371A1B">
      <w:pPr>
        <w:snapToGrid w:val="0"/>
        <w:spacing w:after="0" w:line="240" w:lineRule="auto"/>
        <w:rPr>
          <w:rFonts w:cstheme="minorHAnsi"/>
          <w:sz w:val="20"/>
          <w:szCs w:val="20"/>
          <w:lang w:val="en-US"/>
        </w:rPr>
      </w:pPr>
    </w:p>
    <w:p w14:paraId="79D90DF0" w14:textId="77777777" w:rsidR="00F9582E" w:rsidRPr="00DD35C7" w:rsidRDefault="00B44FF7" w:rsidP="00750815">
      <w:pPr>
        <w:pStyle w:val="ListParagraph"/>
        <w:numPr>
          <w:ilvl w:val="2"/>
          <w:numId w:val="21"/>
        </w:numPr>
        <w:snapToGrid w:val="0"/>
        <w:spacing w:after="0" w:line="240" w:lineRule="auto"/>
        <w:contextualSpacing w:val="0"/>
        <w:rPr>
          <w:rFonts w:cstheme="minorHAnsi"/>
          <w:sz w:val="20"/>
          <w:szCs w:val="20"/>
          <w:lang w:val="en-US"/>
        </w:rPr>
      </w:pPr>
      <w:r w:rsidRPr="00DD35C7">
        <w:rPr>
          <w:rFonts w:cstheme="minorHAnsi"/>
          <w:sz w:val="20"/>
          <w:szCs w:val="20"/>
          <w:lang w:val="en-US"/>
        </w:rPr>
        <w:t>The iPhone 12 emits too much radiation, and Apple must take it off the market. French agency says.</w:t>
      </w:r>
    </w:p>
    <w:p w14:paraId="16F8AB4C" w14:textId="77777777" w:rsidR="00F9582E" w:rsidRDefault="00000000" w:rsidP="00750815">
      <w:pPr>
        <w:pStyle w:val="ListParagraph"/>
        <w:snapToGrid w:val="0"/>
        <w:spacing w:after="0" w:line="240" w:lineRule="auto"/>
        <w:ind w:left="1344"/>
        <w:contextualSpacing w:val="0"/>
        <w:rPr>
          <w:rFonts w:cstheme="minorHAnsi"/>
          <w:sz w:val="20"/>
          <w:szCs w:val="20"/>
          <w:lang w:val="en-US"/>
        </w:rPr>
      </w:pPr>
      <w:hyperlink r:id="rId31" w:history="1">
        <w:r w:rsidR="00B44FF7" w:rsidRPr="00B827E1">
          <w:rPr>
            <w:rStyle w:val="Hyperlink"/>
            <w:rFonts w:cstheme="minorHAnsi"/>
            <w:sz w:val="20"/>
            <w:szCs w:val="20"/>
            <w:lang w:val="en-US"/>
          </w:rPr>
          <w:t>https://apnews.com/article/france-apple-iphone-radiation-b51b82309100f959c83a2a19536dc934</w:t>
        </w:r>
      </w:hyperlink>
    </w:p>
    <w:p w14:paraId="5CD046DE" w14:textId="77777777" w:rsidR="00371A1B" w:rsidRPr="00371A1B" w:rsidRDefault="00371A1B" w:rsidP="00371A1B">
      <w:pPr>
        <w:snapToGrid w:val="0"/>
        <w:spacing w:after="0" w:line="240" w:lineRule="auto"/>
        <w:rPr>
          <w:rFonts w:cstheme="minorHAnsi"/>
          <w:sz w:val="20"/>
          <w:szCs w:val="20"/>
          <w:lang w:val="en-US"/>
        </w:rPr>
      </w:pPr>
    </w:p>
    <w:p w14:paraId="3D3B9EB2" w14:textId="77777777" w:rsidR="00F9582E" w:rsidRPr="00DD35C7" w:rsidRDefault="00B44FF7" w:rsidP="00750815">
      <w:pPr>
        <w:pStyle w:val="ListParagraph"/>
        <w:numPr>
          <w:ilvl w:val="2"/>
          <w:numId w:val="21"/>
        </w:numPr>
        <w:snapToGrid w:val="0"/>
        <w:spacing w:after="0" w:line="240" w:lineRule="auto"/>
        <w:contextualSpacing w:val="0"/>
        <w:rPr>
          <w:rFonts w:cstheme="minorHAnsi"/>
          <w:sz w:val="20"/>
          <w:szCs w:val="20"/>
          <w:lang w:val="en-US"/>
        </w:rPr>
      </w:pPr>
      <w:r w:rsidRPr="00DD35C7">
        <w:rPr>
          <w:rFonts w:cstheme="minorHAnsi"/>
          <w:sz w:val="20"/>
          <w:szCs w:val="20"/>
          <w:lang w:val="en-US"/>
        </w:rPr>
        <w:t>France bans iPhone 12 sales over radiation levels: Here is what you know. 14 Sep 2023. https://www.washingtonpost.com/wellness/2023/09/14/france-ban-iphone-12-radiation-levels/</w:t>
      </w:r>
    </w:p>
    <w:p w14:paraId="3343E9A8" w14:textId="77777777" w:rsidR="00F9582E" w:rsidRPr="00DD35C7" w:rsidRDefault="00B44FF7" w:rsidP="00750815">
      <w:pPr>
        <w:pStyle w:val="ListParagraph"/>
        <w:numPr>
          <w:ilvl w:val="2"/>
          <w:numId w:val="21"/>
        </w:numPr>
        <w:snapToGrid w:val="0"/>
        <w:spacing w:after="0" w:line="240" w:lineRule="auto"/>
        <w:contextualSpacing w:val="0"/>
        <w:rPr>
          <w:rFonts w:cstheme="minorHAnsi"/>
          <w:sz w:val="20"/>
          <w:szCs w:val="20"/>
          <w:lang w:val="en-US"/>
        </w:rPr>
      </w:pPr>
      <w:r w:rsidRPr="00DD35C7">
        <w:rPr>
          <w:rFonts w:cstheme="minorHAnsi"/>
          <w:sz w:val="20"/>
          <w:szCs w:val="20"/>
          <w:lang w:val="en-US"/>
        </w:rPr>
        <w:t>E.U. has forced Apple to switch to USB C in iPhone 15. Here is why the change in charging ports has global ramifications. 15 Sep 2023.</w:t>
      </w:r>
    </w:p>
    <w:p w14:paraId="4F67A773" w14:textId="77777777" w:rsidR="00F9582E" w:rsidRDefault="00000000" w:rsidP="00750815">
      <w:pPr>
        <w:pStyle w:val="ListParagraph"/>
        <w:snapToGrid w:val="0"/>
        <w:spacing w:after="0" w:line="240" w:lineRule="auto"/>
        <w:ind w:left="1344"/>
        <w:contextualSpacing w:val="0"/>
        <w:rPr>
          <w:rFonts w:cstheme="minorHAnsi"/>
          <w:sz w:val="20"/>
          <w:szCs w:val="20"/>
          <w:lang w:val="en-US"/>
        </w:rPr>
      </w:pPr>
      <w:hyperlink r:id="rId32" w:history="1">
        <w:r w:rsidR="00B44FF7" w:rsidRPr="00B827E1">
          <w:rPr>
            <w:rStyle w:val="Hyperlink"/>
            <w:rFonts w:cstheme="minorHAnsi"/>
            <w:sz w:val="20"/>
            <w:szCs w:val="20"/>
            <w:lang w:val="en-US"/>
          </w:rPr>
          <w:t>https://indianexpress.com/article/explained/explained-sci-tech/eu-apple-charger-new-iphone-15-8939493/</w:t>
        </w:r>
      </w:hyperlink>
    </w:p>
    <w:p w14:paraId="6444BA6A" w14:textId="77777777" w:rsidR="00F9582E" w:rsidRPr="00F9582E" w:rsidRDefault="00B44FF7" w:rsidP="00750815">
      <w:pPr>
        <w:pStyle w:val="ListParagraph"/>
        <w:numPr>
          <w:ilvl w:val="2"/>
          <w:numId w:val="21"/>
        </w:numPr>
        <w:snapToGrid w:val="0"/>
        <w:spacing w:after="0" w:line="240" w:lineRule="auto"/>
        <w:contextualSpacing w:val="0"/>
        <w:rPr>
          <w:rFonts w:cstheme="minorHAnsi"/>
          <w:sz w:val="20"/>
          <w:szCs w:val="20"/>
          <w:lang w:val="en-US"/>
        </w:rPr>
      </w:pPr>
      <w:r w:rsidRPr="00F9582E">
        <w:rPr>
          <w:rFonts w:cstheme="minorHAnsi"/>
          <w:sz w:val="20"/>
          <w:szCs w:val="20"/>
          <w:lang w:val="en-US"/>
        </w:rPr>
        <w:t>With Apple's iPhone 15, the E.U. wins the charger war.</w:t>
      </w:r>
      <w:r>
        <w:rPr>
          <w:rFonts w:cstheme="minorHAnsi"/>
          <w:sz w:val="20"/>
          <w:szCs w:val="20"/>
          <w:lang w:val="en-US"/>
        </w:rPr>
        <w:t xml:space="preserve"> 12 Sep 2023.</w:t>
      </w:r>
    </w:p>
    <w:p w14:paraId="3BB052FE" w14:textId="77777777" w:rsidR="00F9582E" w:rsidRDefault="00000000" w:rsidP="00750815">
      <w:pPr>
        <w:pStyle w:val="ListParagraph"/>
        <w:snapToGrid w:val="0"/>
        <w:spacing w:after="0" w:line="240" w:lineRule="auto"/>
        <w:ind w:left="1344"/>
        <w:contextualSpacing w:val="0"/>
        <w:rPr>
          <w:rFonts w:cstheme="minorHAnsi"/>
          <w:sz w:val="20"/>
          <w:szCs w:val="20"/>
          <w:lang w:val="en-US"/>
        </w:rPr>
      </w:pPr>
      <w:hyperlink r:id="rId33" w:history="1">
        <w:r w:rsidR="00B44FF7" w:rsidRPr="00B827E1">
          <w:rPr>
            <w:rStyle w:val="Hyperlink"/>
            <w:rFonts w:cstheme="minorHAnsi"/>
            <w:sz w:val="20"/>
            <w:szCs w:val="20"/>
            <w:lang w:val="en-US"/>
          </w:rPr>
          <w:t>https://www.politico.eu/article/apple-iphone-15-european-union-regulations-charger-usbc-lightning/</w:t>
        </w:r>
      </w:hyperlink>
    </w:p>
    <w:p w14:paraId="438E6AF9" w14:textId="77777777" w:rsidR="00F9582E" w:rsidRPr="00F9582E" w:rsidRDefault="00B44FF7" w:rsidP="00750815">
      <w:pPr>
        <w:pStyle w:val="ListParagraph"/>
        <w:numPr>
          <w:ilvl w:val="2"/>
          <w:numId w:val="21"/>
        </w:numPr>
        <w:snapToGrid w:val="0"/>
        <w:spacing w:after="0" w:line="240" w:lineRule="auto"/>
        <w:contextualSpacing w:val="0"/>
        <w:rPr>
          <w:rFonts w:cstheme="minorHAnsi"/>
          <w:sz w:val="20"/>
          <w:szCs w:val="20"/>
          <w:lang w:val="en-US"/>
        </w:rPr>
      </w:pPr>
      <w:r w:rsidRPr="00F9582E">
        <w:rPr>
          <w:rFonts w:cstheme="minorHAnsi"/>
          <w:sz w:val="20"/>
          <w:szCs w:val="20"/>
          <w:lang w:val="en-US"/>
        </w:rPr>
        <w:t>Apple to put USB C Connectors in iPhone to comply with E.U. Rules. 26 Oct 2022.</w:t>
      </w:r>
    </w:p>
    <w:p w14:paraId="49AAB7FC" w14:textId="77777777" w:rsidR="00170340" w:rsidRDefault="00000000" w:rsidP="00750815">
      <w:pPr>
        <w:pStyle w:val="ListParagraph"/>
        <w:snapToGrid w:val="0"/>
        <w:spacing w:after="0" w:line="240" w:lineRule="auto"/>
        <w:ind w:left="1344"/>
        <w:contextualSpacing w:val="0"/>
        <w:rPr>
          <w:rFonts w:cstheme="minorHAnsi"/>
          <w:sz w:val="20"/>
          <w:szCs w:val="20"/>
          <w:lang w:val="en-US"/>
        </w:rPr>
      </w:pPr>
      <w:hyperlink r:id="rId34" w:history="1">
        <w:r w:rsidR="00B44FF7" w:rsidRPr="00B827E1">
          <w:rPr>
            <w:rStyle w:val="Hyperlink"/>
            <w:rFonts w:cstheme="minorHAnsi"/>
            <w:sz w:val="20"/>
            <w:szCs w:val="20"/>
            <w:lang w:val="en-US"/>
          </w:rPr>
          <w:t>https://www.theguardian.com/technology/2022/oct/26/iphone-usb-c-lightning-connectors-apple-eu-rules</w:t>
        </w:r>
      </w:hyperlink>
    </w:p>
    <w:p w14:paraId="69A6777D" w14:textId="77777777" w:rsidR="000E033F" w:rsidRPr="000E033F" w:rsidRDefault="00B44FF7" w:rsidP="00750815">
      <w:pPr>
        <w:pStyle w:val="ListParagraph"/>
        <w:numPr>
          <w:ilvl w:val="2"/>
          <w:numId w:val="21"/>
        </w:numPr>
        <w:snapToGrid w:val="0"/>
        <w:spacing w:after="0" w:line="240" w:lineRule="auto"/>
        <w:contextualSpacing w:val="0"/>
        <w:rPr>
          <w:rFonts w:cstheme="minorHAnsi"/>
          <w:sz w:val="20"/>
          <w:szCs w:val="20"/>
          <w:lang w:val="en-US"/>
        </w:rPr>
      </w:pPr>
      <w:r w:rsidRPr="000E033F">
        <w:rPr>
          <w:rFonts w:cstheme="minorHAnsi"/>
          <w:sz w:val="20"/>
          <w:szCs w:val="20"/>
          <w:lang w:val="en-US"/>
        </w:rPr>
        <w:t>The Basel Committee - overview</w:t>
      </w:r>
    </w:p>
    <w:p w14:paraId="3242D8B8" w14:textId="77777777" w:rsidR="000E033F" w:rsidRPr="000E033F" w:rsidRDefault="00000000" w:rsidP="00750815">
      <w:pPr>
        <w:pStyle w:val="ListParagraph"/>
        <w:snapToGrid w:val="0"/>
        <w:spacing w:after="0" w:line="240" w:lineRule="auto"/>
        <w:ind w:left="1344"/>
        <w:contextualSpacing w:val="0"/>
        <w:rPr>
          <w:rFonts w:cstheme="minorHAnsi"/>
          <w:sz w:val="20"/>
          <w:szCs w:val="20"/>
          <w:lang w:val="en-US"/>
        </w:rPr>
      </w:pPr>
      <w:hyperlink r:id="rId35" w:anchor=":~:text=The%20Basel%20Committee%20on%20Banking,cooperation%20on%20banking%20supervisory%20matters" w:history="1">
        <w:r w:rsidR="00B44FF7" w:rsidRPr="00B827E1">
          <w:rPr>
            <w:rStyle w:val="Hyperlink"/>
            <w:rFonts w:cstheme="minorHAnsi"/>
            <w:sz w:val="20"/>
            <w:szCs w:val="20"/>
            <w:lang w:val="en-US"/>
          </w:rPr>
          <w:t>https://www.bis.org/bcbs/#:~:text=The%20Basel%20Committee%20on%20Banking,cooperation%20on%20banking%20supervisory%20matters</w:t>
        </w:r>
      </w:hyperlink>
      <w:r w:rsidR="00B44FF7" w:rsidRPr="000E033F">
        <w:rPr>
          <w:rFonts w:cstheme="minorHAnsi"/>
          <w:sz w:val="20"/>
          <w:szCs w:val="20"/>
          <w:lang w:val="en-US"/>
        </w:rPr>
        <w:t>.</w:t>
      </w:r>
    </w:p>
    <w:p w14:paraId="4980CA4F" w14:textId="77777777" w:rsidR="000E033F" w:rsidRDefault="000E033F" w:rsidP="00750815">
      <w:pPr>
        <w:pStyle w:val="ListParagraph"/>
        <w:snapToGrid w:val="0"/>
        <w:spacing w:after="0" w:line="240" w:lineRule="auto"/>
        <w:ind w:left="1344"/>
        <w:contextualSpacing w:val="0"/>
        <w:rPr>
          <w:rFonts w:cstheme="minorHAnsi"/>
          <w:b/>
          <w:bCs/>
          <w:sz w:val="20"/>
          <w:szCs w:val="20"/>
          <w:lang w:val="en-US"/>
        </w:rPr>
      </w:pPr>
    </w:p>
    <w:p w14:paraId="63C3FA48" w14:textId="77777777" w:rsidR="005606AE" w:rsidRDefault="005606AE" w:rsidP="00750815">
      <w:pPr>
        <w:pStyle w:val="ListParagraph"/>
        <w:snapToGrid w:val="0"/>
        <w:spacing w:after="0" w:line="240" w:lineRule="auto"/>
        <w:ind w:left="1344"/>
        <w:contextualSpacing w:val="0"/>
        <w:rPr>
          <w:rFonts w:cstheme="minorHAnsi"/>
          <w:b/>
          <w:bCs/>
          <w:sz w:val="20"/>
          <w:szCs w:val="20"/>
          <w:lang w:val="en-US"/>
        </w:rPr>
      </w:pPr>
    </w:p>
    <w:p w14:paraId="7F94C77F" w14:textId="77777777" w:rsidR="005606AE" w:rsidRDefault="005606AE" w:rsidP="00750815">
      <w:pPr>
        <w:pStyle w:val="ListParagraph"/>
        <w:snapToGrid w:val="0"/>
        <w:spacing w:after="0" w:line="240" w:lineRule="auto"/>
        <w:ind w:left="1344"/>
        <w:contextualSpacing w:val="0"/>
        <w:rPr>
          <w:rFonts w:cstheme="minorHAnsi"/>
          <w:b/>
          <w:bCs/>
          <w:sz w:val="20"/>
          <w:szCs w:val="20"/>
          <w:lang w:val="en-US"/>
        </w:rPr>
      </w:pPr>
    </w:p>
    <w:p w14:paraId="2FB1247F" w14:textId="77777777" w:rsidR="005606AE" w:rsidRDefault="005606AE" w:rsidP="00750815">
      <w:pPr>
        <w:pStyle w:val="ListParagraph"/>
        <w:snapToGrid w:val="0"/>
        <w:spacing w:after="0" w:line="240" w:lineRule="auto"/>
        <w:ind w:left="1344"/>
        <w:contextualSpacing w:val="0"/>
        <w:rPr>
          <w:rFonts w:cstheme="minorHAnsi"/>
          <w:b/>
          <w:bCs/>
          <w:sz w:val="20"/>
          <w:szCs w:val="20"/>
          <w:lang w:val="en-US"/>
        </w:rPr>
      </w:pPr>
    </w:p>
    <w:p w14:paraId="442188A9" w14:textId="77777777" w:rsidR="005606AE" w:rsidRDefault="005606AE" w:rsidP="00750815">
      <w:pPr>
        <w:pStyle w:val="ListParagraph"/>
        <w:snapToGrid w:val="0"/>
        <w:spacing w:after="0" w:line="240" w:lineRule="auto"/>
        <w:ind w:left="1344"/>
        <w:contextualSpacing w:val="0"/>
        <w:rPr>
          <w:rFonts w:cstheme="minorHAnsi"/>
          <w:b/>
          <w:bCs/>
          <w:sz w:val="20"/>
          <w:szCs w:val="20"/>
          <w:lang w:val="en-US"/>
        </w:rPr>
      </w:pPr>
    </w:p>
    <w:p w14:paraId="59A8D89D" w14:textId="77777777" w:rsidR="005606AE" w:rsidRDefault="005606AE" w:rsidP="00750815">
      <w:pPr>
        <w:pStyle w:val="ListParagraph"/>
        <w:snapToGrid w:val="0"/>
        <w:spacing w:after="0" w:line="240" w:lineRule="auto"/>
        <w:ind w:left="1344"/>
        <w:contextualSpacing w:val="0"/>
        <w:rPr>
          <w:rFonts w:cstheme="minorHAnsi"/>
          <w:b/>
          <w:bCs/>
          <w:sz w:val="20"/>
          <w:szCs w:val="20"/>
          <w:lang w:val="en-US"/>
        </w:rPr>
      </w:pPr>
    </w:p>
    <w:p w14:paraId="17074900" w14:textId="77777777" w:rsidR="005606AE" w:rsidRDefault="005606AE" w:rsidP="00750815">
      <w:pPr>
        <w:pStyle w:val="ListParagraph"/>
        <w:snapToGrid w:val="0"/>
        <w:spacing w:after="0" w:line="240" w:lineRule="auto"/>
        <w:ind w:left="1344"/>
        <w:contextualSpacing w:val="0"/>
        <w:rPr>
          <w:rFonts w:cstheme="minorHAnsi"/>
          <w:b/>
          <w:bCs/>
          <w:sz w:val="20"/>
          <w:szCs w:val="20"/>
          <w:lang w:val="en-US"/>
        </w:rPr>
      </w:pPr>
    </w:p>
    <w:p w14:paraId="082A9328" w14:textId="77777777" w:rsidR="009E7FD3" w:rsidRDefault="009E7FD3" w:rsidP="00750815">
      <w:pPr>
        <w:pStyle w:val="ListParagraph"/>
        <w:snapToGrid w:val="0"/>
        <w:spacing w:after="0" w:line="240" w:lineRule="auto"/>
        <w:ind w:left="1344"/>
        <w:contextualSpacing w:val="0"/>
        <w:rPr>
          <w:rFonts w:cstheme="minorHAnsi"/>
          <w:b/>
          <w:bCs/>
          <w:sz w:val="20"/>
          <w:szCs w:val="20"/>
          <w:lang w:val="en-US"/>
        </w:rPr>
      </w:pPr>
    </w:p>
    <w:p w14:paraId="2D165D18" w14:textId="77777777" w:rsidR="00FB57E8" w:rsidRDefault="00FB57E8" w:rsidP="00750815">
      <w:pPr>
        <w:pStyle w:val="ListParagraph"/>
        <w:snapToGrid w:val="0"/>
        <w:spacing w:after="0" w:line="240" w:lineRule="auto"/>
        <w:ind w:left="1344"/>
        <w:contextualSpacing w:val="0"/>
        <w:rPr>
          <w:rFonts w:cstheme="minorHAnsi"/>
          <w:b/>
          <w:bCs/>
          <w:sz w:val="20"/>
          <w:szCs w:val="20"/>
          <w:lang w:val="en-US"/>
        </w:rPr>
      </w:pPr>
    </w:p>
    <w:p w14:paraId="28D8E152" w14:textId="77777777" w:rsidR="00FB57E8" w:rsidRDefault="00FB57E8" w:rsidP="00750815">
      <w:pPr>
        <w:pStyle w:val="ListParagraph"/>
        <w:snapToGrid w:val="0"/>
        <w:spacing w:after="0" w:line="240" w:lineRule="auto"/>
        <w:ind w:left="1344"/>
        <w:contextualSpacing w:val="0"/>
        <w:rPr>
          <w:rFonts w:cstheme="minorHAnsi"/>
          <w:b/>
          <w:bCs/>
          <w:sz w:val="20"/>
          <w:szCs w:val="20"/>
          <w:lang w:val="en-US"/>
        </w:rPr>
      </w:pPr>
    </w:p>
    <w:p w14:paraId="404FB672" w14:textId="77777777" w:rsidR="005606AE" w:rsidRDefault="005606AE" w:rsidP="00750815">
      <w:pPr>
        <w:pStyle w:val="ListParagraph"/>
        <w:snapToGrid w:val="0"/>
        <w:spacing w:after="0" w:line="240" w:lineRule="auto"/>
        <w:ind w:left="1344"/>
        <w:contextualSpacing w:val="0"/>
        <w:rPr>
          <w:rFonts w:cstheme="minorHAnsi"/>
          <w:b/>
          <w:bCs/>
          <w:sz w:val="20"/>
          <w:szCs w:val="20"/>
          <w:lang w:val="en-US"/>
        </w:rPr>
      </w:pPr>
    </w:p>
    <w:p w14:paraId="1D9CB3C4" w14:textId="77777777" w:rsidR="0056552D" w:rsidRDefault="00B44FF7" w:rsidP="00371A1B">
      <w:pPr>
        <w:pStyle w:val="ListParagraph"/>
        <w:numPr>
          <w:ilvl w:val="1"/>
          <w:numId w:val="21"/>
        </w:numPr>
        <w:snapToGrid w:val="0"/>
        <w:spacing w:after="0" w:line="240" w:lineRule="auto"/>
        <w:contextualSpacing w:val="0"/>
        <w:rPr>
          <w:rFonts w:cstheme="minorHAnsi"/>
          <w:b/>
          <w:bCs/>
          <w:sz w:val="20"/>
          <w:szCs w:val="20"/>
          <w:lang w:val="en-US"/>
        </w:rPr>
      </w:pPr>
      <w:r>
        <w:rPr>
          <w:rFonts w:cstheme="minorHAnsi"/>
          <w:b/>
          <w:bCs/>
          <w:sz w:val="20"/>
          <w:szCs w:val="20"/>
          <w:lang w:val="en-US"/>
        </w:rPr>
        <w:t xml:space="preserve">Student Yhasreen for </w:t>
      </w:r>
      <w:r w:rsidRPr="00AF601C">
        <w:rPr>
          <w:rFonts w:cstheme="minorHAnsi"/>
          <w:b/>
          <w:bCs/>
          <w:sz w:val="20"/>
          <w:szCs w:val="20"/>
          <w:lang w:val="en-US"/>
        </w:rPr>
        <w:t>Data</w:t>
      </w:r>
      <w:r w:rsidR="00F25FB2">
        <w:rPr>
          <w:rFonts w:cstheme="minorHAnsi"/>
          <w:b/>
          <w:bCs/>
          <w:sz w:val="20"/>
          <w:szCs w:val="20"/>
          <w:lang w:val="en-US"/>
        </w:rPr>
        <w:t xml:space="preserve"> Characteristics/</w:t>
      </w:r>
      <w:r w:rsidR="00012C02">
        <w:rPr>
          <w:rFonts w:cstheme="minorHAnsi"/>
          <w:b/>
          <w:bCs/>
          <w:sz w:val="20"/>
          <w:szCs w:val="20"/>
          <w:lang w:val="en-US"/>
        </w:rPr>
        <w:t xml:space="preserve"> Collection</w:t>
      </w:r>
      <w:r w:rsidRPr="00AF601C">
        <w:rPr>
          <w:rFonts w:cstheme="minorHAnsi"/>
          <w:b/>
          <w:bCs/>
          <w:sz w:val="20"/>
          <w:szCs w:val="20"/>
          <w:lang w:val="en-US"/>
        </w:rPr>
        <w:t xml:space="preserve"> Challenges</w:t>
      </w:r>
      <w:r>
        <w:rPr>
          <w:rFonts w:cstheme="minorHAnsi"/>
          <w:b/>
          <w:bCs/>
          <w:sz w:val="20"/>
          <w:szCs w:val="20"/>
          <w:lang w:val="en-US"/>
        </w:rPr>
        <w:t xml:space="preserve"> / Insights - Equity</w:t>
      </w:r>
      <w:r w:rsidRPr="00AF601C">
        <w:rPr>
          <w:rFonts w:cstheme="minorHAnsi"/>
          <w:b/>
          <w:bCs/>
          <w:sz w:val="20"/>
          <w:szCs w:val="20"/>
          <w:lang w:val="en-US"/>
        </w:rPr>
        <w:t>:</w:t>
      </w:r>
    </w:p>
    <w:p w14:paraId="1FA923B9" w14:textId="77777777" w:rsidR="00425E17" w:rsidRDefault="00B44FF7" w:rsidP="00750815">
      <w:pPr>
        <w:pStyle w:val="ListParagraph"/>
        <w:numPr>
          <w:ilvl w:val="2"/>
          <w:numId w:val="21"/>
        </w:numPr>
        <w:snapToGrid w:val="0"/>
        <w:spacing w:after="0" w:line="240" w:lineRule="auto"/>
        <w:contextualSpacing w:val="0"/>
        <w:rPr>
          <w:rFonts w:cstheme="minorHAnsi"/>
          <w:sz w:val="20"/>
          <w:szCs w:val="20"/>
          <w:lang w:val="en-US"/>
        </w:rPr>
      </w:pPr>
      <w:r w:rsidRPr="00425E17">
        <w:rPr>
          <w:rFonts w:cstheme="minorHAnsi"/>
          <w:sz w:val="20"/>
          <w:szCs w:val="20"/>
          <w:lang w:val="en-US"/>
        </w:rPr>
        <w:t>Correlation and causation</w:t>
      </w:r>
    </w:p>
    <w:p w14:paraId="36CC288E" w14:textId="77777777" w:rsidR="00170340" w:rsidRPr="00425E17" w:rsidRDefault="00000000" w:rsidP="00425E17">
      <w:pPr>
        <w:pStyle w:val="ListParagraph"/>
        <w:snapToGrid w:val="0"/>
        <w:spacing w:after="0" w:line="240" w:lineRule="auto"/>
        <w:ind w:left="1344"/>
        <w:contextualSpacing w:val="0"/>
        <w:rPr>
          <w:rFonts w:cstheme="minorHAnsi"/>
          <w:sz w:val="20"/>
          <w:szCs w:val="20"/>
          <w:lang w:val="en-US"/>
        </w:rPr>
      </w:pPr>
      <w:hyperlink r:id="rId36" w:anchor=":~:text=A%20correlation%20between%20variables%2C%20however,relationship%20between%20the%20two%20events" w:history="1">
        <w:r w:rsidR="00B44FF7" w:rsidRPr="00B827E1">
          <w:rPr>
            <w:rStyle w:val="Hyperlink"/>
            <w:rFonts w:cstheme="minorHAnsi"/>
            <w:sz w:val="20"/>
            <w:szCs w:val="20"/>
            <w:lang w:val="en-US"/>
          </w:rPr>
          <w:t>https://www.abs.gov.au/statistics/understanding-statistics/statistical-terms-and-concepts/correlation-and-causation#:~:text=A%20correlation%20between%20variables%2C%20however,relationship%20between%20the%20two%20events</w:t>
        </w:r>
      </w:hyperlink>
      <w:r w:rsidR="00B44FF7" w:rsidRPr="00425E17">
        <w:rPr>
          <w:rFonts w:cstheme="minorHAnsi"/>
          <w:sz w:val="20"/>
          <w:szCs w:val="20"/>
          <w:lang w:val="en-US"/>
        </w:rPr>
        <w:t>.</w:t>
      </w:r>
    </w:p>
    <w:p w14:paraId="513C99D7" w14:textId="77777777" w:rsidR="00425E17" w:rsidRPr="00425E17" w:rsidRDefault="00B44FF7" w:rsidP="00750815">
      <w:pPr>
        <w:pStyle w:val="ListParagraph"/>
        <w:numPr>
          <w:ilvl w:val="2"/>
          <w:numId w:val="21"/>
        </w:numPr>
        <w:snapToGrid w:val="0"/>
        <w:spacing w:after="0" w:line="240" w:lineRule="auto"/>
        <w:contextualSpacing w:val="0"/>
        <w:rPr>
          <w:rFonts w:cstheme="minorHAnsi"/>
          <w:sz w:val="20"/>
          <w:szCs w:val="20"/>
          <w:lang w:val="en-US"/>
        </w:rPr>
      </w:pPr>
      <w:r w:rsidRPr="00425E17">
        <w:rPr>
          <w:rFonts w:cstheme="minorHAnsi"/>
          <w:sz w:val="20"/>
          <w:szCs w:val="20"/>
          <w:lang w:val="en-US"/>
        </w:rPr>
        <w:t>Understanding the difference between correlation and causation</w:t>
      </w:r>
    </w:p>
    <w:p w14:paraId="1CE6A72C" w14:textId="77777777" w:rsidR="00425E17" w:rsidRPr="00425E17" w:rsidRDefault="00B44FF7" w:rsidP="00425E17">
      <w:pPr>
        <w:pStyle w:val="ListParagraph"/>
        <w:snapToGrid w:val="0"/>
        <w:spacing w:after="0" w:line="240" w:lineRule="auto"/>
        <w:ind w:left="1344"/>
        <w:contextualSpacing w:val="0"/>
        <w:rPr>
          <w:rFonts w:cstheme="minorHAnsi"/>
          <w:sz w:val="20"/>
          <w:szCs w:val="20"/>
          <w:lang w:val="en-US"/>
        </w:rPr>
      </w:pPr>
      <w:r w:rsidRPr="00425E17">
        <w:rPr>
          <w:rFonts w:cstheme="minorHAnsi"/>
          <w:sz w:val="20"/>
          <w:szCs w:val="20"/>
          <w:lang w:val="en-US"/>
        </w:rPr>
        <w:t>https://dovetail.com/research/correlation-vs-causation/</w:t>
      </w:r>
    </w:p>
    <w:p w14:paraId="57A80332" w14:textId="77777777" w:rsidR="00750815" w:rsidRDefault="00750815" w:rsidP="00750815">
      <w:pPr>
        <w:pStyle w:val="ListParagraph"/>
        <w:snapToGrid w:val="0"/>
        <w:spacing w:after="0" w:line="240" w:lineRule="auto"/>
        <w:ind w:left="1344"/>
        <w:contextualSpacing w:val="0"/>
        <w:rPr>
          <w:rFonts w:cstheme="minorHAnsi"/>
          <w:sz w:val="20"/>
          <w:szCs w:val="20"/>
          <w:lang w:val="en-US"/>
        </w:rPr>
      </w:pPr>
    </w:p>
    <w:p w14:paraId="638F888D" w14:textId="77777777" w:rsidR="00C078AF" w:rsidRPr="00170340" w:rsidRDefault="00B44FF7" w:rsidP="00371A1B">
      <w:pPr>
        <w:pStyle w:val="ListParagraph"/>
        <w:numPr>
          <w:ilvl w:val="1"/>
          <w:numId w:val="21"/>
        </w:numPr>
        <w:snapToGrid w:val="0"/>
        <w:spacing w:after="0" w:line="240" w:lineRule="auto"/>
        <w:contextualSpacing w:val="0"/>
        <w:rPr>
          <w:rFonts w:cstheme="minorHAnsi"/>
          <w:sz w:val="20"/>
          <w:szCs w:val="20"/>
          <w:lang w:val="en-US"/>
        </w:rPr>
      </w:pPr>
      <w:r>
        <w:rPr>
          <w:rFonts w:cstheme="minorHAnsi"/>
          <w:b/>
          <w:bCs/>
          <w:sz w:val="20"/>
          <w:szCs w:val="20"/>
          <w:lang w:val="en-US"/>
        </w:rPr>
        <w:t xml:space="preserve">Student Yhasreen for </w:t>
      </w:r>
      <w:r w:rsidRPr="00AF601C">
        <w:rPr>
          <w:rFonts w:cstheme="minorHAnsi"/>
          <w:b/>
          <w:bCs/>
          <w:sz w:val="20"/>
          <w:szCs w:val="20"/>
          <w:lang w:val="en-US"/>
        </w:rPr>
        <w:t xml:space="preserve">Data </w:t>
      </w:r>
      <w:r w:rsidR="00F25FB2">
        <w:rPr>
          <w:rFonts w:cstheme="minorHAnsi"/>
          <w:b/>
          <w:bCs/>
          <w:sz w:val="20"/>
          <w:szCs w:val="20"/>
          <w:lang w:val="en-US"/>
        </w:rPr>
        <w:t xml:space="preserve">Characteristics/ </w:t>
      </w:r>
      <w:r w:rsidR="00012C02">
        <w:rPr>
          <w:rFonts w:cstheme="minorHAnsi"/>
          <w:b/>
          <w:bCs/>
          <w:sz w:val="20"/>
          <w:szCs w:val="20"/>
          <w:lang w:val="en-US"/>
        </w:rPr>
        <w:t xml:space="preserve">Collection </w:t>
      </w:r>
      <w:r w:rsidRPr="00AF601C">
        <w:rPr>
          <w:rFonts w:cstheme="minorHAnsi"/>
          <w:b/>
          <w:bCs/>
          <w:sz w:val="20"/>
          <w:szCs w:val="20"/>
          <w:lang w:val="en-US"/>
        </w:rPr>
        <w:t>Challenges</w:t>
      </w:r>
      <w:r>
        <w:rPr>
          <w:rFonts w:cstheme="minorHAnsi"/>
          <w:b/>
          <w:bCs/>
          <w:sz w:val="20"/>
          <w:szCs w:val="20"/>
          <w:lang w:val="en-US"/>
        </w:rPr>
        <w:t>/Insights - Bond</w:t>
      </w:r>
      <w:r w:rsidRPr="00AF601C">
        <w:rPr>
          <w:rFonts w:cstheme="minorHAnsi"/>
          <w:b/>
          <w:bCs/>
          <w:sz w:val="20"/>
          <w:szCs w:val="20"/>
          <w:lang w:val="en-US"/>
        </w:rPr>
        <w:t>:</w:t>
      </w:r>
    </w:p>
    <w:p w14:paraId="14767EF0" w14:textId="77777777" w:rsidR="00F36A68" w:rsidRDefault="00B44FF7" w:rsidP="00750815">
      <w:pPr>
        <w:pStyle w:val="ListParagraph"/>
        <w:numPr>
          <w:ilvl w:val="2"/>
          <w:numId w:val="21"/>
        </w:numPr>
        <w:snapToGrid w:val="0"/>
        <w:spacing w:after="0" w:line="240" w:lineRule="auto"/>
        <w:contextualSpacing w:val="0"/>
        <w:rPr>
          <w:rFonts w:cstheme="minorHAnsi"/>
          <w:sz w:val="20"/>
          <w:szCs w:val="20"/>
          <w:lang w:val="en-US"/>
        </w:rPr>
      </w:pPr>
      <w:r w:rsidRPr="0024775F">
        <w:rPr>
          <w:rFonts w:cstheme="minorHAnsi"/>
          <w:sz w:val="20"/>
          <w:szCs w:val="20"/>
          <w:lang w:val="en-US"/>
        </w:rPr>
        <w:t>Lies, Damn Lies, and Misleading Defense Statistics</w:t>
      </w:r>
    </w:p>
    <w:p w14:paraId="20F07E61" w14:textId="77777777" w:rsidR="00F36A68" w:rsidRDefault="00000000" w:rsidP="00750815">
      <w:pPr>
        <w:pStyle w:val="ListParagraph"/>
        <w:snapToGrid w:val="0"/>
        <w:spacing w:after="0" w:line="240" w:lineRule="auto"/>
        <w:ind w:left="1344"/>
        <w:contextualSpacing w:val="0"/>
        <w:rPr>
          <w:rFonts w:cstheme="minorHAnsi"/>
          <w:sz w:val="20"/>
          <w:szCs w:val="20"/>
          <w:lang w:val="en-US"/>
        </w:rPr>
      </w:pPr>
      <w:hyperlink r:id="rId37" w:history="1">
        <w:r w:rsidR="00B44FF7" w:rsidRPr="00B827E1">
          <w:rPr>
            <w:rStyle w:val="Hyperlink"/>
            <w:rFonts w:cstheme="minorHAnsi"/>
            <w:sz w:val="20"/>
            <w:szCs w:val="20"/>
            <w:lang w:val="en-US"/>
          </w:rPr>
          <w:t>https://www.forbes.com/sites/williamhartung/2021/05/12/lies-damn-lies-and-misleading-defense-statistics/?sh=70dec2677d11</w:t>
        </w:r>
      </w:hyperlink>
    </w:p>
    <w:p w14:paraId="6AF63657" w14:textId="77777777" w:rsidR="00FD29C0" w:rsidRDefault="00B44FF7" w:rsidP="00750815">
      <w:pPr>
        <w:pStyle w:val="ListParagraph"/>
        <w:numPr>
          <w:ilvl w:val="2"/>
          <w:numId w:val="21"/>
        </w:numPr>
        <w:snapToGrid w:val="0"/>
        <w:spacing w:after="0" w:line="240" w:lineRule="auto"/>
        <w:contextualSpacing w:val="0"/>
        <w:rPr>
          <w:rFonts w:cstheme="minorHAnsi"/>
          <w:sz w:val="20"/>
          <w:szCs w:val="20"/>
          <w:lang w:val="en-US"/>
        </w:rPr>
      </w:pPr>
      <w:r w:rsidRPr="00FD29C0">
        <w:rPr>
          <w:rFonts w:cstheme="minorHAnsi"/>
          <w:sz w:val="20"/>
          <w:szCs w:val="20"/>
          <w:lang w:val="en-US"/>
        </w:rPr>
        <w:t>Do not Be Fooled by Biden's Budget: He is Cutting Military Spending as Our Needs Grow</w:t>
      </w:r>
    </w:p>
    <w:p w14:paraId="028F9408" w14:textId="77777777" w:rsidR="00FD29C0" w:rsidRDefault="00000000" w:rsidP="00FD29C0">
      <w:pPr>
        <w:pStyle w:val="ListParagraph"/>
        <w:snapToGrid w:val="0"/>
        <w:spacing w:after="0" w:line="240" w:lineRule="auto"/>
        <w:ind w:left="1344"/>
        <w:contextualSpacing w:val="0"/>
        <w:rPr>
          <w:rFonts w:cstheme="minorHAnsi"/>
          <w:sz w:val="20"/>
          <w:szCs w:val="20"/>
          <w:lang w:val="en-US"/>
        </w:rPr>
      </w:pPr>
      <w:hyperlink r:id="rId38" w:history="1">
        <w:r w:rsidR="00B44FF7" w:rsidRPr="00B827E1">
          <w:rPr>
            <w:rStyle w:val="Hyperlink"/>
            <w:rFonts w:cstheme="minorHAnsi"/>
            <w:sz w:val="20"/>
            <w:szCs w:val="20"/>
            <w:lang w:val="en-US"/>
          </w:rPr>
          <w:t>https://www.aei.org/op-eds/dont-be-fooled-by-bidens-budget-hes-cutting-military-spending-as-our-needs-grow/</w:t>
        </w:r>
      </w:hyperlink>
    </w:p>
    <w:p w14:paraId="6D59CE23" w14:textId="77777777" w:rsidR="00FD29C0" w:rsidRDefault="00B44FF7" w:rsidP="00750815">
      <w:pPr>
        <w:pStyle w:val="ListParagraph"/>
        <w:numPr>
          <w:ilvl w:val="2"/>
          <w:numId w:val="21"/>
        </w:numPr>
        <w:snapToGrid w:val="0"/>
        <w:spacing w:after="0" w:line="240" w:lineRule="auto"/>
        <w:contextualSpacing w:val="0"/>
        <w:rPr>
          <w:rFonts w:cstheme="minorHAnsi"/>
          <w:sz w:val="20"/>
          <w:szCs w:val="20"/>
          <w:lang w:val="en-US"/>
        </w:rPr>
      </w:pPr>
      <w:r w:rsidRPr="00FD29C0">
        <w:rPr>
          <w:rFonts w:cstheme="minorHAnsi"/>
          <w:sz w:val="20"/>
          <w:szCs w:val="20"/>
          <w:lang w:val="en-US"/>
        </w:rPr>
        <w:t>Biden’s Defense Budget Draws GOP Criticism, Sets Up Spending Clash</w:t>
      </w:r>
    </w:p>
    <w:p w14:paraId="29460602" w14:textId="77777777" w:rsidR="00FD29C0" w:rsidRDefault="00000000" w:rsidP="00FD29C0">
      <w:pPr>
        <w:pStyle w:val="ListParagraph"/>
        <w:snapToGrid w:val="0"/>
        <w:spacing w:after="0" w:line="240" w:lineRule="auto"/>
        <w:ind w:left="1344"/>
        <w:contextualSpacing w:val="0"/>
        <w:rPr>
          <w:rFonts w:cstheme="minorHAnsi"/>
          <w:sz w:val="20"/>
          <w:szCs w:val="20"/>
          <w:lang w:val="en-US"/>
        </w:rPr>
      </w:pPr>
      <w:hyperlink r:id="rId39" w:history="1">
        <w:r w:rsidR="00B44FF7" w:rsidRPr="00B827E1">
          <w:rPr>
            <w:rStyle w:val="Hyperlink"/>
            <w:rFonts w:cstheme="minorHAnsi"/>
            <w:sz w:val="20"/>
            <w:szCs w:val="20"/>
            <w:lang w:val="en-US"/>
          </w:rPr>
          <w:t>https://www.wsj.com/articles/bidens-defense-budget-draws-gop-criticism-sets-up-spending-clash-55df9493</w:t>
        </w:r>
      </w:hyperlink>
    </w:p>
    <w:p w14:paraId="74E52824" w14:textId="77777777" w:rsidR="00F36A68" w:rsidRDefault="00B44FF7" w:rsidP="00750815">
      <w:pPr>
        <w:pStyle w:val="ListParagraph"/>
        <w:numPr>
          <w:ilvl w:val="2"/>
          <w:numId w:val="21"/>
        </w:numPr>
        <w:snapToGrid w:val="0"/>
        <w:spacing w:after="0" w:line="240" w:lineRule="auto"/>
        <w:contextualSpacing w:val="0"/>
        <w:rPr>
          <w:rFonts w:cstheme="minorHAnsi"/>
          <w:sz w:val="20"/>
          <w:szCs w:val="20"/>
          <w:lang w:val="en-US"/>
        </w:rPr>
      </w:pPr>
      <w:r w:rsidRPr="00302C28">
        <w:rPr>
          <w:rFonts w:cstheme="minorHAnsi"/>
          <w:sz w:val="20"/>
          <w:szCs w:val="20"/>
          <w:lang w:val="en-US"/>
        </w:rPr>
        <w:t>The Pentagon does not need $886bn.</w:t>
      </w:r>
    </w:p>
    <w:p w14:paraId="1641E3FE" w14:textId="77777777" w:rsidR="00F36A68" w:rsidRDefault="00000000" w:rsidP="00750815">
      <w:pPr>
        <w:pStyle w:val="ListParagraph"/>
        <w:snapToGrid w:val="0"/>
        <w:spacing w:after="0" w:line="240" w:lineRule="auto"/>
        <w:ind w:left="1344"/>
        <w:contextualSpacing w:val="0"/>
        <w:rPr>
          <w:rFonts w:cstheme="minorHAnsi"/>
          <w:sz w:val="20"/>
          <w:szCs w:val="20"/>
          <w:lang w:val="en-US"/>
        </w:rPr>
      </w:pPr>
      <w:hyperlink r:id="rId40" w:history="1">
        <w:r w:rsidR="00B44FF7" w:rsidRPr="00B827E1">
          <w:rPr>
            <w:rStyle w:val="Hyperlink"/>
            <w:rFonts w:cstheme="minorHAnsi"/>
            <w:sz w:val="20"/>
            <w:szCs w:val="20"/>
            <w:lang w:val="en-US"/>
          </w:rPr>
          <w:t>https://www.theguardian.com/commentisfree/2023/jul/24/the-pentagon-doesnt-need-886bn-i-oppose-this-bloated-defense-budget</w:t>
        </w:r>
      </w:hyperlink>
    </w:p>
    <w:p w14:paraId="026597D6" w14:textId="77777777" w:rsidR="00462ED1" w:rsidRDefault="00B44FF7" w:rsidP="00750815">
      <w:pPr>
        <w:pStyle w:val="ListParagraph"/>
        <w:numPr>
          <w:ilvl w:val="2"/>
          <w:numId w:val="21"/>
        </w:numPr>
        <w:snapToGrid w:val="0"/>
        <w:spacing w:after="0" w:line="240" w:lineRule="auto"/>
        <w:contextualSpacing w:val="0"/>
        <w:rPr>
          <w:rFonts w:cstheme="minorHAnsi"/>
          <w:sz w:val="20"/>
          <w:szCs w:val="20"/>
          <w:lang w:val="en-US"/>
        </w:rPr>
      </w:pPr>
      <w:r w:rsidRPr="00462ED1">
        <w:rPr>
          <w:rFonts w:cstheme="minorHAnsi"/>
          <w:sz w:val="20"/>
          <w:szCs w:val="20"/>
          <w:lang w:val="en-US"/>
        </w:rPr>
        <w:t>Fitch Downgrades the United States' Long-Term Ratings to 'AA+' from 'AAA'; Outlook Stable</w:t>
      </w:r>
    </w:p>
    <w:p w14:paraId="0E7EAEE8" w14:textId="77777777" w:rsidR="00462ED1" w:rsidRDefault="00000000" w:rsidP="00462ED1">
      <w:pPr>
        <w:pStyle w:val="ListParagraph"/>
        <w:snapToGrid w:val="0"/>
        <w:spacing w:after="0" w:line="240" w:lineRule="auto"/>
        <w:ind w:left="1344"/>
        <w:contextualSpacing w:val="0"/>
        <w:rPr>
          <w:rFonts w:cstheme="minorHAnsi"/>
          <w:sz w:val="20"/>
          <w:szCs w:val="20"/>
          <w:lang w:val="en-US"/>
        </w:rPr>
      </w:pPr>
      <w:hyperlink r:id="rId41" w:history="1">
        <w:r w:rsidR="00B44FF7" w:rsidRPr="00B827E1">
          <w:rPr>
            <w:rStyle w:val="Hyperlink"/>
            <w:rFonts w:cstheme="minorHAnsi"/>
            <w:sz w:val="20"/>
            <w:szCs w:val="20"/>
            <w:lang w:val="en-US"/>
          </w:rPr>
          <w:t>https://www.fitchratings.com/research/sovereigns/fitch-downgrades-united-states-long-term-ratings-to-aa-from-aaa-outlook-stable-01-08-2023</w:t>
        </w:r>
      </w:hyperlink>
    </w:p>
    <w:p w14:paraId="433ADA6A" w14:textId="77777777" w:rsidR="00652C89" w:rsidRDefault="00B44FF7" w:rsidP="00750815">
      <w:pPr>
        <w:pStyle w:val="ListParagraph"/>
        <w:numPr>
          <w:ilvl w:val="2"/>
          <w:numId w:val="21"/>
        </w:numPr>
        <w:snapToGrid w:val="0"/>
        <w:spacing w:after="0" w:line="240" w:lineRule="auto"/>
        <w:contextualSpacing w:val="0"/>
        <w:rPr>
          <w:rFonts w:cstheme="minorHAnsi"/>
          <w:sz w:val="20"/>
          <w:szCs w:val="20"/>
          <w:lang w:val="en-US"/>
        </w:rPr>
      </w:pPr>
      <w:r>
        <w:rPr>
          <w:rFonts w:cstheme="minorHAnsi"/>
          <w:sz w:val="20"/>
          <w:szCs w:val="20"/>
          <w:lang w:val="en-US"/>
        </w:rPr>
        <w:t xml:space="preserve">U.S. Treasury Yields hit 2023 highs after Fitch downgrades. </w:t>
      </w:r>
    </w:p>
    <w:p w14:paraId="43D9FCBC" w14:textId="77777777" w:rsidR="00652C89" w:rsidRDefault="00000000" w:rsidP="00652C89">
      <w:pPr>
        <w:pStyle w:val="ListParagraph"/>
        <w:snapToGrid w:val="0"/>
        <w:spacing w:after="0" w:line="240" w:lineRule="auto"/>
        <w:ind w:left="1344"/>
        <w:contextualSpacing w:val="0"/>
        <w:rPr>
          <w:rFonts w:cstheme="minorHAnsi"/>
          <w:sz w:val="20"/>
          <w:szCs w:val="20"/>
          <w:lang w:val="en-US"/>
        </w:rPr>
      </w:pPr>
      <w:hyperlink r:id="rId42" w:history="1">
        <w:r w:rsidR="00B44FF7" w:rsidRPr="00B827E1">
          <w:rPr>
            <w:rStyle w:val="Hyperlink"/>
            <w:rFonts w:cstheme="minorHAnsi"/>
            <w:sz w:val="20"/>
            <w:szCs w:val="20"/>
            <w:lang w:val="en-US"/>
          </w:rPr>
          <w:t>https://www.bloomberg.com/news/articles/2023-08-02/treasury-10-year-yield-flirts-with-highest-level-since-november?embedded-checkout=true</w:t>
        </w:r>
      </w:hyperlink>
    </w:p>
    <w:p w14:paraId="471ED0C3" w14:textId="77777777" w:rsidR="00F36A68" w:rsidRDefault="00B44FF7" w:rsidP="00750815">
      <w:pPr>
        <w:pStyle w:val="ListParagraph"/>
        <w:numPr>
          <w:ilvl w:val="2"/>
          <w:numId w:val="21"/>
        </w:numPr>
        <w:snapToGrid w:val="0"/>
        <w:spacing w:after="0" w:line="240" w:lineRule="auto"/>
        <w:contextualSpacing w:val="0"/>
        <w:rPr>
          <w:rFonts w:cstheme="minorHAnsi"/>
          <w:sz w:val="20"/>
          <w:szCs w:val="20"/>
          <w:lang w:val="en-US"/>
        </w:rPr>
      </w:pPr>
      <w:r w:rsidRPr="00302C28">
        <w:rPr>
          <w:rFonts w:cstheme="minorHAnsi"/>
          <w:sz w:val="20"/>
          <w:szCs w:val="20"/>
          <w:lang w:val="en-US"/>
        </w:rPr>
        <w:t>China's holdings of U.S. debt fell below $1 trillion for the first time since 2010</w:t>
      </w:r>
    </w:p>
    <w:p w14:paraId="043B9246" w14:textId="77777777" w:rsidR="00F36A68" w:rsidRDefault="00B44FF7" w:rsidP="00750815">
      <w:pPr>
        <w:pStyle w:val="ListParagraph"/>
        <w:snapToGrid w:val="0"/>
        <w:spacing w:after="0" w:line="240" w:lineRule="auto"/>
        <w:ind w:left="1344"/>
        <w:contextualSpacing w:val="0"/>
        <w:rPr>
          <w:rFonts w:cstheme="minorHAnsi"/>
          <w:sz w:val="20"/>
          <w:szCs w:val="20"/>
          <w:lang w:val="en-US"/>
        </w:rPr>
      </w:pPr>
      <w:r w:rsidRPr="00302C28">
        <w:rPr>
          <w:rFonts w:cstheme="minorHAnsi"/>
          <w:sz w:val="20"/>
          <w:szCs w:val="20"/>
          <w:lang w:val="en-US"/>
        </w:rPr>
        <w:t>https://www.cnbc.com/2022/07/18/china-holdings-of-us-debt-fall-below-1-trillion-for-the-first-time-since-2010.html</w:t>
      </w:r>
    </w:p>
    <w:p w14:paraId="7C673B34" w14:textId="77777777" w:rsidR="00302C28" w:rsidRDefault="00B44FF7" w:rsidP="00750815">
      <w:pPr>
        <w:pStyle w:val="ListParagraph"/>
        <w:numPr>
          <w:ilvl w:val="2"/>
          <w:numId w:val="21"/>
        </w:numPr>
        <w:snapToGrid w:val="0"/>
        <w:spacing w:after="0" w:line="240" w:lineRule="auto"/>
        <w:contextualSpacing w:val="0"/>
        <w:rPr>
          <w:rFonts w:cstheme="minorHAnsi"/>
          <w:sz w:val="20"/>
          <w:szCs w:val="20"/>
          <w:lang w:val="en-US"/>
        </w:rPr>
      </w:pPr>
      <w:r w:rsidRPr="00302C28">
        <w:rPr>
          <w:rFonts w:cstheme="minorHAnsi"/>
          <w:sz w:val="20"/>
          <w:szCs w:val="20"/>
          <w:lang w:val="en-US"/>
        </w:rPr>
        <w:t>Government expenditure, per cent of GDP</w:t>
      </w:r>
    </w:p>
    <w:p w14:paraId="1F572770" w14:textId="77777777" w:rsidR="00302C28" w:rsidRDefault="00000000" w:rsidP="00750815">
      <w:pPr>
        <w:pStyle w:val="ListParagraph"/>
        <w:snapToGrid w:val="0"/>
        <w:spacing w:after="0" w:line="240" w:lineRule="auto"/>
        <w:ind w:left="1344"/>
        <w:contextualSpacing w:val="0"/>
        <w:rPr>
          <w:rFonts w:cstheme="minorHAnsi"/>
          <w:sz w:val="20"/>
          <w:szCs w:val="20"/>
          <w:lang w:val="en-US"/>
        </w:rPr>
      </w:pPr>
      <w:hyperlink r:id="rId43" w:history="1">
        <w:r w:rsidR="00B44FF7" w:rsidRPr="00B827E1">
          <w:rPr>
            <w:rStyle w:val="Hyperlink"/>
            <w:rFonts w:cstheme="minorHAnsi"/>
            <w:sz w:val="20"/>
            <w:szCs w:val="20"/>
            <w:lang w:val="en-US"/>
          </w:rPr>
          <w:t>https://www.imf.org/external/datamapper/exp@FPP/USA/FRA/JPN/GBR/SWE/ESP/ITA/ZAF/IND</w:t>
        </w:r>
      </w:hyperlink>
    </w:p>
    <w:p w14:paraId="6D90BCBD" w14:textId="77777777" w:rsidR="00302C28" w:rsidRDefault="00B44FF7" w:rsidP="00750815">
      <w:pPr>
        <w:pStyle w:val="ListParagraph"/>
        <w:numPr>
          <w:ilvl w:val="2"/>
          <w:numId w:val="21"/>
        </w:numPr>
        <w:snapToGrid w:val="0"/>
        <w:spacing w:after="0" w:line="240" w:lineRule="auto"/>
        <w:contextualSpacing w:val="0"/>
        <w:rPr>
          <w:rFonts w:cstheme="minorHAnsi"/>
          <w:sz w:val="20"/>
          <w:szCs w:val="20"/>
          <w:lang w:val="en-US"/>
        </w:rPr>
      </w:pPr>
      <w:r w:rsidRPr="00302C28">
        <w:rPr>
          <w:rFonts w:cstheme="minorHAnsi"/>
          <w:sz w:val="20"/>
          <w:szCs w:val="20"/>
          <w:lang w:val="en-US"/>
        </w:rPr>
        <w:t>How much has the U.S. government spent this year?</w:t>
      </w:r>
    </w:p>
    <w:p w14:paraId="64A5A2AF" w14:textId="77777777" w:rsidR="00302C28" w:rsidRDefault="00000000" w:rsidP="00750815">
      <w:pPr>
        <w:pStyle w:val="ListParagraph"/>
        <w:snapToGrid w:val="0"/>
        <w:spacing w:after="0" w:line="240" w:lineRule="auto"/>
        <w:ind w:left="1344"/>
        <w:contextualSpacing w:val="0"/>
        <w:rPr>
          <w:rFonts w:cstheme="minorHAnsi"/>
          <w:sz w:val="20"/>
          <w:szCs w:val="20"/>
          <w:lang w:val="en-US"/>
        </w:rPr>
      </w:pPr>
      <w:hyperlink r:id="rId44" w:history="1">
        <w:r w:rsidR="00B44FF7" w:rsidRPr="00B827E1">
          <w:rPr>
            <w:rStyle w:val="Hyperlink"/>
            <w:rFonts w:cstheme="minorHAnsi"/>
            <w:sz w:val="20"/>
            <w:szCs w:val="20"/>
            <w:lang w:val="en-US"/>
          </w:rPr>
          <w:t>https://fiscaldata.treasury.gov/americas-finance-guide/federal-spending/</w:t>
        </w:r>
      </w:hyperlink>
    </w:p>
    <w:p w14:paraId="415EEF83" w14:textId="77777777" w:rsidR="00162232" w:rsidRDefault="00B44FF7" w:rsidP="00750815">
      <w:pPr>
        <w:pStyle w:val="ListParagraph"/>
        <w:numPr>
          <w:ilvl w:val="2"/>
          <w:numId w:val="21"/>
        </w:numPr>
        <w:snapToGrid w:val="0"/>
        <w:spacing w:after="0" w:line="240" w:lineRule="auto"/>
        <w:contextualSpacing w:val="0"/>
        <w:rPr>
          <w:rFonts w:cstheme="minorHAnsi"/>
          <w:sz w:val="20"/>
          <w:szCs w:val="20"/>
          <w:lang w:val="en-US"/>
        </w:rPr>
      </w:pPr>
      <w:r w:rsidRPr="00162232">
        <w:rPr>
          <w:rFonts w:cstheme="minorHAnsi"/>
          <w:sz w:val="20"/>
          <w:szCs w:val="20"/>
          <w:lang w:val="en-US"/>
        </w:rPr>
        <w:t>Countries with the highest military spending worldwide in 2022</w:t>
      </w:r>
    </w:p>
    <w:p w14:paraId="7217498E" w14:textId="77777777" w:rsidR="00162232" w:rsidRDefault="00000000" w:rsidP="00750815">
      <w:pPr>
        <w:pStyle w:val="ListParagraph"/>
        <w:snapToGrid w:val="0"/>
        <w:spacing w:after="0" w:line="240" w:lineRule="auto"/>
        <w:ind w:left="1344"/>
        <w:contextualSpacing w:val="0"/>
        <w:rPr>
          <w:rFonts w:cstheme="minorHAnsi"/>
          <w:sz w:val="20"/>
          <w:szCs w:val="20"/>
          <w:lang w:val="en-US"/>
        </w:rPr>
      </w:pPr>
      <w:hyperlink r:id="rId45" w:history="1">
        <w:r w:rsidR="00B44FF7" w:rsidRPr="00B827E1">
          <w:rPr>
            <w:rStyle w:val="Hyperlink"/>
            <w:rFonts w:cstheme="minorHAnsi"/>
            <w:sz w:val="20"/>
            <w:szCs w:val="20"/>
            <w:lang w:val="en-US"/>
          </w:rPr>
          <w:t>https://www.statista.com/statistics/262742/countries-with-the-highest-military-spending/</w:t>
        </w:r>
      </w:hyperlink>
    </w:p>
    <w:p w14:paraId="026DCC0B" w14:textId="77777777" w:rsidR="00162232" w:rsidRDefault="00B44FF7" w:rsidP="00750815">
      <w:pPr>
        <w:pStyle w:val="ListParagraph"/>
        <w:numPr>
          <w:ilvl w:val="2"/>
          <w:numId w:val="21"/>
        </w:numPr>
        <w:snapToGrid w:val="0"/>
        <w:spacing w:after="0" w:line="240" w:lineRule="auto"/>
        <w:contextualSpacing w:val="0"/>
        <w:rPr>
          <w:rFonts w:cstheme="minorHAnsi"/>
          <w:sz w:val="20"/>
          <w:szCs w:val="20"/>
          <w:lang w:val="en-US"/>
        </w:rPr>
      </w:pPr>
      <w:r>
        <w:rPr>
          <w:rFonts w:cstheme="minorHAnsi"/>
          <w:sz w:val="20"/>
          <w:szCs w:val="20"/>
          <w:lang w:val="en-US"/>
        </w:rPr>
        <w:t xml:space="preserve">U.S. </w:t>
      </w:r>
      <w:r w:rsidR="00302C28">
        <w:rPr>
          <w:rFonts w:cstheme="minorHAnsi"/>
          <w:sz w:val="20"/>
          <w:szCs w:val="20"/>
          <w:lang w:val="en-US"/>
        </w:rPr>
        <w:t>defense</w:t>
      </w:r>
      <w:r>
        <w:rPr>
          <w:rFonts w:cstheme="minorHAnsi"/>
          <w:sz w:val="20"/>
          <w:szCs w:val="20"/>
          <w:lang w:val="en-US"/>
        </w:rPr>
        <w:t xml:space="preserve"> spending</w:t>
      </w:r>
    </w:p>
    <w:p w14:paraId="4939746C" w14:textId="77777777" w:rsidR="00162232" w:rsidRDefault="00000000" w:rsidP="00750815">
      <w:pPr>
        <w:pStyle w:val="ListParagraph"/>
        <w:snapToGrid w:val="0"/>
        <w:spacing w:after="0" w:line="240" w:lineRule="auto"/>
        <w:ind w:left="1344"/>
        <w:contextualSpacing w:val="0"/>
        <w:rPr>
          <w:rFonts w:cstheme="minorHAnsi"/>
          <w:sz w:val="20"/>
          <w:szCs w:val="20"/>
          <w:lang w:val="en-US"/>
        </w:rPr>
      </w:pPr>
      <w:hyperlink r:id="rId46" w:history="1">
        <w:r w:rsidR="00B44FF7" w:rsidRPr="00B827E1">
          <w:rPr>
            <w:rStyle w:val="Hyperlink"/>
            <w:rFonts w:cstheme="minorHAnsi"/>
            <w:sz w:val="20"/>
            <w:szCs w:val="20"/>
            <w:lang w:val="en-US"/>
          </w:rPr>
          <w:t>https://www.pgpf.org/chart-archive/0053_defense-comparison</w:t>
        </w:r>
      </w:hyperlink>
    </w:p>
    <w:p w14:paraId="3C343671" w14:textId="77777777" w:rsidR="00162232" w:rsidRDefault="00B44FF7" w:rsidP="00750815">
      <w:pPr>
        <w:pStyle w:val="ListParagraph"/>
        <w:numPr>
          <w:ilvl w:val="2"/>
          <w:numId w:val="21"/>
        </w:numPr>
        <w:snapToGrid w:val="0"/>
        <w:spacing w:after="0" w:line="240" w:lineRule="auto"/>
        <w:contextualSpacing w:val="0"/>
        <w:rPr>
          <w:rFonts w:cstheme="minorHAnsi"/>
          <w:sz w:val="20"/>
          <w:szCs w:val="20"/>
          <w:lang w:val="en-US"/>
        </w:rPr>
      </w:pPr>
      <w:r>
        <w:rPr>
          <w:rFonts w:cstheme="minorHAnsi"/>
          <w:sz w:val="20"/>
          <w:szCs w:val="20"/>
          <w:lang w:val="en-US"/>
        </w:rPr>
        <w:t>Global Military budget.</w:t>
      </w:r>
    </w:p>
    <w:p w14:paraId="3A196A6A" w14:textId="77777777" w:rsidR="00162232" w:rsidRDefault="00000000" w:rsidP="00750815">
      <w:pPr>
        <w:pStyle w:val="ListParagraph"/>
        <w:snapToGrid w:val="0"/>
        <w:spacing w:after="0" w:line="240" w:lineRule="auto"/>
        <w:ind w:left="1344"/>
        <w:contextualSpacing w:val="0"/>
        <w:rPr>
          <w:rStyle w:val="Hyperlink"/>
          <w:rFonts w:cstheme="minorHAnsi"/>
          <w:sz w:val="20"/>
          <w:szCs w:val="20"/>
          <w:lang w:val="en-US"/>
        </w:rPr>
      </w:pPr>
      <w:hyperlink r:id="rId47" w:history="1">
        <w:r w:rsidR="00B44FF7" w:rsidRPr="00B827E1">
          <w:rPr>
            <w:rStyle w:val="Hyperlink"/>
            <w:rFonts w:cstheme="minorHAnsi"/>
            <w:sz w:val="20"/>
            <w:szCs w:val="20"/>
            <w:lang w:val="en-US"/>
          </w:rPr>
          <w:t>https://power.lowyinstitute.org/data/military-capability/defence-spending/military-expenditure-defence-sector-ppp/</w:t>
        </w:r>
      </w:hyperlink>
    </w:p>
    <w:p w14:paraId="11EFAECD" w14:textId="77777777" w:rsidR="00FB57E8" w:rsidRDefault="00FB57E8" w:rsidP="00FB57E8">
      <w:pPr>
        <w:pStyle w:val="ListParagraph"/>
        <w:numPr>
          <w:ilvl w:val="2"/>
          <w:numId w:val="21"/>
        </w:numPr>
        <w:snapToGrid w:val="0"/>
        <w:spacing w:after="0" w:line="240" w:lineRule="auto"/>
        <w:contextualSpacing w:val="0"/>
        <w:rPr>
          <w:rFonts w:cstheme="minorHAnsi"/>
          <w:sz w:val="20"/>
          <w:szCs w:val="20"/>
          <w:lang w:val="en-US"/>
        </w:rPr>
      </w:pPr>
      <w:r w:rsidRPr="001249AE">
        <w:rPr>
          <w:rFonts w:cstheme="minorHAnsi"/>
          <w:sz w:val="20"/>
          <w:szCs w:val="20"/>
          <w:lang w:val="en-US"/>
        </w:rPr>
        <w:t>U.S. Department of Education</w:t>
      </w:r>
      <w:r>
        <w:rPr>
          <w:rFonts w:cstheme="minorHAnsi"/>
          <w:sz w:val="20"/>
          <w:szCs w:val="20"/>
          <w:lang w:val="en-US"/>
        </w:rPr>
        <w:t xml:space="preserve">. </w:t>
      </w:r>
    </w:p>
    <w:p w14:paraId="3311A911" w14:textId="77777777" w:rsidR="00FB57E8" w:rsidRDefault="00FB57E8" w:rsidP="00FB57E8">
      <w:pPr>
        <w:pStyle w:val="ListParagraph"/>
        <w:snapToGrid w:val="0"/>
        <w:spacing w:after="0" w:line="240" w:lineRule="auto"/>
        <w:ind w:left="1344"/>
        <w:contextualSpacing w:val="0"/>
        <w:rPr>
          <w:rFonts w:cstheme="minorHAnsi"/>
          <w:sz w:val="20"/>
          <w:szCs w:val="20"/>
          <w:lang w:val="en-US"/>
        </w:rPr>
      </w:pPr>
      <w:r w:rsidRPr="001249AE">
        <w:rPr>
          <w:rFonts w:cstheme="minorHAnsi"/>
          <w:sz w:val="20"/>
          <w:szCs w:val="20"/>
          <w:lang w:val="en-US"/>
        </w:rPr>
        <w:t>Biden-Harris Administration Announces an Additional $9 Billion in Student Debt Relief</w:t>
      </w:r>
    </w:p>
    <w:p w14:paraId="478FCCAA" w14:textId="77777777" w:rsidR="00FB57E8" w:rsidRDefault="00000000" w:rsidP="00FB57E8">
      <w:pPr>
        <w:pStyle w:val="ListParagraph"/>
        <w:snapToGrid w:val="0"/>
        <w:spacing w:after="0" w:line="240" w:lineRule="auto"/>
        <w:ind w:left="1344"/>
        <w:contextualSpacing w:val="0"/>
        <w:rPr>
          <w:rFonts w:cstheme="minorHAnsi"/>
          <w:sz w:val="20"/>
          <w:szCs w:val="20"/>
          <w:lang w:val="en-US"/>
        </w:rPr>
      </w:pPr>
      <w:hyperlink r:id="rId48" w:anchor=":~:text=Today's%20announcement%20brings%20the%20total,Public%20Service%20Loan%20Forgiveness%20programs" w:history="1">
        <w:r w:rsidR="00FB57E8" w:rsidRPr="00031952">
          <w:rPr>
            <w:rStyle w:val="Hyperlink"/>
            <w:rFonts w:cstheme="minorHAnsi"/>
            <w:sz w:val="20"/>
            <w:szCs w:val="20"/>
            <w:lang w:val="en-US"/>
          </w:rPr>
          <w:t>https://www.ed.gov/news/press-releases/biden-harris-administration-announces-additional-9-billion-student-debt-relief#:~:text=Today's%20announcement%20brings%20the%20total,Public%20Service%20Loan%20Forgiveness%20programs</w:t>
        </w:r>
      </w:hyperlink>
      <w:r w:rsidR="00FB57E8" w:rsidRPr="001249AE">
        <w:rPr>
          <w:rFonts w:cstheme="minorHAnsi"/>
          <w:sz w:val="20"/>
          <w:szCs w:val="20"/>
          <w:lang w:val="en-US"/>
        </w:rPr>
        <w:t>.</w:t>
      </w:r>
    </w:p>
    <w:p w14:paraId="38AE4DE9" w14:textId="77777777" w:rsidR="00FB57E8" w:rsidRDefault="00FB57E8" w:rsidP="00750815">
      <w:pPr>
        <w:pStyle w:val="ListParagraph"/>
        <w:snapToGrid w:val="0"/>
        <w:spacing w:after="0" w:line="240" w:lineRule="auto"/>
        <w:ind w:left="1344"/>
        <w:contextualSpacing w:val="0"/>
        <w:rPr>
          <w:rStyle w:val="Hyperlink"/>
          <w:rFonts w:cstheme="minorHAnsi"/>
          <w:sz w:val="20"/>
          <w:szCs w:val="20"/>
          <w:lang w:val="en-US"/>
        </w:rPr>
      </w:pPr>
    </w:p>
    <w:p w14:paraId="6A3D4DEA" w14:textId="77777777" w:rsidR="004B1617" w:rsidRPr="004B1617" w:rsidRDefault="004B1617" w:rsidP="004B1617">
      <w:pPr>
        <w:snapToGrid w:val="0"/>
        <w:spacing w:after="0" w:line="240" w:lineRule="auto"/>
        <w:rPr>
          <w:rStyle w:val="Hyperlink"/>
          <w:rFonts w:cstheme="minorHAnsi"/>
          <w:color w:val="auto"/>
          <w:sz w:val="20"/>
          <w:szCs w:val="20"/>
          <w:u w:val="none"/>
          <w:lang w:val="en-US"/>
        </w:rPr>
      </w:pPr>
    </w:p>
    <w:p w14:paraId="2BC61AC1" w14:textId="77777777" w:rsidR="00DE79BF" w:rsidRPr="00DE79BF" w:rsidRDefault="00B44FF7" w:rsidP="00750815">
      <w:pPr>
        <w:pStyle w:val="ListParagraph"/>
        <w:numPr>
          <w:ilvl w:val="2"/>
          <w:numId w:val="21"/>
        </w:numPr>
        <w:snapToGrid w:val="0"/>
        <w:spacing w:after="0" w:line="240" w:lineRule="auto"/>
        <w:contextualSpacing w:val="0"/>
        <w:rPr>
          <w:rFonts w:cstheme="minorHAnsi"/>
          <w:sz w:val="20"/>
          <w:szCs w:val="20"/>
          <w:lang w:val="en-US"/>
        </w:rPr>
      </w:pPr>
      <w:r>
        <w:rPr>
          <w:rFonts w:cstheme="minorHAnsi"/>
          <w:sz w:val="20"/>
          <w:szCs w:val="20"/>
          <w:lang w:val="en-US"/>
        </w:rPr>
        <w:t>Other visual data</w:t>
      </w:r>
    </w:p>
    <w:p w14:paraId="69FD1795" w14:textId="77777777" w:rsidR="00750815" w:rsidRDefault="00000000" w:rsidP="00DE79BF">
      <w:pPr>
        <w:pStyle w:val="ListParagraph"/>
        <w:numPr>
          <w:ilvl w:val="3"/>
          <w:numId w:val="21"/>
        </w:numPr>
        <w:snapToGrid w:val="0"/>
        <w:spacing w:after="0" w:line="240" w:lineRule="auto"/>
        <w:contextualSpacing w:val="0"/>
        <w:rPr>
          <w:rFonts w:cstheme="minorHAnsi"/>
          <w:sz w:val="20"/>
          <w:szCs w:val="20"/>
          <w:lang w:val="en-US"/>
        </w:rPr>
      </w:pPr>
      <w:hyperlink r:id="rId49" w:history="1">
        <w:r w:rsidR="00B44FF7" w:rsidRPr="00B827E1">
          <w:rPr>
            <w:rStyle w:val="Hyperlink"/>
            <w:rFonts w:cstheme="minorHAnsi"/>
            <w:sz w:val="20"/>
            <w:szCs w:val="20"/>
            <w:lang w:val="en-US"/>
          </w:rPr>
          <w:t>https://www.visualcapitalist.com/which-countries-hold-the-most-us-debt/</w:t>
        </w:r>
      </w:hyperlink>
    </w:p>
    <w:p w14:paraId="2D7E952F" w14:textId="77777777" w:rsidR="00750815" w:rsidRPr="00843501" w:rsidRDefault="00000000" w:rsidP="00DE79BF">
      <w:pPr>
        <w:pStyle w:val="ListParagraph"/>
        <w:numPr>
          <w:ilvl w:val="3"/>
          <w:numId w:val="21"/>
        </w:numPr>
        <w:snapToGrid w:val="0"/>
        <w:spacing w:after="0" w:line="240" w:lineRule="auto"/>
        <w:contextualSpacing w:val="0"/>
        <w:rPr>
          <w:rStyle w:val="Hyperlink"/>
          <w:rFonts w:cstheme="minorHAnsi"/>
          <w:color w:val="auto"/>
          <w:sz w:val="20"/>
          <w:szCs w:val="20"/>
          <w:u w:val="none"/>
          <w:lang w:val="en-US"/>
        </w:rPr>
      </w:pPr>
      <w:hyperlink r:id="rId50" w:history="1">
        <w:r w:rsidR="00B44FF7" w:rsidRPr="00B827E1">
          <w:rPr>
            <w:rStyle w:val="Hyperlink"/>
            <w:rFonts w:cstheme="minorHAnsi"/>
            <w:sz w:val="20"/>
            <w:szCs w:val="20"/>
            <w:lang w:val="en-US"/>
          </w:rPr>
          <w:t>https://ticdata.treasury.gov/Publish/mfh.txt</w:t>
        </w:r>
      </w:hyperlink>
    </w:p>
    <w:p w14:paraId="6C2DEEAF" w14:textId="77777777" w:rsidR="00750815" w:rsidRDefault="00000000" w:rsidP="00DE79BF">
      <w:pPr>
        <w:pStyle w:val="ListParagraph"/>
        <w:numPr>
          <w:ilvl w:val="3"/>
          <w:numId w:val="21"/>
        </w:numPr>
        <w:snapToGrid w:val="0"/>
        <w:spacing w:after="0" w:line="240" w:lineRule="auto"/>
        <w:contextualSpacing w:val="0"/>
        <w:rPr>
          <w:rFonts w:cstheme="minorHAnsi"/>
          <w:sz w:val="20"/>
          <w:szCs w:val="20"/>
          <w:lang w:val="en-US"/>
        </w:rPr>
      </w:pPr>
      <w:hyperlink r:id="rId51" w:history="1">
        <w:r w:rsidR="00B44FF7" w:rsidRPr="00B827E1">
          <w:rPr>
            <w:rStyle w:val="Hyperlink"/>
            <w:rFonts w:cstheme="minorHAnsi"/>
            <w:sz w:val="20"/>
            <w:szCs w:val="20"/>
            <w:lang w:val="en-US"/>
          </w:rPr>
          <w:t>https://usafacts.org/articles/which-countries-own-the-most-us-debt/</w:t>
        </w:r>
      </w:hyperlink>
    </w:p>
    <w:p w14:paraId="392A9BC5" w14:textId="77777777" w:rsidR="00F36A68" w:rsidRPr="00421F25" w:rsidRDefault="00B44FF7" w:rsidP="00DE79BF">
      <w:pPr>
        <w:pStyle w:val="ListParagraph"/>
        <w:numPr>
          <w:ilvl w:val="3"/>
          <w:numId w:val="21"/>
        </w:numPr>
        <w:snapToGrid w:val="0"/>
        <w:spacing w:after="0" w:line="240" w:lineRule="auto"/>
        <w:contextualSpacing w:val="0"/>
        <w:rPr>
          <w:rFonts w:cstheme="minorHAnsi"/>
          <w:sz w:val="20"/>
          <w:szCs w:val="20"/>
          <w:lang w:val="en-US"/>
        </w:rPr>
      </w:pPr>
      <w:r w:rsidRPr="003B54E6">
        <w:rPr>
          <w:rFonts w:cstheme="minorHAnsi"/>
          <w:sz w:val="20"/>
          <w:szCs w:val="20"/>
          <w:lang w:val="en-US"/>
        </w:rPr>
        <w:t>https://www.visualcapitalist.com/us-largest-trading-partners-2022/</w:t>
      </w:r>
    </w:p>
    <w:sectPr w:rsidR="00F36A68" w:rsidRPr="00421F25" w:rsidSect="00E214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54874" w14:textId="77777777" w:rsidR="008E5D06" w:rsidRDefault="008E5D06">
      <w:pPr>
        <w:spacing w:after="0" w:line="240" w:lineRule="auto"/>
      </w:pPr>
      <w:r>
        <w:separator/>
      </w:r>
    </w:p>
  </w:endnote>
  <w:endnote w:type="continuationSeparator" w:id="0">
    <w:p w14:paraId="2587765B" w14:textId="77777777" w:rsidR="008E5D06" w:rsidRDefault="008E5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8A3CF" w14:textId="77777777" w:rsidR="008E5D06" w:rsidRDefault="008E5D06">
      <w:pPr>
        <w:spacing w:after="0" w:line="240" w:lineRule="auto"/>
      </w:pPr>
      <w:r>
        <w:separator/>
      </w:r>
    </w:p>
  </w:footnote>
  <w:footnote w:type="continuationSeparator" w:id="0">
    <w:p w14:paraId="1EEF8758" w14:textId="77777777" w:rsidR="008E5D06" w:rsidRDefault="008E5D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352"/>
      <w:docPartObj>
        <w:docPartGallery w:val="Page Numbers (Top of Page)"/>
        <w:docPartUnique/>
      </w:docPartObj>
    </w:sdtPr>
    <w:sdtContent>
      <w:p w14:paraId="39888334" w14:textId="77777777" w:rsidR="00B44FF7" w:rsidRDefault="00B44FF7">
        <w:pPr>
          <w:pStyle w:val="Header"/>
        </w:pPr>
        <w:r>
          <w:t xml:space="preserve">Group Work Project: 2. Group Number: 4175. Group Member: Yhasreen, </w:t>
        </w:r>
        <w:bookmarkStart w:id="2" w:name="_Hlk145584344"/>
        <w:r>
          <w:t>Ebenezer</w:t>
        </w:r>
        <w:bookmarkEnd w:id="2"/>
        <w:r>
          <w:t>, Oratile</w:t>
        </w:r>
      </w:p>
      <w:p w14:paraId="451E3D01" w14:textId="77777777" w:rsidR="00B44FF7" w:rsidRDefault="00B44FF7">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sidR="00101FED">
          <w:rPr>
            <w:b/>
            <w:bCs/>
            <w:noProof/>
          </w:rPr>
          <w:t>22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01FED">
          <w:rPr>
            <w:b/>
            <w:bCs/>
            <w:noProof/>
          </w:rPr>
          <w:t>31</w:t>
        </w:r>
        <w:r>
          <w:rPr>
            <w:b/>
            <w:bCs/>
            <w:sz w:val="24"/>
            <w:szCs w:val="24"/>
          </w:rPr>
          <w:fldChar w:fldCharType="end"/>
        </w:r>
      </w:p>
    </w:sdtContent>
  </w:sdt>
  <w:p w14:paraId="34172468" w14:textId="77777777" w:rsidR="00B44FF7" w:rsidRDefault="00B44F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2DA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7B1A9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0839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D52CE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BB469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1D5440"/>
    <w:multiLevelType w:val="multilevel"/>
    <w:tmpl w:val="21369FF4"/>
    <w:lvl w:ilvl="0">
      <w:start w:val="1"/>
      <w:numFmt w:val="decimal"/>
      <w:lvlText w:val="%1."/>
      <w:lvlJc w:val="left"/>
      <w:pPr>
        <w:ind w:left="360" w:hanging="360"/>
      </w:pPr>
      <w:rPr>
        <w:rFonts w:hint="default"/>
        <w:b w:val="0"/>
        <w:bCs w:val="0"/>
      </w:rPr>
    </w:lvl>
    <w:lvl w:ilvl="1">
      <w:start w:val="1"/>
      <w:numFmt w:val="decimal"/>
      <w:lvlText w:val="%1.%2."/>
      <w:lvlJc w:val="left"/>
      <w:pPr>
        <w:ind w:left="936" w:hanging="576"/>
      </w:pPr>
      <w:rPr>
        <w:rFonts w:hint="default"/>
        <w:b w:val="0"/>
        <w:bCs w:val="0"/>
      </w:rPr>
    </w:lvl>
    <w:lvl w:ilvl="2">
      <w:start w:val="1"/>
      <w:numFmt w:val="decimal"/>
      <w:lvlText w:val="%1.%2.%3."/>
      <w:lvlJc w:val="left"/>
      <w:pPr>
        <w:ind w:left="1344" w:hanging="624"/>
      </w:pPr>
      <w:rPr>
        <w:rFonts w:hint="default"/>
        <w:b w:val="0"/>
        <w:bCs w:val="0"/>
      </w:rPr>
    </w:lvl>
    <w:lvl w:ilvl="3">
      <w:start w:val="1"/>
      <w:numFmt w:val="decimal"/>
      <w:lvlText w:val="%1.%2.%3.%4."/>
      <w:lvlJc w:val="left"/>
      <w:pPr>
        <w:ind w:left="1824" w:hanging="744"/>
      </w:pPr>
      <w:rPr>
        <w:rFonts w:hint="default"/>
        <w:b w:val="0"/>
        <w:bCs w:val="0"/>
      </w:rPr>
    </w:lvl>
    <w:lvl w:ilvl="4">
      <w:start w:val="1"/>
      <w:numFmt w:val="decimal"/>
      <w:lvlText w:val="%1.%2.%3.%4.%5."/>
      <w:lvlJc w:val="left"/>
      <w:pPr>
        <w:ind w:left="2400" w:hanging="960"/>
      </w:pPr>
      <w:rPr>
        <w:rFonts w:hint="default"/>
        <w:b w:val="0"/>
        <w:bCs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9BA252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A556BF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A5679BA"/>
    <w:multiLevelType w:val="multilevel"/>
    <w:tmpl w:val="552861AA"/>
    <w:lvl w:ilvl="0">
      <w:start w:val="1"/>
      <w:numFmt w:val="decimal"/>
      <w:lvlText w:val="%1."/>
      <w:lvlJc w:val="left"/>
      <w:pPr>
        <w:ind w:left="360" w:hanging="360"/>
      </w:pPr>
      <w:rPr>
        <w:rFonts w:hint="default"/>
        <w:b/>
        <w:bCs/>
      </w:rPr>
    </w:lvl>
    <w:lvl w:ilvl="1">
      <w:start w:val="1"/>
      <w:numFmt w:val="decimal"/>
      <w:lvlText w:val="%1.%2."/>
      <w:lvlJc w:val="left"/>
      <w:pPr>
        <w:ind w:left="576" w:hanging="576"/>
      </w:pPr>
      <w:rPr>
        <w:rFonts w:hint="default"/>
        <w:b/>
        <w:bCs/>
      </w:rPr>
    </w:lvl>
    <w:lvl w:ilvl="2">
      <w:start w:val="1"/>
      <w:numFmt w:val="decimal"/>
      <w:lvlText w:val="%1.%2.%3."/>
      <w:lvlJc w:val="left"/>
      <w:pPr>
        <w:ind w:left="1344" w:hanging="624"/>
      </w:pPr>
      <w:rPr>
        <w:rFonts w:hint="default"/>
        <w:b w:val="0"/>
        <w:bCs w:val="0"/>
      </w:rPr>
    </w:lvl>
    <w:lvl w:ilvl="3">
      <w:start w:val="1"/>
      <w:numFmt w:val="decimal"/>
      <w:lvlText w:val="%1.%2.%3.%4."/>
      <w:lvlJc w:val="left"/>
      <w:pPr>
        <w:ind w:left="1824" w:hanging="744"/>
      </w:pPr>
      <w:rPr>
        <w:rFonts w:hint="default"/>
        <w:b w:val="0"/>
        <w:bCs w:val="0"/>
        <w:color w:val="auto"/>
      </w:rPr>
    </w:lvl>
    <w:lvl w:ilvl="4">
      <w:start w:val="1"/>
      <w:numFmt w:val="decimal"/>
      <w:lvlText w:val="%1.%2.%3.%4.%5."/>
      <w:lvlJc w:val="left"/>
      <w:pPr>
        <w:ind w:left="2400" w:hanging="960"/>
      </w:pPr>
      <w:rPr>
        <w:rFonts w:hint="default"/>
        <w:b w:val="0"/>
        <w:bCs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DEC237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0150A4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D95B4E"/>
    <w:multiLevelType w:val="hybridMultilevel"/>
    <w:tmpl w:val="A12CC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365CE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88A647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9641040"/>
    <w:multiLevelType w:val="hybridMultilevel"/>
    <w:tmpl w:val="36B664D0"/>
    <w:lvl w:ilvl="0" w:tplc="0DF48EF6">
      <w:start w:val="1"/>
      <w:numFmt w:val="decimal"/>
      <w:lvlText w:val="%1."/>
      <w:lvlJc w:val="left"/>
      <w:pPr>
        <w:ind w:left="7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0D00030C">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2B664D96">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DC44CF7C">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4FD89862">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5BFC4D04">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10AE60AE">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6BF2A764">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1D8A9C14">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5" w15:restartNumberingAfterBreak="0">
    <w:nsid w:val="304F71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37670DB"/>
    <w:multiLevelType w:val="multilevel"/>
    <w:tmpl w:val="21369FF4"/>
    <w:lvl w:ilvl="0">
      <w:start w:val="1"/>
      <w:numFmt w:val="decimal"/>
      <w:lvlText w:val="%1."/>
      <w:lvlJc w:val="left"/>
      <w:pPr>
        <w:ind w:left="360" w:hanging="360"/>
      </w:pPr>
      <w:rPr>
        <w:rFonts w:hint="default"/>
        <w:b w:val="0"/>
        <w:bCs w:val="0"/>
      </w:rPr>
    </w:lvl>
    <w:lvl w:ilvl="1">
      <w:start w:val="1"/>
      <w:numFmt w:val="decimal"/>
      <w:lvlText w:val="%1.%2."/>
      <w:lvlJc w:val="left"/>
      <w:pPr>
        <w:ind w:left="936" w:hanging="576"/>
      </w:pPr>
      <w:rPr>
        <w:rFonts w:hint="default"/>
        <w:b w:val="0"/>
        <w:bCs w:val="0"/>
      </w:rPr>
    </w:lvl>
    <w:lvl w:ilvl="2">
      <w:start w:val="1"/>
      <w:numFmt w:val="decimal"/>
      <w:lvlText w:val="%1.%2.%3."/>
      <w:lvlJc w:val="left"/>
      <w:pPr>
        <w:ind w:left="1344" w:hanging="624"/>
      </w:pPr>
      <w:rPr>
        <w:rFonts w:hint="default"/>
        <w:b w:val="0"/>
        <w:bCs w:val="0"/>
      </w:rPr>
    </w:lvl>
    <w:lvl w:ilvl="3">
      <w:start w:val="1"/>
      <w:numFmt w:val="decimal"/>
      <w:lvlText w:val="%1.%2.%3.%4."/>
      <w:lvlJc w:val="left"/>
      <w:pPr>
        <w:ind w:left="1824" w:hanging="744"/>
      </w:pPr>
      <w:rPr>
        <w:rFonts w:hint="default"/>
        <w:b w:val="0"/>
        <w:bCs w:val="0"/>
      </w:rPr>
    </w:lvl>
    <w:lvl w:ilvl="4">
      <w:start w:val="1"/>
      <w:numFmt w:val="decimal"/>
      <w:lvlText w:val="%1.%2.%3.%4.%5."/>
      <w:lvlJc w:val="left"/>
      <w:pPr>
        <w:ind w:left="2400" w:hanging="960"/>
      </w:pPr>
      <w:rPr>
        <w:rFonts w:hint="default"/>
        <w:b w:val="0"/>
        <w:bCs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517757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9DA173B"/>
    <w:multiLevelType w:val="hybridMultilevel"/>
    <w:tmpl w:val="E8129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AB596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DEA0C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00F48F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1615F4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22B250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A5742F8"/>
    <w:multiLevelType w:val="multilevel"/>
    <w:tmpl w:val="552861AA"/>
    <w:lvl w:ilvl="0">
      <w:start w:val="1"/>
      <w:numFmt w:val="decimal"/>
      <w:lvlText w:val="%1."/>
      <w:lvlJc w:val="left"/>
      <w:pPr>
        <w:ind w:left="360" w:hanging="360"/>
      </w:pPr>
      <w:rPr>
        <w:rFonts w:hint="default"/>
        <w:b/>
        <w:bCs/>
      </w:rPr>
    </w:lvl>
    <w:lvl w:ilvl="1">
      <w:start w:val="1"/>
      <w:numFmt w:val="decimal"/>
      <w:lvlText w:val="%1.%2."/>
      <w:lvlJc w:val="left"/>
      <w:pPr>
        <w:ind w:left="576" w:hanging="576"/>
      </w:pPr>
      <w:rPr>
        <w:rFonts w:hint="default"/>
        <w:b/>
        <w:bCs/>
      </w:rPr>
    </w:lvl>
    <w:lvl w:ilvl="2">
      <w:start w:val="1"/>
      <w:numFmt w:val="decimal"/>
      <w:lvlText w:val="%1.%2.%3."/>
      <w:lvlJc w:val="left"/>
      <w:pPr>
        <w:ind w:left="1344" w:hanging="624"/>
      </w:pPr>
      <w:rPr>
        <w:rFonts w:hint="default"/>
        <w:b w:val="0"/>
        <w:bCs w:val="0"/>
      </w:rPr>
    </w:lvl>
    <w:lvl w:ilvl="3">
      <w:start w:val="1"/>
      <w:numFmt w:val="decimal"/>
      <w:lvlText w:val="%1.%2.%3.%4."/>
      <w:lvlJc w:val="left"/>
      <w:pPr>
        <w:ind w:left="1824" w:hanging="744"/>
      </w:pPr>
      <w:rPr>
        <w:rFonts w:hint="default"/>
        <w:b w:val="0"/>
        <w:bCs w:val="0"/>
        <w:color w:val="auto"/>
      </w:rPr>
    </w:lvl>
    <w:lvl w:ilvl="4">
      <w:start w:val="1"/>
      <w:numFmt w:val="decimal"/>
      <w:lvlText w:val="%1.%2.%3.%4.%5."/>
      <w:lvlJc w:val="left"/>
      <w:pPr>
        <w:ind w:left="2400" w:hanging="960"/>
      </w:pPr>
      <w:rPr>
        <w:rFonts w:hint="default"/>
        <w:b w:val="0"/>
        <w:bCs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D416A16"/>
    <w:multiLevelType w:val="hybridMultilevel"/>
    <w:tmpl w:val="A0CC55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6A056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8F0374D"/>
    <w:multiLevelType w:val="multilevel"/>
    <w:tmpl w:val="552861AA"/>
    <w:lvl w:ilvl="0">
      <w:start w:val="1"/>
      <w:numFmt w:val="decimal"/>
      <w:lvlText w:val="%1."/>
      <w:lvlJc w:val="left"/>
      <w:pPr>
        <w:ind w:left="360" w:hanging="360"/>
      </w:pPr>
      <w:rPr>
        <w:rFonts w:hint="default"/>
        <w:b/>
        <w:bCs/>
      </w:rPr>
    </w:lvl>
    <w:lvl w:ilvl="1">
      <w:start w:val="1"/>
      <w:numFmt w:val="decimal"/>
      <w:lvlText w:val="%1.%2."/>
      <w:lvlJc w:val="left"/>
      <w:pPr>
        <w:ind w:left="936" w:hanging="576"/>
      </w:pPr>
      <w:rPr>
        <w:rFonts w:hint="default"/>
        <w:b/>
        <w:bCs/>
      </w:rPr>
    </w:lvl>
    <w:lvl w:ilvl="2">
      <w:start w:val="1"/>
      <w:numFmt w:val="decimal"/>
      <w:lvlText w:val="%1.%2.%3."/>
      <w:lvlJc w:val="left"/>
      <w:pPr>
        <w:ind w:left="1344" w:hanging="624"/>
      </w:pPr>
      <w:rPr>
        <w:rFonts w:hint="default"/>
        <w:b w:val="0"/>
        <w:bCs w:val="0"/>
      </w:rPr>
    </w:lvl>
    <w:lvl w:ilvl="3">
      <w:start w:val="1"/>
      <w:numFmt w:val="decimal"/>
      <w:lvlText w:val="%1.%2.%3.%4."/>
      <w:lvlJc w:val="left"/>
      <w:pPr>
        <w:ind w:left="1824" w:hanging="744"/>
      </w:pPr>
      <w:rPr>
        <w:rFonts w:hint="default"/>
        <w:b w:val="0"/>
        <w:bCs w:val="0"/>
        <w:color w:val="auto"/>
      </w:rPr>
    </w:lvl>
    <w:lvl w:ilvl="4">
      <w:start w:val="1"/>
      <w:numFmt w:val="decimal"/>
      <w:lvlText w:val="%1.%2.%3.%4.%5."/>
      <w:lvlJc w:val="left"/>
      <w:pPr>
        <w:ind w:left="2400" w:hanging="960"/>
      </w:pPr>
      <w:rPr>
        <w:rFonts w:hint="default"/>
        <w:b w:val="0"/>
        <w:bCs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EDF60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1A306E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C635815"/>
    <w:multiLevelType w:val="multilevel"/>
    <w:tmpl w:val="CB04F7D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EFB639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03E3C8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9A0395F"/>
    <w:multiLevelType w:val="multilevel"/>
    <w:tmpl w:val="21369FF4"/>
    <w:lvl w:ilvl="0">
      <w:start w:val="1"/>
      <w:numFmt w:val="decimal"/>
      <w:lvlText w:val="%1."/>
      <w:lvlJc w:val="left"/>
      <w:pPr>
        <w:ind w:left="360" w:hanging="360"/>
      </w:pPr>
      <w:rPr>
        <w:rFonts w:hint="default"/>
        <w:b w:val="0"/>
        <w:bCs w:val="0"/>
      </w:rPr>
    </w:lvl>
    <w:lvl w:ilvl="1">
      <w:start w:val="1"/>
      <w:numFmt w:val="decimal"/>
      <w:lvlText w:val="%1.%2."/>
      <w:lvlJc w:val="left"/>
      <w:pPr>
        <w:ind w:left="936" w:hanging="576"/>
      </w:pPr>
      <w:rPr>
        <w:rFonts w:hint="default"/>
        <w:b w:val="0"/>
        <w:bCs w:val="0"/>
      </w:rPr>
    </w:lvl>
    <w:lvl w:ilvl="2">
      <w:start w:val="1"/>
      <w:numFmt w:val="decimal"/>
      <w:lvlText w:val="%1.%2.%3."/>
      <w:lvlJc w:val="left"/>
      <w:pPr>
        <w:ind w:left="1344" w:hanging="624"/>
      </w:pPr>
      <w:rPr>
        <w:rFonts w:hint="default"/>
        <w:b w:val="0"/>
        <w:bCs w:val="0"/>
      </w:rPr>
    </w:lvl>
    <w:lvl w:ilvl="3">
      <w:start w:val="1"/>
      <w:numFmt w:val="decimal"/>
      <w:lvlText w:val="%1.%2.%3.%4."/>
      <w:lvlJc w:val="left"/>
      <w:pPr>
        <w:ind w:left="1824" w:hanging="744"/>
      </w:pPr>
      <w:rPr>
        <w:rFonts w:hint="default"/>
        <w:b w:val="0"/>
        <w:bCs w:val="0"/>
      </w:rPr>
    </w:lvl>
    <w:lvl w:ilvl="4">
      <w:start w:val="1"/>
      <w:numFmt w:val="decimal"/>
      <w:lvlText w:val="%1.%2.%3.%4.%5."/>
      <w:lvlJc w:val="left"/>
      <w:pPr>
        <w:ind w:left="2400" w:hanging="960"/>
      </w:pPr>
      <w:rPr>
        <w:rFonts w:hint="default"/>
        <w:b w:val="0"/>
        <w:bCs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9D70A2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BBB063D"/>
    <w:multiLevelType w:val="hybridMultilevel"/>
    <w:tmpl w:val="F14A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7152315">
    <w:abstractNumId w:val="8"/>
  </w:num>
  <w:num w:numId="2" w16cid:durableId="236942323">
    <w:abstractNumId w:val="10"/>
  </w:num>
  <w:num w:numId="3" w16cid:durableId="1353990777">
    <w:abstractNumId w:val="9"/>
  </w:num>
  <w:num w:numId="4" w16cid:durableId="481311670">
    <w:abstractNumId w:val="12"/>
  </w:num>
  <w:num w:numId="5" w16cid:durableId="1558394374">
    <w:abstractNumId w:val="29"/>
  </w:num>
  <w:num w:numId="6" w16cid:durableId="1034891863">
    <w:abstractNumId w:val="21"/>
  </w:num>
  <w:num w:numId="7" w16cid:durableId="2063094420">
    <w:abstractNumId w:val="15"/>
  </w:num>
  <w:num w:numId="8" w16cid:durableId="1469010742">
    <w:abstractNumId w:val="1"/>
  </w:num>
  <w:num w:numId="9" w16cid:durableId="887493289">
    <w:abstractNumId w:val="5"/>
  </w:num>
  <w:num w:numId="10" w16cid:durableId="588664030">
    <w:abstractNumId w:val="17"/>
  </w:num>
  <w:num w:numId="11" w16cid:durableId="516966738">
    <w:abstractNumId w:val="6"/>
  </w:num>
  <w:num w:numId="12" w16cid:durableId="802700236">
    <w:abstractNumId w:val="13"/>
  </w:num>
  <w:num w:numId="13" w16cid:durableId="1556505370">
    <w:abstractNumId w:val="7"/>
  </w:num>
  <w:num w:numId="14" w16cid:durableId="898059480">
    <w:abstractNumId w:val="4"/>
  </w:num>
  <w:num w:numId="15" w16cid:durableId="1640069698">
    <w:abstractNumId w:val="0"/>
  </w:num>
  <w:num w:numId="16" w16cid:durableId="570579900">
    <w:abstractNumId w:val="3"/>
  </w:num>
  <w:num w:numId="17" w16cid:durableId="1620185688">
    <w:abstractNumId w:val="2"/>
  </w:num>
  <w:num w:numId="18" w16cid:durableId="241254279">
    <w:abstractNumId w:val="26"/>
  </w:num>
  <w:num w:numId="19" w16cid:durableId="518197604">
    <w:abstractNumId w:val="34"/>
  </w:num>
  <w:num w:numId="20" w16cid:durableId="348533416">
    <w:abstractNumId w:val="16"/>
  </w:num>
  <w:num w:numId="21" w16cid:durableId="1878734389">
    <w:abstractNumId w:val="33"/>
  </w:num>
  <w:num w:numId="22" w16cid:durableId="1880892821">
    <w:abstractNumId w:val="27"/>
  </w:num>
  <w:num w:numId="23" w16cid:durableId="2134008845">
    <w:abstractNumId w:val="20"/>
  </w:num>
  <w:num w:numId="24" w16cid:durableId="1654289392">
    <w:abstractNumId w:val="19"/>
  </w:num>
  <w:num w:numId="25" w16cid:durableId="1099569502">
    <w:abstractNumId w:val="23"/>
  </w:num>
  <w:num w:numId="26" w16cid:durableId="63722925">
    <w:abstractNumId w:val="25"/>
  </w:num>
  <w:num w:numId="27" w16cid:durableId="50393320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3623006">
    <w:abstractNumId w:val="35"/>
  </w:num>
  <w:num w:numId="29" w16cid:durableId="473180410">
    <w:abstractNumId w:val="18"/>
  </w:num>
  <w:num w:numId="30" w16cid:durableId="364789901">
    <w:abstractNumId w:val="11"/>
  </w:num>
  <w:num w:numId="31" w16cid:durableId="354959716">
    <w:abstractNumId w:val="32"/>
  </w:num>
  <w:num w:numId="32" w16cid:durableId="1806921287">
    <w:abstractNumId w:val="24"/>
  </w:num>
  <w:num w:numId="33" w16cid:durableId="1483228461">
    <w:abstractNumId w:val="22"/>
  </w:num>
  <w:num w:numId="34" w16cid:durableId="1497189854">
    <w:abstractNumId w:val="28"/>
  </w:num>
  <w:num w:numId="35" w16cid:durableId="510729146">
    <w:abstractNumId w:val="31"/>
  </w:num>
  <w:num w:numId="36" w16cid:durableId="1775663409">
    <w:abstractNumId w:val="3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32B0"/>
    <w:rsid w:val="00001835"/>
    <w:rsid w:val="00001F21"/>
    <w:rsid w:val="00002DFF"/>
    <w:rsid w:val="000032D1"/>
    <w:rsid w:val="00003861"/>
    <w:rsid w:val="00007109"/>
    <w:rsid w:val="000103AE"/>
    <w:rsid w:val="00010494"/>
    <w:rsid w:val="00011D33"/>
    <w:rsid w:val="000127DE"/>
    <w:rsid w:val="00012C02"/>
    <w:rsid w:val="00014F0D"/>
    <w:rsid w:val="000173FD"/>
    <w:rsid w:val="0001776B"/>
    <w:rsid w:val="00022568"/>
    <w:rsid w:val="0002405C"/>
    <w:rsid w:val="00025EED"/>
    <w:rsid w:val="000262D9"/>
    <w:rsid w:val="000267A5"/>
    <w:rsid w:val="00027133"/>
    <w:rsid w:val="00030CBD"/>
    <w:rsid w:val="0003260B"/>
    <w:rsid w:val="00032F56"/>
    <w:rsid w:val="00043071"/>
    <w:rsid w:val="00045AB1"/>
    <w:rsid w:val="0004665D"/>
    <w:rsid w:val="000500D6"/>
    <w:rsid w:val="00050CBD"/>
    <w:rsid w:val="00053372"/>
    <w:rsid w:val="000546C3"/>
    <w:rsid w:val="0006605F"/>
    <w:rsid w:val="00071CD0"/>
    <w:rsid w:val="000748F3"/>
    <w:rsid w:val="00075656"/>
    <w:rsid w:val="0007612C"/>
    <w:rsid w:val="00081DAF"/>
    <w:rsid w:val="000868C1"/>
    <w:rsid w:val="000917E6"/>
    <w:rsid w:val="00092AFF"/>
    <w:rsid w:val="00093CCE"/>
    <w:rsid w:val="00093E26"/>
    <w:rsid w:val="00096768"/>
    <w:rsid w:val="000B133C"/>
    <w:rsid w:val="000B6AD7"/>
    <w:rsid w:val="000B6D3D"/>
    <w:rsid w:val="000B7F25"/>
    <w:rsid w:val="000C0FEC"/>
    <w:rsid w:val="000C4679"/>
    <w:rsid w:val="000C651A"/>
    <w:rsid w:val="000C6A85"/>
    <w:rsid w:val="000C6D6C"/>
    <w:rsid w:val="000D0707"/>
    <w:rsid w:val="000D0E01"/>
    <w:rsid w:val="000D3C42"/>
    <w:rsid w:val="000D41F5"/>
    <w:rsid w:val="000D4EAF"/>
    <w:rsid w:val="000D7CC8"/>
    <w:rsid w:val="000E033F"/>
    <w:rsid w:val="000E4691"/>
    <w:rsid w:val="000F150D"/>
    <w:rsid w:val="000F4246"/>
    <w:rsid w:val="001005EE"/>
    <w:rsid w:val="0010195B"/>
    <w:rsid w:val="00101FED"/>
    <w:rsid w:val="00104D45"/>
    <w:rsid w:val="00105685"/>
    <w:rsid w:val="00107355"/>
    <w:rsid w:val="00110A1A"/>
    <w:rsid w:val="0011221E"/>
    <w:rsid w:val="00116472"/>
    <w:rsid w:val="00117CC4"/>
    <w:rsid w:val="00120F0D"/>
    <w:rsid w:val="00121170"/>
    <w:rsid w:val="00121CD7"/>
    <w:rsid w:val="00126F76"/>
    <w:rsid w:val="00126F94"/>
    <w:rsid w:val="001315CC"/>
    <w:rsid w:val="00131C20"/>
    <w:rsid w:val="00132955"/>
    <w:rsid w:val="001332C6"/>
    <w:rsid w:val="00134AB5"/>
    <w:rsid w:val="00135276"/>
    <w:rsid w:val="00150913"/>
    <w:rsid w:val="00153917"/>
    <w:rsid w:val="00155FC7"/>
    <w:rsid w:val="00160554"/>
    <w:rsid w:val="00162232"/>
    <w:rsid w:val="00165AD1"/>
    <w:rsid w:val="00165BFF"/>
    <w:rsid w:val="00166A7F"/>
    <w:rsid w:val="001672FD"/>
    <w:rsid w:val="00170340"/>
    <w:rsid w:val="001710FF"/>
    <w:rsid w:val="00173E82"/>
    <w:rsid w:val="001816C2"/>
    <w:rsid w:val="00182A74"/>
    <w:rsid w:val="001837B3"/>
    <w:rsid w:val="001871FB"/>
    <w:rsid w:val="0019151A"/>
    <w:rsid w:val="00191F8C"/>
    <w:rsid w:val="001926E3"/>
    <w:rsid w:val="0019290E"/>
    <w:rsid w:val="001945BE"/>
    <w:rsid w:val="001953C7"/>
    <w:rsid w:val="00195466"/>
    <w:rsid w:val="00195935"/>
    <w:rsid w:val="00197929"/>
    <w:rsid w:val="001A0111"/>
    <w:rsid w:val="001A6087"/>
    <w:rsid w:val="001B31BE"/>
    <w:rsid w:val="001B3212"/>
    <w:rsid w:val="001B4D3A"/>
    <w:rsid w:val="001B56D2"/>
    <w:rsid w:val="001C042D"/>
    <w:rsid w:val="001C0BCA"/>
    <w:rsid w:val="001C1A3C"/>
    <w:rsid w:val="001C4AE7"/>
    <w:rsid w:val="001D5DEE"/>
    <w:rsid w:val="001E0F22"/>
    <w:rsid w:val="001E19DA"/>
    <w:rsid w:val="001E28C0"/>
    <w:rsid w:val="001E28FA"/>
    <w:rsid w:val="001E4C04"/>
    <w:rsid w:val="001E546A"/>
    <w:rsid w:val="001F0375"/>
    <w:rsid w:val="001F0E7B"/>
    <w:rsid w:val="001F36C4"/>
    <w:rsid w:val="001F3F19"/>
    <w:rsid w:val="001F55A0"/>
    <w:rsid w:val="001F66DC"/>
    <w:rsid w:val="001F6E48"/>
    <w:rsid w:val="001F74DC"/>
    <w:rsid w:val="002000F0"/>
    <w:rsid w:val="00200D9C"/>
    <w:rsid w:val="00200DAA"/>
    <w:rsid w:val="002026CC"/>
    <w:rsid w:val="00206DDD"/>
    <w:rsid w:val="00214D7F"/>
    <w:rsid w:val="002205A8"/>
    <w:rsid w:val="00224CF9"/>
    <w:rsid w:val="00225C7D"/>
    <w:rsid w:val="0022674D"/>
    <w:rsid w:val="002304FB"/>
    <w:rsid w:val="00231351"/>
    <w:rsid w:val="002332B0"/>
    <w:rsid w:val="00236028"/>
    <w:rsid w:val="0023672D"/>
    <w:rsid w:val="0023725C"/>
    <w:rsid w:val="00237B99"/>
    <w:rsid w:val="00237D39"/>
    <w:rsid w:val="00241A63"/>
    <w:rsid w:val="0024595D"/>
    <w:rsid w:val="0024775F"/>
    <w:rsid w:val="00254EE2"/>
    <w:rsid w:val="002553AE"/>
    <w:rsid w:val="00256784"/>
    <w:rsid w:val="0025787E"/>
    <w:rsid w:val="00260292"/>
    <w:rsid w:val="0026359A"/>
    <w:rsid w:val="0026742F"/>
    <w:rsid w:val="002747A9"/>
    <w:rsid w:val="00282189"/>
    <w:rsid w:val="00282EDB"/>
    <w:rsid w:val="00294243"/>
    <w:rsid w:val="002955B6"/>
    <w:rsid w:val="002A03AC"/>
    <w:rsid w:val="002A22F7"/>
    <w:rsid w:val="002A3AF9"/>
    <w:rsid w:val="002A3F43"/>
    <w:rsid w:val="002A484A"/>
    <w:rsid w:val="002A5260"/>
    <w:rsid w:val="002A7419"/>
    <w:rsid w:val="002B3B1B"/>
    <w:rsid w:val="002C032E"/>
    <w:rsid w:val="002C09D1"/>
    <w:rsid w:val="002C3C3F"/>
    <w:rsid w:val="002C4FD8"/>
    <w:rsid w:val="002D1D23"/>
    <w:rsid w:val="002D3A4A"/>
    <w:rsid w:val="002D721A"/>
    <w:rsid w:val="002D7EA8"/>
    <w:rsid w:val="002E36B9"/>
    <w:rsid w:val="002E3A31"/>
    <w:rsid w:val="002F3E44"/>
    <w:rsid w:val="002F4043"/>
    <w:rsid w:val="00302C28"/>
    <w:rsid w:val="00306D80"/>
    <w:rsid w:val="00310F7F"/>
    <w:rsid w:val="00312CC0"/>
    <w:rsid w:val="00316AA2"/>
    <w:rsid w:val="00321E5B"/>
    <w:rsid w:val="00322CA3"/>
    <w:rsid w:val="00323D7A"/>
    <w:rsid w:val="00324CCB"/>
    <w:rsid w:val="00324DF7"/>
    <w:rsid w:val="003273EC"/>
    <w:rsid w:val="003316E2"/>
    <w:rsid w:val="00334964"/>
    <w:rsid w:val="00335592"/>
    <w:rsid w:val="00343CCB"/>
    <w:rsid w:val="003441B1"/>
    <w:rsid w:val="0034433E"/>
    <w:rsid w:val="00346A3D"/>
    <w:rsid w:val="00354939"/>
    <w:rsid w:val="0035645E"/>
    <w:rsid w:val="00360C25"/>
    <w:rsid w:val="00361EDF"/>
    <w:rsid w:val="003640F5"/>
    <w:rsid w:val="00366C74"/>
    <w:rsid w:val="003676C5"/>
    <w:rsid w:val="00371489"/>
    <w:rsid w:val="00371A1B"/>
    <w:rsid w:val="00372C16"/>
    <w:rsid w:val="00373540"/>
    <w:rsid w:val="003756C4"/>
    <w:rsid w:val="00385A2C"/>
    <w:rsid w:val="00385C07"/>
    <w:rsid w:val="00386697"/>
    <w:rsid w:val="00387CE5"/>
    <w:rsid w:val="00390FA2"/>
    <w:rsid w:val="00391C59"/>
    <w:rsid w:val="00391EDB"/>
    <w:rsid w:val="00391F78"/>
    <w:rsid w:val="00392EBB"/>
    <w:rsid w:val="00393DAF"/>
    <w:rsid w:val="00396523"/>
    <w:rsid w:val="003A041C"/>
    <w:rsid w:val="003A5DDA"/>
    <w:rsid w:val="003B073B"/>
    <w:rsid w:val="003B0779"/>
    <w:rsid w:val="003B2692"/>
    <w:rsid w:val="003B3BB2"/>
    <w:rsid w:val="003B54E6"/>
    <w:rsid w:val="003D4AF4"/>
    <w:rsid w:val="003D64B5"/>
    <w:rsid w:val="003D65E4"/>
    <w:rsid w:val="003E0B54"/>
    <w:rsid w:val="003E4273"/>
    <w:rsid w:val="003E6FCA"/>
    <w:rsid w:val="003F03FB"/>
    <w:rsid w:val="003F1908"/>
    <w:rsid w:val="003F2498"/>
    <w:rsid w:val="003F7A44"/>
    <w:rsid w:val="003F7FD2"/>
    <w:rsid w:val="004021CC"/>
    <w:rsid w:val="00403088"/>
    <w:rsid w:val="00405989"/>
    <w:rsid w:val="0041140F"/>
    <w:rsid w:val="00416589"/>
    <w:rsid w:val="00416FA6"/>
    <w:rsid w:val="00420FD4"/>
    <w:rsid w:val="00421B94"/>
    <w:rsid w:val="00421F25"/>
    <w:rsid w:val="0042425E"/>
    <w:rsid w:val="00425E17"/>
    <w:rsid w:val="00427331"/>
    <w:rsid w:val="00427D9E"/>
    <w:rsid w:val="004305A7"/>
    <w:rsid w:val="00432405"/>
    <w:rsid w:val="00433F29"/>
    <w:rsid w:val="004349D8"/>
    <w:rsid w:val="004374C9"/>
    <w:rsid w:val="00441CE2"/>
    <w:rsid w:val="00444EE6"/>
    <w:rsid w:val="004533FD"/>
    <w:rsid w:val="00455E83"/>
    <w:rsid w:val="004577BE"/>
    <w:rsid w:val="00462ED1"/>
    <w:rsid w:val="00464743"/>
    <w:rsid w:val="00473A8B"/>
    <w:rsid w:val="00480F11"/>
    <w:rsid w:val="0048467B"/>
    <w:rsid w:val="0048531A"/>
    <w:rsid w:val="00495750"/>
    <w:rsid w:val="00497F9A"/>
    <w:rsid w:val="004A5235"/>
    <w:rsid w:val="004A6F37"/>
    <w:rsid w:val="004A7DB2"/>
    <w:rsid w:val="004B005A"/>
    <w:rsid w:val="004B0DD5"/>
    <w:rsid w:val="004B1617"/>
    <w:rsid w:val="004C1639"/>
    <w:rsid w:val="004D090B"/>
    <w:rsid w:val="004D12C9"/>
    <w:rsid w:val="004D28EF"/>
    <w:rsid w:val="004D6027"/>
    <w:rsid w:val="004E08C6"/>
    <w:rsid w:val="004E262E"/>
    <w:rsid w:val="004E2E25"/>
    <w:rsid w:val="004E4F36"/>
    <w:rsid w:val="004E7010"/>
    <w:rsid w:val="004F162C"/>
    <w:rsid w:val="00510CE5"/>
    <w:rsid w:val="00512EF2"/>
    <w:rsid w:val="00514D1B"/>
    <w:rsid w:val="005160FE"/>
    <w:rsid w:val="005167FD"/>
    <w:rsid w:val="00520261"/>
    <w:rsid w:val="00520B13"/>
    <w:rsid w:val="00522BD3"/>
    <w:rsid w:val="00523103"/>
    <w:rsid w:val="00526CD3"/>
    <w:rsid w:val="0053460C"/>
    <w:rsid w:val="00536AD8"/>
    <w:rsid w:val="00541BB7"/>
    <w:rsid w:val="00545C2D"/>
    <w:rsid w:val="00546D06"/>
    <w:rsid w:val="0055380E"/>
    <w:rsid w:val="0055402B"/>
    <w:rsid w:val="00554F54"/>
    <w:rsid w:val="00554F79"/>
    <w:rsid w:val="00555661"/>
    <w:rsid w:val="0055655E"/>
    <w:rsid w:val="00556D6D"/>
    <w:rsid w:val="005606AE"/>
    <w:rsid w:val="00562612"/>
    <w:rsid w:val="00563520"/>
    <w:rsid w:val="0056552D"/>
    <w:rsid w:val="00565E79"/>
    <w:rsid w:val="00571847"/>
    <w:rsid w:val="0057520D"/>
    <w:rsid w:val="00581DD9"/>
    <w:rsid w:val="005829CA"/>
    <w:rsid w:val="00587282"/>
    <w:rsid w:val="00587C95"/>
    <w:rsid w:val="00591528"/>
    <w:rsid w:val="00591ECA"/>
    <w:rsid w:val="0059393D"/>
    <w:rsid w:val="00595E90"/>
    <w:rsid w:val="00596203"/>
    <w:rsid w:val="0059629F"/>
    <w:rsid w:val="005970EE"/>
    <w:rsid w:val="005A31E2"/>
    <w:rsid w:val="005A50F6"/>
    <w:rsid w:val="005A7077"/>
    <w:rsid w:val="005B0A26"/>
    <w:rsid w:val="005B0D6C"/>
    <w:rsid w:val="005B2E79"/>
    <w:rsid w:val="005B52BE"/>
    <w:rsid w:val="005C041E"/>
    <w:rsid w:val="005C156A"/>
    <w:rsid w:val="005C5FD2"/>
    <w:rsid w:val="005C615C"/>
    <w:rsid w:val="005D2772"/>
    <w:rsid w:val="005E407E"/>
    <w:rsid w:val="005E676E"/>
    <w:rsid w:val="005E79D8"/>
    <w:rsid w:val="005F6D6C"/>
    <w:rsid w:val="00600148"/>
    <w:rsid w:val="006008AD"/>
    <w:rsid w:val="00601439"/>
    <w:rsid w:val="00602A8F"/>
    <w:rsid w:val="00606022"/>
    <w:rsid w:val="006063A1"/>
    <w:rsid w:val="006073C0"/>
    <w:rsid w:val="00610C2C"/>
    <w:rsid w:val="00611B57"/>
    <w:rsid w:val="00616FB0"/>
    <w:rsid w:val="0062029B"/>
    <w:rsid w:val="006237BB"/>
    <w:rsid w:val="006253FE"/>
    <w:rsid w:val="00627E49"/>
    <w:rsid w:val="00631A19"/>
    <w:rsid w:val="006331CE"/>
    <w:rsid w:val="0064192F"/>
    <w:rsid w:val="006431ED"/>
    <w:rsid w:val="00643422"/>
    <w:rsid w:val="00643CFC"/>
    <w:rsid w:val="006440B9"/>
    <w:rsid w:val="006514C9"/>
    <w:rsid w:val="00652C89"/>
    <w:rsid w:val="006723E8"/>
    <w:rsid w:val="00674D0D"/>
    <w:rsid w:val="006755BF"/>
    <w:rsid w:val="00676EA9"/>
    <w:rsid w:val="006802A6"/>
    <w:rsid w:val="00681908"/>
    <w:rsid w:val="00685AFA"/>
    <w:rsid w:val="00685B24"/>
    <w:rsid w:val="0069157E"/>
    <w:rsid w:val="00693553"/>
    <w:rsid w:val="00693EB3"/>
    <w:rsid w:val="006B048E"/>
    <w:rsid w:val="006B16C4"/>
    <w:rsid w:val="006B5DDF"/>
    <w:rsid w:val="006B608D"/>
    <w:rsid w:val="006B6DE8"/>
    <w:rsid w:val="006B7E7A"/>
    <w:rsid w:val="006C65B7"/>
    <w:rsid w:val="006C6EB7"/>
    <w:rsid w:val="006C7C1E"/>
    <w:rsid w:val="006D3028"/>
    <w:rsid w:val="006D3DB2"/>
    <w:rsid w:val="006D42EE"/>
    <w:rsid w:val="006D529B"/>
    <w:rsid w:val="006E0AB1"/>
    <w:rsid w:val="006E2FE2"/>
    <w:rsid w:val="006E6329"/>
    <w:rsid w:val="006E6BCB"/>
    <w:rsid w:val="006E7121"/>
    <w:rsid w:val="006F168D"/>
    <w:rsid w:val="006F1811"/>
    <w:rsid w:val="006F23A7"/>
    <w:rsid w:val="006F25EC"/>
    <w:rsid w:val="006F4E87"/>
    <w:rsid w:val="006F53DC"/>
    <w:rsid w:val="00704164"/>
    <w:rsid w:val="00705AD2"/>
    <w:rsid w:val="007060CC"/>
    <w:rsid w:val="0071019A"/>
    <w:rsid w:val="00710782"/>
    <w:rsid w:val="0072120B"/>
    <w:rsid w:val="007225D8"/>
    <w:rsid w:val="007254CD"/>
    <w:rsid w:val="00727638"/>
    <w:rsid w:val="007306AF"/>
    <w:rsid w:val="00732FA5"/>
    <w:rsid w:val="00733235"/>
    <w:rsid w:val="00733882"/>
    <w:rsid w:val="00733D81"/>
    <w:rsid w:val="00735E78"/>
    <w:rsid w:val="00741955"/>
    <w:rsid w:val="0074318C"/>
    <w:rsid w:val="0074721B"/>
    <w:rsid w:val="00750815"/>
    <w:rsid w:val="00753271"/>
    <w:rsid w:val="00760144"/>
    <w:rsid w:val="00764889"/>
    <w:rsid w:val="00770331"/>
    <w:rsid w:val="00770917"/>
    <w:rsid w:val="00770AA1"/>
    <w:rsid w:val="00775E92"/>
    <w:rsid w:val="00776BAE"/>
    <w:rsid w:val="00782B82"/>
    <w:rsid w:val="00787E94"/>
    <w:rsid w:val="00787F6E"/>
    <w:rsid w:val="0079161F"/>
    <w:rsid w:val="007933B6"/>
    <w:rsid w:val="00794C5D"/>
    <w:rsid w:val="00795142"/>
    <w:rsid w:val="007B149C"/>
    <w:rsid w:val="007B2104"/>
    <w:rsid w:val="007B4ADE"/>
    <w:rsid w:val="007C46BD"/>
    <w:rsid w:val="007C5638"/>
    <w:rsid w:val="007C5793"/>
    <w:rsid w:val="007C58E4"/>
    <w:rsid w:val="007C6435"/>
    <w:rsid w:val="007D5F38"/>
    <w:rsid w:val="007D68BA"/>
    <w:rsid w:val="007D6CF5"/>
    <w:rsid w:val="007E78BE"/>
    <w:rsid w:val="007F24B6"/>
    <w:rsid w:val="007F3E8D"/>
    <w:rsid w:val="008002B5"/>
    <w:rsid w:val="00804C85"/>
    <w:rsid w:val="00805E3A"/>
    <w:rsid w:val="00806DF6"/>
    <w:rsid w:val="00810024"/>
    <w:rsid w:val="00810D4B"/>
    <w:rsid w:val="00816A52"/>
    <w:rsid w:val="0082350D"/>
    <w:rsid w:val="00823995"/>
    <w:rsid w:val="00824575"/>
    <w:rsid w:val="008245E6"/>
    <w:rsid w:val="0082583D"/>
    <w:rsid w:val="00827C60"/>
    <w:rsid w:val="00833856"/>
    <w:rsid w:val="00833EB8"/>
    <w:rsid w:val="00834293"/>
    <w:rsid w:val="00835489"/>
    <w:rsid w:val="008417B8"/>
    <w:rsid w:val="00843501"/>
    <w:rsid w:val="008444CF"/>
    <w:rsid w:val="00846699"/>
    <w:rsid w:val="00850433"/>
    <w:rsid w:val="00855124"/>
    <w:rsid w:val="00856588"/>
    <w:rsid w:val="00860540"/>
    <w:rsid w:val="00860B1F"/>
    <w:rsid w:val="0086266C"/>
    <w:rsid w:val="008701BF"/>
    <w:rsid w:val="00870D0A"/>
    <w:rsid w:val="00872A2F"/>
    <w:rsid w:val="00873CE9"/>
    <w:rsid w:val="00875351"/>
    <w:rsid w:val="00882B08"/>
    <w:rsid w:val="00884160"/>
    <w:rsid w:val="00884B50"/>
    <w:rsid w:val="00886B0E"/>
    <w:rsid w:val="0089094B"/>
    <w:rsid w:val="00894652"/>
    <w:rsid w:val="00894C27"/>
    <w:rsid w:val="00897676"/>
    <w:rsid w:val="00897986"/>
    <w:rsid w:val="008A6BC7"/>
    <w:rsid w:val="008B0EAE"/>
    <w:rsid w:val="008B147D"/>
    <w:rsid w:val="008B3607"/>
    <w:rsid w:val="008B4667"/>
    <w:rsid w:val="008B4EBD"/>
    <w:rsid w:val="008C068C"/>
    <w:rsid w:val="008C5936"/>
    <w:rsid w:val="008C7A9F"/>
    <w:rsid w:val="008C7DDC"/>
    <w:rsid w:val="008D1C84"/>
    <w:rsid w:val="008D3AC9"/>
    <w:rsid w:val="008E05BF"/>
    <w:rsid w:val="008E199B"/>
    <w:rsid w:val="008E5D06"/>
    <w:rsid w:val="008E6560"/>
    <w:rsid w:val="008E76F3"/>
    <w:rsid w:val="008F0C70"/>
    <w:rsid w:val="008F14B2"/>
    <w:rsid w:val="008F3042"/>
    <w:rsid w:val="008F3B4F"/>
    <w:rsid w:val="008F797F"/>
    <w:rsid w:val="00900C3F"/>
    <w:rsid w:val="0090261E"/>
    <w:rsid w:val="00902B5F"/>
    <w:rsid w:val="00905A20"/>
    <w:rsid w:val="00910283"/>
    <w:rsid w:val="009129F9"/>
    <w:rsid w:val="009134B9"/>
    <w:rsid w:val="00916864"/>
    <w:rsid w:val="00916CE8"/>
    <w:rsid w:val="009213B2"/>
    <w:rsid w:val="00921DB4"/>
    <w:rsid w:val="009237FD"/>
    <w:rsid w:val="00926B36"/>
    <w:rsid w:val="0094122D"/>
    <w:rsid w:val="00946A47"/>
    <w:rsid w:val="009522B4"/>
    <w:rsid w:val="00953B39"/>
    <w:rsid w:val="009571A6"/>
    <w:rsid w:val="00961344"/>
    <w:rsid w:val="009617C2"/>
    <w:rsid w:val="00961C16"/>
    <w:rsid w:val="0096362F"/>
    <w:rsid w:val="009645BE"/>
    <w:rsid w:val="00966C51"/>
    <w:rsid w:val="00967D55"/>
    <w:rsid w:val="00971016"/>
    <w:rsid w:val="0097713C"/>
    <w:rsid w:val="009777D9"/>
    <w:rsid w:val="009779EF"/>
    <w:rsid w:val="00981F5A"/>
    <w:rsid w:val="00990266"/>
    <w:rsid w:val="0099199F"/>
    <w:rsid w:val="00995560"/>
    <w:rsid w:val="00996A3C"/>
    <w:rsid w:val="00997112"/>
    <w:rsid w:val="009A355E"/>
    <w:rsid w:val="009A3DA1"/>
    <w:rsid w:val="009A67E9"/>
    <w:rsid w:val="009B001A"/>
    <w:rsid w:val="009B3BC5"/>
    <w:rsid w:val="009B46DE"/>
    <w:rsid w:val="009B5128"/>
    <w:rsid w:val="009B7406"/>
    <w:rsid w:val="009B7C68"/>
    <w:rsid w:val="009C3C08"/>
    <w:rsid w:val="009C7752"/>
    <w:rsid w:val="009D44FB"/>
    <w:rsid w:val="009D4501"/>
    <w:rsid w:val="009D7BCF"/>
    <w:rsid w:val="009E4465"/>
    <w:rsid w:val="009E7FD3"/>
    <w:rsid w:val="009F712F"/>
    <w:rsid w:val="00A00495"/>
    <w:rsid w:val="00A0737D"/>
    <w:rsid w:val="00A10135"/>
    <w:rsid w:val="00A16B1A"/>
    <w:rsid w:val="00A20954"/>
    <w:rsid w:val="00A213E6"/>
    <w:rsid w:val="00A22952"/>
    <w:rsid w:val="00A2337D"/>
    <w:rsid w:val="00A30B20"/>
    <w:rsid w:val="00A30EA3"/>
    <w:rsid w:val="00A34E69"/>
    <w:rsid w:val="00A37521"/>
    <w:rsid w:val="00A378B2"/>
    <w:rsid w:val="00A40D10"/>
    <w:rsid w:val="00A448B0"/>
    <w:rsid w:val="00A47C24"/>
    <w:rsid w:val="00A53B9A"/>
    <w:rsid w:val="00A55C2D"/>
    <w:rsid w:val="00A615D7"/>
    <w:rsid w:val="00A6185D"/>
    <w:rsid w:val="00A62BB1"/>
    <w:rsid w:val="00A6339C"/>
    <w:rsid w:val="00A64266"/>
    <w:rsid w:val="00A64A4C"/>
    <w:rsid w:val="00A64CED"/>
    <w:rsid w:val="00A65FFD"/>
    <w:rsid w:val="00A70196"/>
    <w:rsid w:val="00A7232C"/>
    <w:rsid w:val="00A77234"/>
    <w:rsid w:val="00A82995"/>
    <w:rsid w:val="00A83A9C"/>
    <w:rsid w:val="00A85230"/>
    <w:rsid w:val="00A87EEC"/>
    <w:rsid w:val="00A916A7"/>
    <w:rsid w:val="00A92FDF"/>
    <w:rsid w:val="00AA0787"/>
    <w:rsid w:val="00AA10DC"/>
    <w:rsid w:val="00AA10FD"/>
    <w:rsid w:val="00AA1A0E"/>
    <w:rsid w:val="00AA27DA"/>
    <w:rsid w:val="00AA686F"/>
    <w:rsid w:val="00AB4E66"/>
    <w:rsid w:val="00AC05E1"/>
    <w:rsid w:val="00AC18A9"/>
    <w:rsid w:val="00AC1C87"/>
    <w:rsid w:val="00AC24BC"/>
    <w:rsid w:val="00AC4001"/>
    <w:rsid w:val="00AC63B4"/>
    <w:rsid w:val="00AC7311"/>
    <w:rsid w:val="00AD092E"/>
    <w:rsid w:val="00AD2805"/>
    <w:rsid w:val="00AD3DB0"/>
    <w:rsid w:val="00AE0611"/>
    <w:rsid w:val="00AE2E92"/>
    <w:rsid w:val="00AE490F"/>
    <w:rsid w:val="00AE61D4"/>
    <w:rsid w:val="00AF1936"/>
    <w:rsid w:val="00AF2814"/>
    <w:rsid w:val="00AF2F07"/>
    <w:rsid w:val="00AF30D1"/>
    <w:rsid w:val="00AF601C"/>
    <w:rsid w:val="00AF752A"/>
    <w:rsid w:val="00B05047"/>
    <w:rsid w:val="00B05B5F"/>
    <w:rsid w:val="00B073C0"/>
    <w:rsid w:val="00B11B67"/>
    <w:rsid w:val="00B13673"/>
    <w:rsid w:val="00B15D35"/>
    <w:rsid w:val="00B17117"/>
    <w:rsid w:val="00B23852"/>
    <w:rsid w:val="00B24A71"/>
    <w:rsid w:val="00B24FE1"/>
    <w:rsid w:val="00B25E9B"/>
    <w:rsid w:val="00B26DED"/>
    <w:rsid w:val="00B3176B"/>
    <w:rsid w:val="00B32380"/>
    <w:rsid w:val="00B343DC"/>
    <w:rsid w:val="00B34FA5"/>
    <w:rsid w:val="00B353EA"/>
    <w:rsid w:val="00B37855"/>
    <w:rsid w:val="00B405A0"/>
    <w:rsid w:val="00B43E3D"/>
    <w:rsid w:val="00B44FF7"/>
    <w:rsid w:val="00B4604B"/>
    <w:rsid w:val="00B47B1B"/>
    <w:rsid w:val="00B51228"/>
    <w:rsid w:val="00B56685"/>
    <w:rsid w:val="00B64BE5"/>
    <w:rsid w:val="00B64C71"/>
    <w:rsid w:val="00B70371"/>
    <w:rsid w:val="00B71B6F"/>
    <w:rsid w:val="00B71C77"/>
    <w:rsid w:val="00B730AC"/>
    <w:rsid w:val="00B74F4C"/>
    <w:rsid w:val="00B763AF"/>
    <w:rsid w:val="00B76EF9"/>
    <w:rsid w:val="00B77EE9"/>
    <w:rsid w:val="00B81157"/>
    <w:rsid w:val="00B81D71"/>
    <w:rsid w:val="00B8233E"/>
    <w:rsid w:val="00B827E1"/>
    <w:rsid w:val="00B83E54"/>
    <w:rsid w:val="00B875FB"/>
    <w:rsid w:val="00B91D07"/>
    <w:rsid w:val="00B924D9"/>
    <w:rsid w:val="00B9344C"/>
    <w:rsid w:val="00B97BB7"/>
    <w:rsid w:val="00B97C04"/>
    <w:rsid w:val="00BA4B1D"/>
    <w:rsid w:val="00BA5DD4"/>
    <w:rsid w:val="00BB58F8"/>
    <w:rsid w:val="00BB5BAF"/>
    <w:rsid w:val="00BB5E79"/>
    <w:rsid w:val="00BB6138"/>
    <w:rsid w:val="00BC69E9"/>
    <w:rsid w:val="00BD1082"/>
    <w:rsid w:val="00BD1F25"/>
    <w:rsid w:val="00BD2FA2"/>
    <w:rsid w:val="00BD50DB"/>
    <w:rsid w:val="00BD6CE2"/>
    <w:rsid w:val="00BE3A28"/>
    <w:rsid w:val="00BE54BC"/>
    <w:rsid w:val="00BE5805"/>
    <w:rsid w:val="00BE6842"/>
    <w:rsid w:val="00BF2813"/>
    <w:rsid w:val="00BF2E4E"/>
    <w:rsid w:val="00BF6CBA"/>
    <w:rsid w:val="00C006CF"/>
    <w:rsid w:val="00C03206"/>
    <w:rsid w:val="00C04F12"/>
    <w:rsid w:val="00C06C85"/>
    <w:rsid w:val="00C078AF"/>
    <w:rsid w:val="00C1707F"/>
    <w:rsid w:val="00C20324"/>
    <w:rsid w:val="00C26E6A"/>
    <w:rsid w:val="00C402A9"/>
    <w:rsid w:val="00C40DFE"/>
    <w:rsid w:val="00C47071"/>
    <w:rsid w:val="00C47A2A"/>
    <w:rsid w:val="00C47F98"/>
    <w:rsid w:val="00C50DAC"/>
    <w:rsid w:val="00C531C0"/>
    <w:rsid w:val="00C535E6"/>
    <w:rsid w:val="00C551D3"/>
    <w:rsid w:val="00C559C1"/>
    <w:rsid w:val="00C63327"/>
    <w:rsid w:val="00C637DE"/>
    <w:rsid w:val="00C64FAB"/>
    <w:rsid w:val="00C651F1"/>
    <w:rsid w:val="00C656AA"/>
    <w:rsid w:val="00C6608C"/>
    <w:rsid w:val="00C7295C"/>
    <w:rsid w:val="00C7301C"/>
    <w:rsid w:val="00C760EC"/>
    <w:rsid w:val="00C77CB3"/>
    <w:rsid w:val="00C8046D"/>
    <w:rsid w:val="00C85C2A"/>
    <w:rsid w:val="00C915A9"/>
    <w:rsid w:val="00C92B49"/>
    <w:rsid w:val="00C92FB6"/>
    <w:rsid w:val="00CA1C86"/>
    <w:rsid w:val="00CA3175"/>
    <w:rsid w:val="00CA4581"/>
    <w:rsid w:val="00CB3246"/>
    <w:rsid w:val="00CB3760"/>
    <w:rsid w:val="00CC2016"/>
    <w:rsid w:val="00CC2C1F"/>
    <w:rsid w:val="00CC4236"/>
    <w:rsid w:val="00CC5C77"/>
    <w:rsid w:val="00CC7105"/>
    <w:rsid w:val="00CD0047"/>
    <w:rsid w:val="00CD4604"/>
    <w:rsid w:val="00CD4D8E"/>
    <w:rsid w:val="00CD5A43"/>
    <w:rsid w:val="00CE03EB"/>
    <w:rsid w:val="00CE58CC"/>
    <w:rsid w:val="00CE6438"/>
    <w:rsid w:val="00CF31DC"/>
    <w:rsid w:val="00CF5707"/>
    <w:rsid w:val="00D14E8A"/>
    <w:rsid w:val="00D243BE"/>
    <w:rsid w:val="00D254C6"/>
    <w:rsid w:val="00D25D0A"/>
    <w:rsid w:val="00D25D75"/>
    <w:rsid w:val="00D2791C"/>
    <w:rsid w:val="00D27D71"/>
    <w:rsid w:val="00D31C71"/>
    <w:rsid w:val="00D320FA"/>
    <w:rsid w:val="00D332D4"/>
    <w:rsid w:val="00D41B3C"/>
    <w:rsid w:val="00D41DDC"/>
    <w:rsid w:val="00D44573"/>
    <w:rsid w:val="00D468A9"/>
    <w:rsid w:val="00D46C8A"/>
    <w:rsid w:val="00D46DAF"/>
    <w:rsid w:val="00D50CDE"/>
    <w:rsid w:val="00D51E23"/>
    <w:rsid w:val="00D53931"/>
    <w:rsid w:val="00D53AF8"/>
    <w:rsid w:val="00D6204D"/>
    <w:rsid w:val="00D65A5C"/>
    <w:rsid w:val="00D666B4"/>
    <w:rsid w:val="00D67791"/>
    <w:rsid w:val="00D75A3E"/>
    <w:rsid w:val="00D805B2"/>
    <w:rsid w:val="00D807A4"/>
    <w:rsid w:val="00D8112C"/>
    <w:rsid w:val="00D81852"/>
    <w:rsid w:val="00D82406"/>
    <w:rsid w:val="00D83B69"/>
    <w:rsid w:val="00D85348"/>
    <w:rsid w:val="00DA085B"/>
    <w:rsid w:val="00DA170E"/>
    <w:rsid w:val="00DA2F98"/>
    <w:rsid w:val="00DA321A"/>
    <w:rsid w:val="00DA412F"/>
    <w:rsid w:val="00DA5B50"/>
    <w:rsid w:val="00DA749D"/>
    <w:rsid w:val="00DB05A9"/>
    <w:rsid w:val="00DB115D"/>
    <w:rsid w:val="00DB4B0B"/>
    <w:rsid w:val="00DB6237"/>
    <w:rsid w:val="00DC13FC"/>
    <w:rsid w:val="00DC1448"/>
    <w:rsid w:val="00DC2E72"/>
    <w:rsid w:val="00DC3281"/>
    <w:rsid w:val="00DC4192"/>
    <w:rsid w:val="00DC65B0"/>
    <w:rsid w:val="00DD06B7"/>
    <w:rsid w:val="00DD35C7"/>
    <w:rsid w:val="00DD3892"/>
    <w:rsid w:val="00DD3D87"/>
    <w:rsid w:val="00DD5435"/>
    <w:rsid w:val="00DE306F"/>
    <w:rsid w:val="00DE3F21"/>
    <w:rsid w:val="00DE6DF7"/>
    <w:rsid w:val="00DE755D"/>
    <w:rsid w:val="00DE77DA"/>
    <w:rsid w:val="00DE79BF"/>
    <w:rsid w:val="00DE7DAD"/>
    <w:rsid w:val="00DF2DF0"/>
    <w:rsid w:val="00DF6317"/>
    <w:rsid w:val="00E01A69"/>
    <w:rsid w:val="00E0424C"/>
    <w:rsid w:val="00E12347"/>
    <w:rsid w:val="00E1564E"/>
    <w:rsid w:val="00E157FF"/>
    <w:rsid w:val="00E16A3D"/>
    <w:rsid w:val="00E173BD"/>
    <w:rsid w:val="00E21416"/>
    <w:rsid w:val="00E231A8"/>
    <w:rsid w:val="00E309B6"/>
    <w:rsid w:val="00E327BB"/>
    <w:rsid w:val="00E35C7F"/>
    <w:rsid w:val="00E37237"/>
    <w:rsid w:val="00E3748B"/>
    <w:rsid w:val="00E37A70"/>
    <w:rsid w:val="00E44CCA"/>
    <w:rsid w:val="00E5069F"/>
    <w:rsid w:val="00E50DB3"/>
    <w:rsid w:val="00E5148C"/>
    <w:rsid w:val="00E55501"/>
    <w:rsid w:val="00E57EE6"/>
    <w:rsid w:val="00E64D1C"/>
    <w:rsid w:val="00E66904"/>
    <w:rsid w:val="00E66A96"/>
    <w:rsid w:val="00E8298B"/>
    <w:rsid w:val="00E83BD6"/>
    <w:rsid w:val="00E8651C"/>
    <w:rsid w:val="00E9004F"/>
    <w:rsid w:val="00E93452"/>
    <w:rsid w:val="00E95347"/>
    <w:rsid w:val="00E9625C"/>
    <w:rsid w:val="00E96531"/>
    <w:rsid w:val="00EA5356"/>
    <w:rsid w:val="00EA649F"/>
    <w:rsid w:val="00EB495C"/>
    <w:rsid w:val="00EB4E60"/>
    <w:rsid w:val="00EB77FB"/>
    <w:rsid w:val="00EC190E"/>
    <w:rsid w:val="00EC3CC6"/>
    <w:rsid w:val="00EC62EF"/>
    <w:rsid w:val="00EC6597"/>
    <w:rsid w:val="00EC673A"/>
    <w:rsid w:val="00ED2005"/>
    <w:rsid w:val="00ED400B"/>
    <w:rsid w:val="00EE2D07"/>
    <w:rsid w:val="00EF1817"/>
    <w:rsid w:val="00EF4826"/>
    <w:rsid w:val="00EF5B17"/>
    <w:rsid w:val="00EF6EAB"/>
    <w:rsid w:val="00EF7CDE"/>
    <w:rsid w:val="00F03AC9"/>
    <w:rsid w:val="00F2001C"/>
    <w:rsid w:val="00F20650"/>
    <w:rsid w:val="00F2136D"/>
    <w:rsid w:val="00F252A4"/>
    <w:rsid w:val="00F25B47"/>
    <w:rsid w:val="00F25FB2"/>
    <w:rsid w:val="00F27C8B"/>
    <w:rsid w:val="00F33FF3"/>
    <w:rsid w:val="00F36A68"/>
    <w:rsid w:val="00F3762E"/>
    <w:rsid w:val="00F4266C"/>
    <w:rsid w:val="00F46442"/>
    <w:rsid w:val="00F46A64"/>
    <w:rsid w:val="00F47992"/>
    <w:rsid w:val="00F524D4"/>
    <w:rsid w:val="00F52E28"/>
    <w:rsid w:val="00F5361E"/>
    <w:rsid w:val="00F56C7E"/>
    <w:rsid w:val="00F57EC7"/>
    <w:rsid w:val="00F617BE"/>
    <w:rsid w:val="00F62845"/>
    <w:rsid w:val="00F63FD2"/>
    <w:rsid w:val="00F6465F"/>
    <w:rsid w:val="00F6578A"/>
    <w:rsid w:val="00F6670D"/>
    <w:rsid w:val="00F675A3"/>
    <w:rsid w:val="00F71C30"/>
    <w:rsid w:val="00F728F0"/>
    <w:rsid w:val="00F75B87"/>
    <w:rsid w:val="00F82CC4"/>
    <w:rsid w:val="00F8768F"/>
    <w:rsid w:val="00F93233"/>
    <w:rsid w:val="00F9582E"/>
    <w:rsid w:val="00FA25F4"/>
    <w:rsid w:val="00FA3C0D"/>
    <w:rsid w:val="00FA45D4"/>
    <w:rsid w:val="00FA4CCF"/>
    <w:rsid w:val="00FB094F"/>
    <w:rsid w:val="00FB25AE"/>
    <w:rsid w:val="00FB57E8"/>
    <w:rsid w:val="00FB6876"/>
    <w:rsid w:val="00FB6E3A"/>
    <w:rsid w:val="00FC08F3"/>
    <w:rsid w:val="00FC1AF1"/>
    <w:rsid w:val="00FC3B4F"/>
    <w:rsid w:val="00FC572E"/>
    <w:rsid w:val="00FD085B"/>
    <w:rsid w:val="00FD29C0"/>
    <w:rsid w:val="00FD43CB"/>
    <w:rsid w:val="00FD4865"/>
    <w:rsid w:val="00FD72BF"/>
    <w:rsid w:val="00FE6A74"/>
    <w:rsid w:val="00FF47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DE667"/>
  <w15:docId w15:val="{EB976C18-3BEC-4990-9875-A88282902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32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2B0"/>
  </w:style>
  <w:style w:type="paragraph" w:styleId="Footer">
    <w:name w:val="footer"/>
    <w:basedOn w:val="Normal"/>
    <w:link w:val="FooterChar"/>
    <w:uiPriority w:val="99"/>
    <w:unhideWhenUsed/>
    <w:rsid w:val="002332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2B0"/>
  </w:style>
  <w:style w:type="paragraph" w:styleId="ListParagraph">
    <w:name w:val="List Paragraph"/>
    <w:basedOn w:val="Normal"/>
    <w:uiPriority w:val="34"/>
    <w:qFormat/>
    <w:rsid w:val="00F4266C"/>
    <w:pPr>
      <w:ind w:left="720"/>
      <w:contextualSpacing/>
    </w:pPr>
  </w:style>
  <w:style w:type="table" w:styleId="TableGrid">
    <w:name w:val="Table Grid"/>
    <w:basedOn w:val="TableNormal"/>
    <w:uiPriority w:val="39"/>
    <w:rsid w:val="00E86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30D1"/>
    <w:rPr>
      <w:color w:val="0563C1" w:themeColor="hyperlink"/>
      <w:u w:val="single"/>
    </w:rPr>
  </w:style>
  <w:style w:type="character" w:customStyle="1" w:styleId="UnresolvedMention1">
    <w:name w:val="Unresolved Mention1"/>
    <w:basedOn w:val="DefaultParagraphFont"/>
    <w:uiPriority w:val="99"/>
    <w:semiHidden/>
    <w:unhideWhenUsed/>
    <w:rsid w:val="00AF30D1"/>
    <w:rPr>
      <w:color w:val="605E5C"/>
      <w:shd w:val="clear" w:color="auto" w:fill="E1DFDD"/>
    </w:rPr>
  </w:style>
  <w:style w:type="character" w:styleId="FollowedHyperlink">
    <w:name w:val="FollowedHyperlink"/>
    <w:basedOn w:val="DefaultParagraphFont"/>
    <w:uiPriority w:val="99"/>
    <w:semiHidden/>
    <w:unhideWhenUsed/>
    <w:rsid w:val="00AF30D1"/>
    <w:rPr>
      <w:color w:val="954F72" w:themeColor="followedHyperlink"/>
      <w:u w:val="single"/>
    </w:rPr>
  </w:style>
  <w:style w:type="paragraph" w:styleId="BalloonText">
    <w:name w:val="Balloon Text"/>
    <w:basedOn w:val="Normal"/>
    <w:link w:val="BalloonTextChar"/>
    <w:uiPriority w:val="99"/>
    <w:semiHidden/>
    <w:unhideWhenUsed/>
    <w:rsid w:val="00833E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E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647259">
      <w:bodyDiv w:val="1"/>
      <w:marLeft w:val="0"/>
      <w:marRight w:val="0"/>
      <w:marTop w:val="0"/>
      <w:marBottom w:val="0"/>
      <w:divBdr>
        <w:top w:val="none" w:sz="0" w:space="0" w:color="auto"/>
        <w:left w:val="none" w:sz="0" w:space="0" w:color="auto"/>
        <w:bottom w:val="none" w:sz="0" w:space="0" w:color="auto"/>
        <w:right w:val="none" w:sz="0" w:space="0" w:color="auto"/>
      </w:divBdr>
    </w:div>
    <w:div w:id="1250962001">
      <w:bodyDiv w:val="1"/>
      <w:marLeft w:val="0"/>
      <w:marRight w:val="0"/>
      <w:marTop w:val="0"/>
      <w:marBottom w:val="0"/>
      <w:divBdr>
        <w:top w:val="none" w:sz="0" w:space="0" w:color="auto"/>
        <w:left w:val="none" w:sz="0" w:space="0" w:color="auto"/>
        <w:bottom w:val="none" w:sz="0" w:space="0" w:color="auto"/>
        <w:right w:val="none" w:sz="0" w:space="0" w:color="auto"/>
      </w:divBdr>
    </w:div>
    <w:div w:id="136093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fortunly.com/articles/how-margin-trading-works/" TargetMode="External"/><Relationship Id="rId26" Type="http://schemas.openxmlformats.org/officeDocument/2006/relationships/hyperlink" Target="https://www.apple.com/sg/newsroom/2023/04/apple-will-use-100-percent-recycled-cobalt-in-batteries-by-2025/" TargetMode="External"/><Relationship Id="rId39" Type="http://schemas.openxmlformats.org/officeDocument/2006/relationships/hyperlink" Target="https://www.wsj.com/articles/bidens-defense-budget-draws-gop-criticism-sets-up-spending-clash-55df9493" TargetMode="External"/><Relationship Id="rId21" Type="http://schemas.openxmlformats.org/officeDocument/2006/relationships/hyperlink" Target="https://www.ft.com/content/4dfd546b-bff6-4dfa-a858-06b855001faa" TargetMode="External"/><Relationship Id="rId34" Type="http://schemas.openxmlformats.org/officeDocument/2006/relationships/hyperlink" Target="https://www.theguardian.com/technology/2022/oct/26/iphone-usb-c-lightning-connectors-apple-eu-rules" TargetMode="External"/><Relationship Id="rId42" Type="http://schemas.openxmlformats.org/officeDocument/2006/relationships/hyperlink" Target="https://www.bloomberg.com/news/articles/2023-08-02/treasury-10-year-yield-flirts-with-highest-level-since-november?embedded-checkout=true" TargetMode="External"/><Relationship Id="rId47" Type="http://schemas.openxmlformats.org/officeDocument/2006/relationships/hyperlink" Target="https://power.lowyinstitute.org/data/military-capability/defence-spending/military-expenditure-defence-sector-ppp/" TargetMode="External"/><Relationship Id="rId50" Type="http://schemas.openxmlformats.org/officeDocument/2006/relationships/hyperlink" Target="https://ticdata.treasury.gov/Publish/mfh.tx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techcrunch.com/2023/04/13/all-new-apple-batteries-will-use-100-recycled-cobalt-by-2025/" TargetMode="External"/><Relationship Id="rId11" Type="http://schemas.openxmlformats.org/officeDocument/2006/relationships/image" Target="media/image3.png"/><Relationship Id="rId24" Type="http://schemas.openxmlformats.org/officeDocument/2006/relationships/hyperlink" Target="https://www.apple.com/newsroom/2023/09/apple-advances-supplier-clean-energy-commitments/" TargetMode="External"/><Relationship Id="rId32" Type="http://schemas.openxmlformats.org/officeDocument/2006/relationships/hyperlink" Target="https://indianexpress.com/article/explained/explained-sci-tech/eu-apple-charger-new-iphone-15-8939493/" TargetMode="External"/><Relationship Id="rId37" Type="http://schemas.openxmlformats.org/officeDocument/2006/relationships/hyperlink" Target="https://www.forbes.com/sites/williamhartung/2021/05/12/lies-damn-lies-and-misleading-defense-statistics/?sh=70dec2677d11" TargetMode="External"/><Relationship Id="rId40" Type="http://schemas.openxmlformats.org/officeDocument/2006/relationships/hyperlink" Target="https://www.theguardian.com/commentisfree/2023/jul/24/the-pentagon-doesnt-need-886bn-i-oppose-this-bloated-defense-budget" TargetMode="External"/><Relationship Id="rId45" Type="http://schemas.openxmlformats.org/officeDocument/2006/relationships/hyperlink" Target="https://www.statista.com/statistics/262742/countries-with-the-highest-military-spending/"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hyperlink" Target="https://www.futunn.com/en/learn/detail-what-is-margin-trading-62010-0" TargetMode="External"/><Relationship Id="rId31" Type="http://schemas.openxmlformats.org/officeDocument/2006/relationships/hyperlink" Target="https://apnews.com/article/france-apple-iphone-radiation-b51b82309100f959c83a2a19536dc934" TargetMode="External"/><Relationship Id="rId44" Type="http://schemas.openxmlformats.org/officeDocument/2006/relationships/hyperlink" Target="https://fiscaldata.treasury.gov/americas-finance-guide/federal-spending/"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financestrategists.com/wealth-management/bonds/convexity-in-bond/" TargetMode="External"/><Relationship Id="rId27" Type="http://schemas.openxmlformats.org/officeDocument/2006/relationships/hyperlink" Target="https://www.reuters.com/technology/apple-use-100-recycled-cobalt-batteries-by-2025-2023-04-13/" TargetMode="External"/><Relationship Id="rId30" Type="http://schemas.openxmlformats.org/officeDocument/2006/relationships/hyperlink" Target="https://www.dol.gov/agencies/ilab/combatting-child-labor-democratic-republic-congos-cobalt-industry-cotecco" TargetMode="External"/><Relationship Id="rId35" Type="http://schemas.openxmlformats.org/officeDocument/2006/relationships/hyperlink" Target="https://www.bis.org/bcbs/" TargetMode="External"/><Relationship Id="rId43" Type="http://schemas.openxmlformats.org/officeDocument/2006/relationships/hyperlink" Target="https://www.imf.org/external/datamapper/exp@FPP/USA/FRA/JPN/GBR/SWE/ESP/ITA/ZAF/IND" TargetMode="External"/><Relationship Id="rId48" Type="http://schemas.openxmlformats.org/officeDocument/2006/relationships/hyperlink" Target="https://www.ed.gov/news/press-releases/biden-harris-administration-announces-additional-9-billion-student-debt-relief" TargetMode="External"/><Relationship Id="rId8" Type="http://schemas.openxmlformats.org/officeDocument/2006/relationships/header" Target="header1.xml"/><Relationship Id="rId51" Type="http://schemas.openxmlformats.org/officeDocument/2006/relationships/hyperlink" Target="https://usafacts.org/articles/which-countries-own-the-most-us-debt/"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bloomberg.com/news/articles/2021-10-27/apple-says-it-has-doubled-number-of-carbon-neutral-suppliers?utm_medium=cpc_search&amp;utm_campaign=NB_ENG_DSAXX_DSAXXXXXXXXXX_EVG_XXXX_XXX_Y0469_EN_EN_X_BLOM_GO_SE_XXX_XXXXXXXXXX&amp;gclid=Cj0KCQjw1OmoBhDXARIsAAAYGSHZiHfMscDMn1DjbJDWoAgSuo3U7HGK04GSFNilYgQgRKwFiUMKm80aAgxoEALw_wcB&amp;gclsrc=aw.ds&amp;embedded-checkout=true" TargetMode="External"/><Relationship Id="rId33" Type="http://schemas.openxmlformats.org/officeDocument/2006/relationships/hyperlink" Target="https://www.politico.eu/article/apple-iphone-15-european-union-regulations-charger-usbc-lightning/" TargetMode="External"/><Relationship Id="rId38" Type="http://schemas.openxmlformats.org/officeDocument/2006/relationships/hyperlink" Target="https://www.aei.org/op-eds/dont-be-fooled-by-bidens-budget-hes-cutting-military-spending-as-our-needs-grow/" TargetMode="External"/><Relationship Id="rId46" Type="http://schemas.openxmlformats.org/officeDocument/2006/relationships/hyperlink" Target="https://www.pgpf.org/chart-archive/0053_defense-comparison" TargetMode="External"/><Relationship Id="rId20" Type="http://schemas.openxmlformats.org/officeDocument/2006/relationships/hyperlink" Target="https://finance.yahoo.com/news/momentum-fomo-drive-stocks-even-222211481.html" TargetMode="External"/><Relationship Id="rId41" Type="http://schemas.openxmlformats.org/officeDocument/2006/relationships/hyperlink" Target="https://www.fitchratings.com/research/sovereigns/fitch-downgrades-united-states-long-term-ratings-to-aa-from-aaa-outlook-stable-01-08-202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corporatefinanceinstitute.com/resources/equities/2010-flash-crash/" TargetMode="External"/><Relationship Id="rId28" Type="http://schemas.openxmlformats.org/officeDocument/2006/relationships/hyperlink" Target="https://www.technologyreview.com/2023/04/20/1071825/apple-cobalt-battery-recycling/" TargetMode="External"/><Relationship Id="rId36" Type="http://schemas.openxmlformats.org/officeDocument/2006/relationships/hyperlink" Target="https://www.abs.gov.au/statistics/understanding-statistics/statistical-terms-and-concepts/correlation-and-causation" TargetMode="External"/><Relationship Id="rId49" Type="http://schemas.openxmlformats.org/officeDocument/2006/relationships/hyperlink" Target="https://www.visualcapitalist.com/which-countries-hold-the-most-us-deb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33AFA0-0BD4-4F62-839C-C13F2B457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33</Pages>
  <Words>12765</Words>
  <Characters>72764</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 .</cp:lastModifiedBy>
  <cp:revision>55</cp:revision>
  <dcterms:created xsi:type="dcterms:W3CDTF">2023-10-09T11:04:00Z</dcterms:created>
  <dcterms:modified xsi:type="dcterms:W3CDTF">2023-10-10T20:11:00Z</dcterms:modified>
</cp:coreProperties>
</file>