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14C5818" w14:textId="77777777" w:rsidR="00D468A9" w:rsidRDefault="00000000" w:rsidP="001F6C8D">
      <w:pPr>
        <w:pStyle w:val="ListParagraph"/>
        <w:numPr>
          <w:ilvl w:val="0"/>
          <w:numId w:val="1"/>
        </w:numPr>
        <w:snapToGrid w:val="0"/>
        <w:spacing w:after="0" w:line="240" w:lineRule="auto"/>
        <w:contextualSpacing w:val="0"/>
        <w:rPr>
          <w:rFonts w:cstheme="minorHAnsi"/>
          <w:b/>
          <w:bCs/>
          <w:sz w:val="28"/>
          <w:szCs w:val="28"/>
          <w:lang w:val="en-US"/>
        </w:rPr>
      </w:pPr>
      <w:r w:rsidRPr="00B32380">
        <w:rPr>
          <w:rFonts w:cstheme="minorHAnsi"/>
          <w:b/>
          <w:bCs/>
          <w:sz w:val="28"/>
          <w:szCs w:val="28"/>
          <w:lang w:val="en-US"/>
        </w:rPr>
        <w:t xml:space="preserve">Step 1. </w:t>
      </w:r>
      <w:r w:rsidR="00AB541B">
        <w:rPr>
          <w:rFonts w:cstheme="minorHAnsi"/>
          <w:b/>
          <w:bCs/>
          <w:sz w:val="28"/>
          <w:szCs w:val="28"/>
          <w:lang w:val="en-US"/>
        </w:rPr>
        <w:t>Fallout</w:t>
      </w:r>
      <w:r w:rsidRPr="00B32380">
        <w:rPr>
          <w:rFonts w:cstheme="minorHAnsi"/>
          <w:b/>
          <w:bCs/>
          <w:sz w:val="28"/>
          <w:szCs w:val="28"/>
          <w:lang w:val="en-US"/>
        </w:rPr>
        <w:t xml:space="preserve"> Risk</w:t>
      </w:r>
    </w:p>
    <w:p w14:paraId="58DC58A6" w14:textId="77777777" w:rsidR="00CE15C2" w:rsidRPr="00FE21EB" w:rsidRDefault="00000000" w:rsidP="00CC5F74">
      <w:pPr>
        <w:pStyle w:val="ListParagraph"/>
        <w:numPr>
          <w:ilvl w:val="1"/>
          <w:numId w:val="1"/>
        </w:numPr>
        <w:snapToGrid w:val="0"/>
        <w:spacing w:after="0" w:line="240" w:lineRule="auto"/>
        <w:contextualSpacing w:val="0"/>
        <w:rPr>
          <w:rFonts w:cstheme="minorHAnsi"/>
          <w:b/>
          <w:bCs/>
          <w:sz w:val="24"/>
          <w:szCs w:val="24"/>
          <w:lang w:val="en-US"/>
        </w:rPr>
      </w:pPr>
      <w:r w:rsidRPr="00FE21EB">
        <w:rPr>
          <w:rFonts w:cstheme="minorHAnsi"/>
          <w:b/>
          <w:bCs/>
          <w:sz w:val="24"/>
          <w:szCs w:val="24"/>
          <w:lang w:val="en-US"/>
        </w:rPr>
        <w:t>Student:</w:t>
      </w:r>
      <w:r w:rsidRPr="00FE21EB">
        <w:rPr>
          <w:rFonts w:cstheme="minorHAnsi"/>
          <w:b/>
          <w:bCs/>
          <w:sz w:val="24"/>
          <w:szCs w:val="24"/>
        </w:rPr>
        <w:t xml:space="preserve"> </w:t>
      </w:r>
      <w:r w:rsidRPr="00FE21EB">
        <w:rPr>
          <w:rFonts w:cstheme="minorHAnsi"/>
          <w:b/>
          <w:bCs/>
          <w:sz w:val="24"/>
          <w:szCs w:val="24"/>
          <w:lang w:val="en-US"/>
        </w:rPr>
        <w:t xml:space="preserve">Oratile Personal unsecured loan at a fixed rate </w:t>
      </w:r>
      <w:r w:rsidR="00CC5F74" w:rsidRPr="00FE21EB">
        <w:rPr>
          <w:rFonts w:cstheme="minorHAnsi"/>
          <w:b/>
          <w:bCs/>
          <w:sz w:val="24"/>
          <w:szCs w:val="24"/>
          <w:lang w:val="en-US"/>
        </w:rPr>
        <w:t>–</w:t>
      </w:r>
      <w:r w:rsidRPr="00FE21EB">
        <w:rPr>
          <w:rFonts w:cstheme="minorHAnsi"/>
          <w:b/>
          <w:bCs/>
          <w:sz w:val="24"/>
          <w:szCs w:val="24"/>
          <w:lang w:val="en-US"/>
        </w:rPr>
        <w:t xml:space="preserve"> Credit Card. </w:t>
      </w:r>
    </w:p>
    <w:tbl>
      <w:tblPr>
        <w:tblW w:w="0" w:type="auto"/>
        <w:tblCellMar>
          <w:top w:w="15" w:type="dxa"/>
          <w:left w:w="15" w:type="dxa"/>
          <w:bottom w:w="15" w:type="dxa"/>
          <w:right w:w="15" w:type="dxa"/>
        </w:tblCellMar>
        <w:tblLook w:val="04A0" w:firstRow="1" w:lastRow="0" w:firstColumn="1" w:lastColumn="0" w:noHBand="0" w:noVBand="1"/>
      </w:tblPr>
      <w:tblGrid>
        <w:gridCol w:w="1132"/>
        <w:gridCol w:w="7259"/>
        <w:gridCol w:w="6997"/>
      </w:tblGrid>
      <w:tr w:rsidR="00CF348C" w:rsidRPr="00CF348C" w14:paraId="26541C56" w14:textId="77777777" w:rsidTr="00CF34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09358"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16486"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MODEL FAILURES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A1C14"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FINANCIAL CRISIS</w:t>
            </w:r>
          </w:p>
        </w:tc>
      </w:tr>
      <w:tr w:rsidR="00CF348C" w:rsidRPr="00CF348C" w14:paraId="79270F7F" w14:textId="77777777" w:rsidTr="00CF34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FC665"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AB82D" w14:textId="1BBC572E"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Fraud detection that is </w:t>
            </w:r>
            <w:r w:rsidR="00957296" w:rsidRPr="00CF348C">
              <w:rPr>
                <w:rFonts w:ascii="Calibri" w:eastAsia="Times New Roman" w:hAnsi="Calibri" w:cs="Calibri"/>
                <w:color w:val="000000"/>
                <w:kern w:val="0"/>
                <w14:ligatures w14:val="none"/>
              </w:rPr>
              <w:t>ineffective:</w:t>
            </w:r>
          </w:p>
          <w:p w14:paraId="31788BFC"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To identify fraudulent transactions, credit card companies employ models. Failures of the model may lead to false positives, which infuriate customers, or false negatives, which result in financial losses by failing to identify fraud.</w:t>
            </w:r>
          </w:p>
          <w:p w14:paraId="789F2320" w14:textId="283DBAC9"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Improper Evaluation of </w:t>
            </w:r>
            <w:r w:rsidR="00957296" w:rsidRPr="00CF348C">
              <w:rPr>
                <w:rFonts w:ascii="Calibri" w:eastAsia="Times New Roman" w:hAnsi="Calibri" w:cs="Calibri"/>
                <w:color w:val="000000"/>
                <w:kern w:val="0"/>
                <w14:ligatures w14:val="none"/>
              </w:rPr>
              <w:t>Risk:</w:t>
            </w:r>
          </w:p>
          <w:p w14:paraId="0C138800"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Credit card companies evaluate applicants' creditworthiness using predictive models. These models may fail if they evaluate an applicant's credit risk incorrectly. The model could approve high-risk applicants who are more likely to default, resulting in losses, if it undervalues the risk.</w:t>
            </w:r>
          </w:p>
          <w:p w14:paraId="645527C3"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Financial Recessions:</w:t>
            </w:r>
          </w:p>
          <w:p w14:paraId="31E353C9"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Model failures can arise from financial crises and economic downturns because predictive models might not fully account for extreme events. In these circumstances, borrowers who, on the basis of past performance, were deemed low risk, might default because of unforeseen financial difficulties.</w:t>
            </w:r>
          </w:p>
          <w:p w14:paraId="791207BA" w14:textId="6A716DA0"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Model </w:t>
            </w:r>
            <w:r w:rsidR="00957296" w:rsidRPr="00CF348C">
              <w:rPr>
                <w:rFonts w:ascii="Calibri" w:eastAsia="Times New Roman" w:hAnsi="Calibri" w:cs="Calibri"/>
                <w:color w:val="000000"/>
                <w:kern w:val="0"/>
                <w14:ligatures w14:val="none"/>
              </w:rPr>
              <w:t>Diversion:</w:t>
            </w:r>
          </w:p>
          <w:p w14:paraId="43BF763D" w14:textId="1339270A"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Due to shifting borrower </w:t>
            </w:r>
            <w:r w:rsidR="00957296" w:rsidRPr="00CF348C">
              <w:rPr>
                <w:rFonts w:ascii="Calibri" w:eastAsia="Times New Roman" w:hAnsi="Calibri" w:cs="Calibri"/>
                <w:color w:val="000000"/>
                <w:kern w:val="0"/>
                <w14:ligatures w14:val="none"/>
              </w:rPr>
              <w:t>behaviours</w:t>
            </w:r>
            <w:r w:rsidRPr="00CF348C">
              <w:rPr>
                <w:rFonts w:ascii="Calibri" w:eastAsia="Times New Roman" w:hAnsi="Calibri" w:cs="Calibri"/>
                <w:color w:val="000000"/>
                <w:kern w:val="0"/>
                <w14:ligatures w14:val="none"/>
              </w:rPr>
              <w:t>, shifting market conditions, and other factors, model performance may deteriorate over time. To keep the accuracy of the model and avoid model drift, regular monitoring and updates are needed.</w:t>
            </w:r>
          </w:p>
          <w:p w14:paraId="2327CBD1" w14:textId="6B4C2C64"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Overreliance on Historical </w:t>
            </w:r>
            <w:r w:rsidR="00957296" w:rsidRPr="00CF348C">
              <w:rPr>
                <w:rFonts w:ascii="Calibri" w:eastAsia="Times New Roman" w:hAnsi="Calibri" w:cs="Calibri"/>
                <w:color w:val="000000"/>
                <w:kern w:val="0"/>
                <w14:ligatures w14:val="none"/>
              </w:rPr>
              <w:t>Data:</w:t>
            </w:r>
          </w:p>
          <w:p w14:paraId="48C2D99B" w14:textId="2DD239EA"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In order to forecast future borrower </w:t>
            </w:r>
            <w:r w:rsidR="00957296" w:rsidRPr="00CF348C">
              <w:rPr>
                <w:rFonts w:ascii="Calibri" w:eastAsia="Times New Roman" w:hAnsi="Calibri" w:cs="Calibri"/>
                <w:color w:val="000000"/>
                <w:kern w:val="0"/>
                <w14:ligatures w14:val="none"/>
              </w:rPr>
              <w:t>behaviour</w:t>
            </w:r>
            <w:r w:rsidRPr="00CF348C">
              <w:rPr>
                <w:rFonts w:ascii="Calibri" w:eastAsia="Times New Roman" w:hAnsi="Calibri" w:cs="Calibri"/>
                <w:color w:val="000000"/>
                <w:kern w:val="0"/>
                <w14:ligatures w14:val="none"/>
              </w:rPr>
              <w:t>, credit card lending models frequently rely on historical data. Model failures can occur when past data is not indicative of the state of the economy today or when the economy is changing quickly and previous data becomes less relevant.</w:t>
            </w:r>
          </w:p>
          <w:p w14:paraId="7622F07D" w14:textId="18796BB3"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Lack of Diversity in the </w:t>
            </w:r>
            <w:r w:rsidR="00957296" w:rsidRPr="00CF348C">
              <w:rPr>
                <w:rFonts w:ascii="Calibri" w:eastAsia="Times New Roman" w:hAnsi="Calibri" w:cs="Calibri"/>
                <w:color w:val="000000"/>
                <w:kern w:val="0"/>
                <w14:ligatures w14:val="none"/>
              </w:rPr>
              <w:t>Data:</w:t>
            </w:r>
          </w:p>
          <w:p w14:paraId="3570DBCE" w14:textId="6B8EC858"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When models are constructed using incomplete or skewed data, they may not accurately reflect the wide variety of borrowers and their credit </w:t>
            </w:r>
            <w:r w:rsidR="00957296" w:rsidRPr="00CF348C">
              <w:rPr>
                <w:rFonts w:ascii="Calibri" w:eastAsia="Times New Roman" w:hAnsi="Calibri" w:cs="Calibri"/>
                <w:color w:val="000000"/>
                <w:kern w:val="0"/>
                <w14:ligatures w14:val="none"/>
              </w:rPr>
              <w:t>behaviours</w:t>
            </w:r>
            <w:r w:rsidRPr="00CF348C">
              <w:rPr>
                <w:rFonts w:ascii="Calibri" w:eastAsia="Times New Roman" w:hAnsi="Calibri" w:cs="Calibri"/>
                <w:color w:val="000000"/>
                <w:kern w:val="0"/>
                <w14:ligatures w14:val="none"/>
              </w:rPr>
              <w:t>. This may lead to prejudice against some groups or erroneous risk assessments.</w:t>
            </w:r>
          </w:p>
          <w:p w14:paraId="45AD32FF" w14:textId="68AB45D9"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Compliance with </w:t>
            </w:r>
            <w:r w:rsidR="00957296" w:rsidRPr="00CF348C">
              <w:rPr>
                <w:rFonts w:ascii="Calibri" w:eastAsia="Times New Roman" w:hAnsi="Calibri" w:cs="Calibri"/>
                <w:color w:val="000000"/>
                <w:kern w:val="0"/>
                <w14:ligatures w14:val="none"/>
              </w:rPr>
              <w:t>Regulations:</w:t>
            </w:r>
          </w:p>
          <w:p w14:paraId="208A2D37"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Model malfunctions may result from a failure to adhere to evolving regulatory standards. For the purpose of avoiding financial and legal repercussions, credit card lending models must abide by all applicable laws and regulations.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562E1" w14:textId="739810A9"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Financial </w:t>
            </w:r>
            <w:r w:rsidR="00957296" w:rsidRPr="00CF348C">
              <w:rPr>
                <w:rFonts w:ascii="Calibri" w:eastAsia="Times New Roman" w:hAnsi="Calibri" w:cs="Calibri"/>
                <w:color w:val="000000"/>
                <w:kern w:val="0"/>
                <w14:ligatures w14:val="none"/>
              </w:rPr>
              <w:t>Crisis:</w:t>
            </w:r>
          </w:p>
          <w:p w14:paraId="33DF5204"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The ability of credit card borrowers to maintain their financial stability can be severely impacted by economic downturns, such as recessions or financial crises. Increased credit card delinquencies and defaults may result from job losses, income reductions, and economic uncertainty.</w:t>
            </w:r>
          </w:p>
          <w:p w14:paraId="195A3C19" w14:textId="48EBCDC0"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High Debt </w:t>
            </w:r>
            <w:r w:rsidR="00957296" w:rsidRPr="00CF348C">
              <w:rPr>
                <w:rFonts w:ascii="Calibri" w:eastAsia="Times New Roman" w:hAnsi="Calibri" w:cs="Calibri"/>
                <w:color w:val="000000"/>
                <w:kern w:val="0"/>
                <w14:ligatures w14:val="none"/>
              </w:rPr>
              <w:t>Amounts:</w:t>
            </w:r>
          </w:p>
          <w:p w14:paraId="35C039FD" w14:textId="187B4BFB"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Financial </w:t>
            </w:r>
            <w:r w:rsidR="00957296" w:rsidRPr="00CF348C">
              <w:rPr>
                <w:rFonts w:ascii="Calibri" w:eastAsia="Times New Roman" w:hAnsi="Calibri" w:cs="Calibri"/>
                <w:color w:val="000000"/>
                <w:kern w:val="0"/>
                <w14:ligatures w14:val="none"/>
              </w:rPr>
              <w:t>stocks</w:t>
            </w:r>
            <w:r w:rsidRPr="00CF348C">
              <w:rPr>
                <w:rFonts w:ascii="Calibri" w:eastAsia="Times New Roman" w:hAnsi="Calibri" w:cs="Calibri"/>
                <w:color w:val="000000"/>
                <w:kern w:val="0"/>
                <w14:ligatures w14:val="none"/>
              </w:rPr>
              <w:t xml:space="preserve"> are more likely to affect consumers who have large credit card debt accumulation. Debtors may find it challenging to make their payments on time if their debt-to-income ratio is high, particularly if interest rates increase or the economy deteriorates.</w:t>
            </w:r>
          </w:p>
          <w:p w14:paraId="2A7D6D83"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Interest rates are rising.</w:t>
            </w:r>
          </w:p>
          <w:p w14:paraId="28DF02D3"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Borrowers may incur higher costs from credit card debt as interest rates rise. This may result in increased minimum payments, which some people may find difficult to fulfill, especially if they have credit cards with variable interest rates.</w:t>
            </w:r>
          </w:p>
          <w:p w14:paraId="0E7C1007" w14:textId="470A7DA5"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Overuse of </w:t>
            </w:r>
            <w:r w:rsidR="00957296" w:rsidRPr="00CF348C">
              <w:rPr>
                <w:rFonts w:ascii="Calibri" w:eastAsia="Times New Roman" w:hAnsi="Calibri" w:cs="Calibri"/>
                <w:color w:val="000000"/>
                <w:kern w:val="0"/>
                <w14:ligatures w14:val="none"/>
              </w:rPr>
              <w:t>Credit:</w:t>
            </w:r>
          </w:p>
          <w:p w14:paraId="487F98EF"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Debtors may be more likely to accrue debt that they find difficult to pay back when lenders grant credit cards with high credit limits or accept applications from applicants with poor creditworthiness. Credit overuse can result in defaults and losses for lenders.</w:t>
            </w:r>
          </w:p>
          <w:p w14:paraId="621AF219" w14:textId="3EA19C95"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Changes in </w:t>
            </w:r>
            <w:r w:rsidR="00957296" w:rsidRPr="00CF348C">
              <w:rPr>
                <w:rFonts w:ascii="Calibri" w:eastAsia="Times New Roman" w:hAnsi="Calibri" w:cs="Calibri"/>
                <w:color w:val="000000"/>
                <w:kern w:val="0"/>
                <w14:ligatures w14:val="none"/>
              </w:rPr>
              <w:t>Regulations:</w:t>
            </w:r>
          </w:p>
          <w:p w14:paraId="3EC68ACA"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The way that credit card loans are treated on bank balance sheets can be affected by changes in accounting standards or regulations, which can have an impact on the financial system's stability.</w:t>
            </w:r>
          </w:p>
          <w:p w14:paraId="61C73BD3" w14:textId="0EE245D9"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Insufficient Financial Literacy among </w:t>
            </w:r>
            <w:r w:rsidR="00957296" w:rsidRPr="00CF348C">
              <w:rPr>
                <w:rFonts w:ascii="Calibri" w:eastAsia="Times New Roman" w:hAnsi="Calibri" w:cs="Calibri"/>
                <w:color w:val="000000"/>
                <w:kern w:val="0"/>
                <w14:ligatures w14:val="none"/>
              </w:rPr>
              <w:t>Consumers:</w:t>
            </w:r>
          </w:p>
          <w:p w14:paraId="334F02B1"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Consumers' lack of financial literacy may be a factor in their credit card debt issues. People may abuse credit and rack up unmanageable debt when they are unaware of all the terms and implications associated with using credit cards.</w:t>
            </w:r>
          </w:p>
        </w:tc>
      </w:tr>
    </w:tbl>
    <w:p w14:paraId="5CD21F71" w14:textId="77777777" w:rsidR="004B7505" w:rsidRPr="004F76A8" w:rsidRDefault="004B7505" w:rsidP="004F76A8">
      <w:pPr>
        <w:snapToGrid w:val="0"/>
        <w:spacing w:after="0" w:line="240" w:lineRule="auto"/>
        <w:rPr>
          <w:rFonts w:cstheme="minorHAnsi"/>
          <w:b/>
          <w:bCs/>
          <w:sz w:val="24"/>
          <w:szCs w:val="24"/>
          <w:lang w:val="en-US"/>
        </w:rPr>
      </w:pPr>
    </w:p>
    <w:p w14:paraId="395927EF" w14:textId="22456F78" w:rsidR="00CE15C2" w:rsidRDefault="00000000" w:rsidP="00CE15C2">
      <w:pPr>
        <w:pStyle w:val="ListParagraph"/>
        <w:numPr>
          <w:ilvl w:val="1"/>
          <w:numId w:val="1"/>
        </w:numPr>
        <w:snapToGrid w:val="0"/>
        <w:spacing w:after="0" w:line="240" w:lineRule="auto"/>
        <w:contextualSpacing w:val="0"/>
        <w:rPr>
          <w:rFonts w:cstheme="minorHAnsi"/>
          <w:b/>
          <w:bCs/>
          <w:sz w:val="24"/>
          <w:szCs w:val="24"/>
          <w:lang w:val="en-US"/>
        </w:rPr>
      </w:pPr>
      <w:r w:rsidRPr="00FE21EB">
        <w:rPr>
          <w:rFonts w:cstheme="minorHAnsi"/>
          <w:b/>
          <w:bCs/>
          <w:sz w:val="24"/>
          <w:szCs w:val="24"/>
          <w:lang w:val="en-US"/>
        </w:rPr>
        <w:t>Student:</w:t>
      </w:r>
      <w:r w:rsidRPr="00FE21EB">
        <w:rPr>
          <w:rFonts w:cstheme="minorHAnsi"/>
          <w:b/>
          <w:bCs/>
          <w:sz w:val="24"/>
          <w:szCs w:val="24"/>
        </w:rPr>
        <w:t xml:space="preserve"> </w:t>
      </w:r>
      <w:r w:rsidRPr="00FE21EB">
        <w:rPr>
          <w:rFonts w:cstheme="minorHAnsi"/>
          <w:b/>
          <w:bCs/>
          <w:sz w:val="24"/>
          <w:szCs w:val="24"/>
          <w:lang w:val="en-US"/>
        </w:rPr>
        <w:t xml:space="preserve">Oratile Personal unsecured loan at a floating rate – Car or Home Loan. </w:t>
      </w:r>
    </w:p>
    <w:p w14:paraId="5CEE726B" w14:textId="77777777" w:rsidR="00F72812" w:rsidRPr="00FE21EB" w:rsidRDefault="00F72812" w:rsidP="00F72812">
      <w:pPr>
        <w:pStyle w:val="ListParagraph"/>
        <w:snapToGrid w:val="0"/>
        <w:spacing w:after="0" w:line="240" w:lineRule="auto"/>
        <w:ind w:left="936"/>
        <w:contextualSpacing w:val="0"/>
        <w:rPr>
          <w:rFonts w:cstheme="minorHAnsi"/>
          <w:b/>
          <w:bCs/>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2"/>
        <w:gridCol w:w="7082"/>
        <w:gridCol w:w="7174"/>
      </w:tblGrid>
      <w:tr w:rsidR="00CF348C" w:rsidRPr="00CF348C" w14:paraId="14948CB5" w14:textId="77777777" w:rsidTr="00CF34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0812A" w14:textId="77777777" w:rsidR="00CF348C" w:rsidRPr="00CF348C" w:rsidRDefault="00CF348C" w:rsidP="00BE79BC">
            <w:pPr>
              <w:spacing w:after="0" w:line="240" w:lineRule="auto"/>
              <w:rPr>
                <w:rFonts w:ascii="Calibri" w:eastAsia="Times New Roman" w:hAnsi="Calibri" w:cs="Calibri"/>
                <w:color w:val="000000"/>
                <w:kern w:val="0"/>
                <w14:ligatures w14:val="none"/>
              </w:rPr>
            </w:pPr>
            <w:r w:rsidRPr="00CF348C">
              <w:rPr>
                <w:rFonts w:ascii="Calibri" w:eastAsia="Times New Roman" w:hAnsi="Calibri" w:cs="Calibri"/>
                <w:color w:val="000000"/>
                <w:kern w:val="0"/>
                <w14:ligatures w14:val="none"/>
              </w:rPr>
              <w:t>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82396" w14:textId="77777777" w:rsidR="00CF348C" w:rsidRPr="00CF348C" w:rsidRDefault="00CF348C" w:rsidP="00BE79BC">
            <w:pPr>
              <w:spacing w:after="0" w:line="240" w:lineRule="auto"/>
              <w:rPr>
                <w:rFonts w:ascii="Calibri" w:eastAsia="Times New Roman" w:hAnsi="Calibri" w:cs="Calibri"/>
                <w:color w:val="000000"/>
                <w:kern w:val="0"/>
                <w14:ligatures w14:val="none"/>
              </w:rPr>
            </w:pPr>
            <w:r w:rsidRPr="00CF348C">
              <w:rPr>
                <w:rFonts w:ascii="Calibri" w:eastAsia="Times New Roman" w:hAnsi="Calibri" w:cs="Calibri"/>
                <w:color w:val="000000"/>
                <w:kern w:val="0"/>
                <w14:ligatures w14:val="none"/>
              </w:rPr>
              <w:t>MODEL FAILURES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A30F1" w14:textId="77777777" w:rsidR="00CF348C" w:rsidRPr="00CF348C" w:rsidRDefault="00CF348C" w:rsidP="00BE79BC">
            <w:pPr>
              <w:spacing w:after="0" w:line="240" w:lineRule="auto"/>
              <w:rPr>
                <w:rFonts w:ascii="Calibri" w:eastAsia="Times New Roman" w:hAnsi="Calibri" w:cs="Calibri"/>
                <w:color w:val="000000"/>
                <w:kern w:val="0"/>
                <w14:ligatures w14:val="none"/>
              </w:rPr>
            </w:pPr>
            <w:r w:rsidRPr="00CF348C">
              <w:rPr>
                <w:rFonts w:ascii="Calibri" w:eastAsia="Times New Roman" w:hAnsi="Calibri" w:cs="Calibri"/>
                <w:color w:val="000000"/>
                <w:kern w:val="0"/>
                <w14:ligatures w14:val="none"/>
              </w:rPr>
              <w:t>FINANCIAL CRISIS</w:t>
            </w:r>
          </w:p>
        </w:tc>
      </w:tr>
      <w:tr w:rsidR="00CF348C" w:rsidRPr="00CF348C" w14:paraId="36AE139D" w14:textId="77777777" w:rsidTr="00CF34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1CC8D"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0F618"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Mistaken Risk Assessment: It is possible for models that evaluate borrowers' creditworthiness to miscalculate the chance of a loan default. Lenders may incur losses if they lend to high-risk borrowers who are more likely to default.</w:t>
            </w:r>
          </w:p>
          <w:p w14:paraId="722DCB63"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Overvaluation of Collateral: The value of the underlying property is frequently utilized as collateral for home loans. Exaggerated property values can lead to higher loan-to-value ratios and possibly greater default losses, which are indicative of model failures.</w:t>
            </w:r>
          </w:p>
          <w:p w14:paraId="61E08402"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Economic Factors Underestimated: Models might not take changes in the state of the economy into sufficient account. For example, defaults on home and auto loans may increase during a recession. Higher-than-expected default rates may result from the models' failure to account for these changes in the economy.</w:t>
            </w:r>
          </w:p>
          <w:p w14:paraId="7D35220E" w14:textId="70F2183E"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 xml:space="preserve">Mistaken Assumptions: Mistakes can occur when models assume things like interest rates, borrower </w:t>
            </w:r>
            <w:r w:rsidR="00957296" w:rsidRPr="00CF348C">
              <w:rPr>
                <w:rFonts w:ascii="Calibri" w:eastAsia="Times New Roman" w:hAnsi="Calibri" w:cs="Calibri"/>
                <w:color w:val="000000"/>
                <w:kern w:val="0"/>
                <w14:ligatures w14:val="none"/>
              </w:rPr>
              <w:t>behaviour</w:t>
            </w:r>
            <w:r w:rsidRPr="00CF348C">
              <w:rPr>
                <w:rFonts w:ascii="Calibri" w:eastAsia="Times New Roman" w:hAnsi="Calibri" w:cs="Calibri"/>
                <w:color w:val="000000"/>
                <w:kern w:val="0"/>
                <w14:ligatures w14:val="none"/>
              </w:rPr>
              <w:t>, or other important variables. Model failures may result from these assumptions not matching reality. One way to increase default rates is to assume a rising interest rate environment, but in reality, it can be declining or stable.</w:t>
            </w:r>
          </w:p>
          <w:p w14:paraId="7A687169"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Lack of Data Diversification: Inaccurate results may be produced by models that rely on scant or skewed data. To produce accurate predictions, models must take into account a wide variety of variables and data sources.</w:t>
            </w:r>
          </w:p>
          <w:p w14:paraId="13D3D2F1" w14:textId="77777777" w:rsidR="00CF348C" w:rsidRDefault="00CF348C" w:rsidP="00CF348C">
            <w:pPr>
              <w:spacing w:after="0" w:line="240" w:lineRule="auto"/>
              <w:rPr>
                <w:rFonts w:ascii="Calibri" w:eastAsia="Times New Roman" w:hAnsi="Calibri" w:cs="Calibri"/>
                <w:color w:val="000000"/>
                <w:kern w:val="0"/>
                <w14:ligatures w14:val="none"/>
              </w:rPr>
            </w:pPr>
            <w:r w:rsidRPr="00CF348C">
              <w:rPr>
                <w:rFonts w:ascii="Calibri" w:eastAsia="Times New Roman" w:hAnsi="Calibri" w:cs="Calibri"/>
                <w:color w:val="000000"/>
                <w:kern w:val="0"/>
                <w14:ligatures w14:val="none"/>
              </w:rPr>
              <w:t>Excessive Dependency on Credit Scores: Model failures may result from an excessive reliance on credit scores at the expense of other important variables such as employment history, income stability, and debt-to-income ratios. For other reasons, a borrower with a high credit score could nevertheless be considered a high credit risk.</w:t>
            </w:r>
          </w:p>
          <w:p w14:paraId="6782C4F7" w14:textId="77777777" w:rsidR="00FD157D" w:rsidRDefault="00FD157D" w:rsidP="00CF348C">
            <w:pPr>
              <w:spacing w:after="0" w:line="240" w:lineRule="auto"/>
              <w:rPr>
                <w:rFonts w:ascii="Times New Roman" w:eastAsia="Times New Roman" w:hAnsi="Times New Roman" w:cs="Times New Roman"/>
                <w:color w:val="000000"/>
                <w:kern w:val="0"/>
                <w:sz w:val="24"/>
                <w:szCs w:val="24"/>
                <w14:ligatures w14:val="none"/>
              </w:rPr>
            </w:pPr>
          </w:p>
          <w:p w14:paraId="72593E15" w14:textId="77777777" w:rsidR="00FD157D" w:rsidRDefault="00FD157D" w:rsidP="00CF348C">
            <w:pPr>
              <w:spacing w:after="0" w:line="240" w:lineRule="auto"/>
              <w:rPr>
                <w:rFonts w:ascii="Times New Roman" w:eastAsia="Times New Roman" w:hAnsi="Times New Roman" w:cs="Times New Roman"/>
                <w:color w:val="000000"/>
                <w:kern w:val="0"/>
                <w:sz w:val="24"/>
                <w:szCs w:val="24"/>
                <w14:ligatures w14:val="none"/>
              </w:rPr>
            </w:pPr>
          </w:p>
          <w:p w14:paraId="42B6183F" w14:textId="77777777" w:rsidR="00FD157D" w:rsidRDefault="00FD157D" w:rsidP="00CF348C">
            <w:pPr>
              <w:spacing w:after="0" w:line="240" w:lineRule="auto"/>
              <w:rPr>
                <w:rFonts w:ascii="Times New Roman" w:eastAsia="Times New Roman" w:hAnsi="Times New Roman" w:cs="Times New Roman"/>
                <w:color w:val="000000"/>
                <w:kern w:val="0"/>
                <w:sz w:val="24"/>
                <w:szCs w:val="24"/>
                <w14:ligatures w14:val="none"/>
              </w:rPr>
            </w:pPr>
          </w:p>
          <w:p w14:paraId="79A0CEBB" w14:textId="77777777" w:rsidR="00FD157D" w:rsidRDefault="00FD157D" w:rsidP="00CF348C">
            <w:pPr>
              <w:spacing w:after="0" w:line="240" w:lineRule="auto"/>
              <w:rPr>
                <w:rFonts w:ascii="Times New Roman" w:eastAsia="Times New Roman" w:hAnsi="Times New Roman" w:cs="Times New Roman"/>
                <w:color w:val="000000"/>
                <w:kern w:val="0"/>
                <w:sz w:val="24"/>
                <w:szCs w:val="24"/>
                <w14:ligatures w14:val="none"/>
              </w:rPr>
            </w:pPr>
          </w:p>
          <w:p w14:paraId="789123E8" w14:textId="77777777" w:rsidR="00FD157D" w:rsidRDefault="00FD157D" w:rsidP="00CF348C">
            <w:pPr>
              <w:spacing w:after="0" w:line="240" w:lineRule="auto"/>
              <w:rPr>
                <w:rFonts w:ascii="Times New Roman" w:eastAsia="Times New Roman" w:hAnsi="Times New Roman" w:cs="Times New Roman"/>
                <w:color w:val="000000"/>
                <w:kern w:val="0"/>
                <w:sz w:val="24"/>
                <w:szCs w:val="24"/>
                <w14:ligatures w14:val="none"/>
              </w:rPr>
            </w:pPr>
          </w:p>
          <w:p w14:paraId="7D57D8A7" w14:textId="77777777" w:rsidR="00FD157D" w:rsidRDefault="00FD157D" w:rsidP="00CF348C">
            <w:pPr>
              <w:spacing w:after="0" w:line="240" w:lineRule="auto"/>
              <w:rPr>
                <w:rFonts w:ascii="Times New Roman" w:eastAsia="Times New Roman" w:hAnsi="Times New Roman" w:cs="Times New Roman"/>
                <w:color w:val="000000"/>
                <w:kern w:val="0"/>
                <w:sz w:val="24"/>
                <w:szCs w:val="24"/>
                <w14:ligatures w14:val="none"/>
              </w:rPr>
            </w:pPr>
          </w:p>
          <w:p w14:paraId="0AC2F235" w14:textId="77777777" w:rsidR="00FD157D" w:rsidRPr="00CF348C" w:rsidRDefault="00FD157D" w:rsidP="00CF348C">
            <w:pPr>
              <w:spacing w:after="0" w:line="240" w:lineRule="auto"/>
              <w:rPr>
                <w:rFonts w:ascii="Times New Roman" w:eastAsia="Times New Roman" w:hAnsi="Times New Roman" w:cs="Times New Roman"/>
                <w:kern w:val="0"/>
                <w:sz w:val="24"/>
                <w:szCs w:val="24"/>
                <w14:ligatures w14:val="none"/>
              </w:rPr>
            </w:pPr>
          </w:p>
          <w:p w14:paraId="722471CC" w14:textId="77777777" w:rsidR="00FD157D" w:rsidRDefault="00FD157D" w:rsidP="00CF348C">
            <w:pPr>
              <w:spacing w:after="0" w:line="240" w:lineRule="auto"/>
              <w:rPr>
                <w:rFonts w:ascii="Calibri" w:eastAsia="Times New Roman" w:hAnsi="Calibri" w:cs="Calibri"/>
                <w:color w:val="000000"/>
                <w:kern w:val="0"/>
                <w14:ligatures w14:val="none"/>
              </w:rPr>
            </w:pPr>
          </w:p>
          <w:p w14:paraId="40501C87" w14:textId="73D29ED6" w:rsidR="00CF348C" w:rsidRDefault="00CF348C" w:rsidP="00CF348C">
            <w:pPr>
              <w:spacing w:after="0" w:line="240" w:lineRule="auto"/>
              <w:rPr>
                <w:rFonts w:ascii="Calibri" w:eastAsia="Times New Roman" w:hAnsi="Calibri" w:cs="Calibri"/>
                <w:color w:val="000000"/>
                <w:kern w:val="0"/>
                <w14:ligatures w14:val="none"/>
              </w:rPr>
            </w:pPr>
            <w:r w:rsidRPr="00CF348C">
              <w:rPr>
                <w:rFonts w:ascii="Calibri" w:eastAsia="Times New Roman" w:hAnsi="Calibri" w:cs="Calibri"/>
                <w:color w:val="000000"/>
                <w:kern w:val="0"/>
                <w14:ligatures w14:val="none"/>
              </w:rPr>
              <w:t>Ignorance of Local Economic Factors: Borrowers' capacity to repay home and auto loans can be strongly impacted by local economic circumstances. Accurate credit risk assessment may be hampered by models that do not take these localized factors into account.</w:t>
            </w:r>
          </w:p>
          <w:p w14:paraId="2B476BD0" w14:textId="77777777" w:rsidR="00CF348C" w:rsidRDefault="00CF348C" w:rsidP="00CF348C">
            <w:pPr>
              <w:spacing w:after="0" w:line="240" w:lineRule="auto"/>
              <w:rPr>
                <w:rFonts w:ascii="Times New Roman" w:eastAsia="Times New Roman" w:hAnsi="Times New Roman" w:cs="Times New Roman"/>
                <w:color w:val="000000"/>
                <w:kern w:val="0"/>
                <w:sz w:val="24"/>
                <w:szCs w:val="24"/>
                <w14:ligatures w14:val="none"/>
              </w:rPr>
            </w:pPr>
          </w:p>
          <w:p w14:paraId="3682D3FE" w14:textId="77777777" w:rsidR="00EB1FCF" w:rsidRDefault="00EB1FCF" w:rsidP="00CF348C">
            <w:pPr>
              <w:spacing w:after="0" w:line="240" w:lineRule="auto"/>
              <w:rPr>
                <w:rFonts w:ascii="Times New Roman" w:eastAsia="Times New Roman" w:hAnsi="Times New Roman" w:cs="Times New Roman"/>
                <w:color w:val="000000"/>
                <w:kern w:val="0"/>
                <w:sz w:val="24"/>
                <w:szCs w:val="24"/>
                <w14:ligatures w14:val="none"/>
              </w:rPr>
            </w:pPr>
          </w:p>
          <w:p w14:paraId="5C632AA0"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Inadequate Stress Testing: Model failures during unanticipated economic downturns or crises may result from a failure to stress-test models under different economic scenarios. To find out how the model will function in challenging circumstances, stress testing is crucial.</w:t>
            </w:r>
          </w:p>
          <w:p w14:paraId="6367362E"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Insufficient Fraud Detection: To identify fraudulent loan applications or transactions, fraud detection models should be implemented for auto loans. When fraud goes undiscovered, model failures can lead to monetary losses.</w:t>
            </w:r>
          </w:p>
          <w:p w14:paraId="09967ECC"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Compliance Issues: The lending environment may be impacted by legislative and regulatory changes. Legal problems and monetary losses may arise if models do not adjust to new laws or compliance standards.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B03CA"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lastRenderedPageBreak/>
              <w:t>Home Loans: The Housing Market Bubble Burst.</w:t>
            </w:r>
          </w:p>
          <w:p w14:paraId="091D589E"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The burst of a housing market bubble is a common catalyst for a financial crisis involving housing. This can occur when home values rise to an extreme point of overvaluation, and when the bubble bursts, home values may drop precipitously. Homeowners may consequently find themselves in default or face foreclosure due to underwater mortgages, which are mortgages that are greater than the value of the property.</w:t>
            </w:r>
          </w:p>
          <w:p w14:paraId="45DD5F2B"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Home Loans: Subprime Mortgage Crisis:</w:t>
            </w:r>
          </w:p>
          <w:p w14:paraId="5898D02F"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A famous example is the subprime mortgage crisis that occurred in the middle of the 2000s. Subprime mortgage loans were given by lenders to customers with bad credit records. Mass defaults by these borrowers affected banks, mortgage-backed securities, and eventually the overall economy as a whole, sending shockwaves through the financial system.</w:t>
            </w:r>
          </w:p>
          <w:p w14:paraId="79777390"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Interest rates on auto and home loans are rising:</w:t>
            </w:r>
          </w:p>
          <w:p w14:paraId="76994901"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Borrowers may find it more difficult to afford loan payments if interest rates significantly rise. This may result in greater default rates as well as more financial strain on borrowers in the case of variable-rate auto loans or adjustable-rate mortgages.</w:t>
            </w:r>
          </w:p>
          <w:p w14:paraId="7192A891"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Poor Risk Assessment and Underwriting:</w:t>
            </w:r>
          </w:p>
          <w:p w14:paraId="2259B099"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By using loose underwriting guidelines, lenders may give loans to people who aren't creditworthy. Lending institutions may suffer financial losses as a result of an increase in loan defaults.</w:t>
            </w:r>
          </w:p>
          <w:p w14:paraId="65D8A30A"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Home loans and mortgage-backed securities are two examples of securitization.</w:t>
            </w:r>
          </w:p>
          <w:p w14:paraId="42F39F15"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Home loans packaged and sold as mortgage-backed securities can result in intricate financial products with unclear risks. The larger financial system may be impacted when these securities suffer large losses.</w:t>
            </w:r>
          </w:p>
          <w:p w14:paraId="172ACA6A"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Home and auto loans are examples of speculative lending.</w:t>
            </w:r>
          </w:p>
          <w:p w14:paraId="5FA3F98E" w14:textId="77777777" w:rsidR="00CF348C" w:rsidRDefault="00CF348C" w:rsidP="00CF348C">
            <w:pPr>
              <w:spacing w:after="0" w:line="240" w:lineRule="auto"/>
              <w:rPr>
                <w:rFonts w:ascii="Calibri" w:eastAsia="Times New Roman" w:hAnsi="Calibri" w:cs="Calibri"/>
                <w:color w:val="000000"/>
                <w:kern w:val="0"/>
                <w14:ligatures w14:val="none"/>
              </w:rPr>
            </w:pPr>
            <w:r w:rsidRPr="00CF348C">
              <w:rPr>
                <w:rFonts w:ascii="Calibri" w:eastAsia="Times New Roman" w:hAnsi="Calibri" w:cs="Calibri"/>
                <w:color w:val="000000"/>
                <w:kern w:val="0"/>
                <w14:ligatures w14:val="none"/>
              </w:rPr>
              <w:t>Lenders who engage in speculative lending practices, i.e., who lend money to borrowers who are likely to default, may suffer losses on their investments should defaults occur.</w:t>
            </w:r>
          </w:p>
          <w:p w14:paraId="60103094" w14:textId="77777777" w:rsidR="00CF348C" w:rsidRDefault="00CF348C" w:rsidP="00CF348C">
            <w:pPr>
              <w:spacing w:after="0" w:line="240" w:lineRule="auto"/>
              <w:rPr>
                <w:rFonts w:ascii="Times New Roman" w:eastAsia="Times New Roman" w:hAnsi="Times New Roman" w:cs="Times New Roman"/>
                <w:color w:val="000000"/>
                <w:kern w:val="0"/>
                <w:sz w:val="24"/>
                <w:szCs w:val="24"/>
                <w14:ligatures w14:val="none"/>
              </w:rPr>
            </w:pPr>
          </w:p>
          <w:p w14:paraId="5AC53EB4"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p>
          <w:p w14:paraId="460758CB" w14:textId="77777777" w:rsidR="00FD157D" w:rsidRDefault="00FD157D" w:rsidP="00CF348C">
            <w:pPr>
              <w:spacing w:after="0" w:line="240" w:lineRule="auto"/>
              <w:rPr>
                <w:rFonts w:ascii="Calibri" w:eastAsia="Times New Roman" w:hAnsi="Calibri" w:cs="Calibri"/>
                <w:color w:val="000000"/>
                <w:kern w:val="0"/>
                <w14:ligatures w14:val="none"/>
              </w:rPr>
            </w:pPr>
          </w:p>
          <w:p w14:paraId="30A9AD81" w14:textId="7B2E9B43"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The recession that affects loans for cars and homes alike.</w:t>
            </w:r>
          </w:p>
          <w:p w14:paraId="7871FD6F" w14:textId="77777777" w:rsidR="00CF348C" w:rsidRDefault="00CF348C" w:rsidP="00CF348C">
            <w:pPr>
              <w:spacing w:after="0" w:line="240" w:lineRule="auto"/>
              <w:rPr>
                <w:rFonts w:ascii="Calibri" w:eastAsia="Times New Roman" w:hAnsi="Calibri" w:cs="Calibri"/>
                <w:color w:val="000000"/>
                <w:kern w:val="0"/>
                <w14:ligatures w14:val="none"/>
              </w:rPr>
            </w:pPr>
            <w:r w:rsidRPr="00CF348C">
              <w:rPr>
                <w:rFonts w:ascii="Calibri" w:eastAsia="Times New Roman" w:hAnsi="Calibri" w:cs="Calibri"/>
                <w:color w:val="000000"/>
                <w:kern w:val="0"/>
                <w14:ligatures w14:val="none"/>
              </w:rPr>
              <w:t>Borrowers may find it difficult to make their loan payments on cars or homes during economic downturns or recessions due to decreased income and job losses.</w:t>
            </w:r>
          </w:p>
          <w:p w14:paraId="13C6098C" w14:textId="77777777" w:rsidR="00FD157D" w:rsidRDefault="00FD157D" w:rsidP="00CF348C">
            <w:pPr>
              <w:spacing w:after="0" w:line="240" w:lineRule="auto"/>
              <w:rPr>
                <w:rFonts w:ascii="Times New Roman" w:eastAsia="Times New Roman" w:hAnsi="Times New Roman" w:cs="Times New Roman"/>
                <w:kern w:val="0"/>
                <w:sz w:val="24"/>
                <w:szCs w:val="24"/>
                <w14:ligatures w14:val="none"/>
              </w:rPr>
            </w:pPr>
          </w:p>
          <w:p w14:paraId="5BD90B0D" w14:textId="77777777" w:rsidR="00EB1FCF" w:rsidRPr="00CF348C" w:rsidRDefault="00EB1FCF" w:rsidP="00CF348C">
            <w:pPr>
              <w:spacing w:after="0" w:line="240" w:lineRule="auto"/>
              <w:rPr>
                <w:rFonts w:ascii="Times New Roman" w:eastAsia="Times New Roman" w:hAnsi="Times New Roman" w:cs="Times New Roman"/>
                <w:kern w:val="0"/>
                <w:sz w:val="24"/>
                <w:szCs w:val="24"/>
                <w14:ligatures w14:val="none"/>
              </w:rPr>
            </w:pPr>
          </w:p>
          <w:p w14:paraId="481487C8"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Auto Loans: Insufficient Diversification.</w:t>
            </w:r>
          </w:p>
          <w:p w14:paraId="56A9D241"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If financial institutions have a significant proportion of auto loans on their balance sheets, they may become overexposed to the auto lending market. If the market for auto loans declines, this could result in large losses.</w:t>
            </w:r>
          </w:p>
          <w:p w14:paraId="4BF3F635"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Overextending Credit (Auto and Home Loans):</w:t>
            </w:r>
          </w:p>
          <w:p w14:paraId="69392CFD"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Overdraft customers run the risk of not being able to pay their bills on time. Loan defaults can result from excessive debt.</w:t>
            </w:r>
          </w:p>
          <w:p w14:paraId="517FC8AA" w14:textId="77777777" w:rsidR="00CF348C" w:rsidRPr="00CF348C" w:rsidRDefault="00CF348C" w:rsidP="00CF348C">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Regulation Modifications and Legal Concerns (Home and Auto Loans):</w:t>
            </w:r>
          </w:p>
          <w:p w14:paraId="75AD36F9" w14:textId="77777777" w:rsidR="00CF348C" w:rsidRDefault="00CF348C" w:rsidP="00CF348C">
            <w:pPr>
              <w:spacing w:after="0" w:line="240" w:lineRule="auto"/>
              <w:rPr>
                <w:rFonts w:ascii="Calibri" w:eastAsia="Times New Roman" w:hAnsi="Calibri" w:cs="Calibri"/>
                <w:color w:val="000000"/>
                <w:kern w:val="0"/>
                <w14:ligatures w14:val="none"/>
              </w:rPr>
            </w:pPr>
            <w:r w:rsidRPr="00CF348C">
              <w:rPr>
                <w:rFonts w:ascii="Calibri" w:eastAsia="Times New Roman" w:hAnsi="Calibri" w:cs="Calibri"/>
                <w:color w:val="000000"/>
                <w:kern w:val="0"/>
                <w14:ligatures w14:val="none"/>
              </w:rPr>
              <w:t>The lending climate may be impacted by modifications to laws or regulations. Legal troubles may result in financial penalties, while regulatory changes may result in stricter lending standards or new requirements.</w:t>
            </w:r>
          </w:p>
          <w:p w14:paraId="3C59F7E6" w14:textId="77777777" w:rsidR="007B70AE" w:rsidRDefault="007B70AE" w:rsidP="00CF348C">
            <w:pPr>
              <w:spacing w:after="0" w:line="240" w:lineRule="auto"/>
              <w:rPr>
                <w:rFonts w:ascii="Calibri" w:eastAsia="Times New Roman" w:hAnsi="Calibri" w:cs="Calibri"/>
                <w:color w:val="000000"/>
                <w:kern w:val="0"/>
                <w14:ligatures w14:val="none"/>
              </w:rPr>
            </w:pPr>
          </w:p>
          <w:p w14:paraId="2E420B09" w14:textId="77777777" w:rsidR="00FD157D" w:rsidRPr="00CF348C" w:rsidRDefault="00FD157D" w:rsidP="00CF348C">
            <w:pPr>
              <w:spacing w:after="0" w:line="240" w:lineRule="auto"/>
              <w:rPr>
                <w:rFonts w:ascii="Times New Roman" w:eastAsia="Times New Roman" w:hAnsi="Times New Roman" w:cs="Times New Roman"/>
                <w:kern w:val="0"/>
                <w:sz w:val="24"/>
                <w:szCs w:val="24"/>
                <w14:ligatures w14:val="none"/>
              </w:rPr>
            </w:pPr>
          </w:p>
        </w:tc>
      </w:tr>
    </w:tbl>
    <w:p w14:paraId="246528C1" w14:textId="77777777" w:rsidR="00CE15C2" w:rsidRPr="00CF348C" w:rsidRDefault="00CE15C2" w:rsidP="00CE15C2">
      <w:pPr>
        <w:snapToGrid w:val="0"/>
        <w:spacing w:after="0" w:line="240" w:lineRule="auto"/>
        <w:rPr>
          <w:rFonts w:cstheme="minorHAnsi"/>
        </w:rPr>
      </w:pPr>
    </w:p>
    <w:p w14:paraId="0829B69C" w14:textId="77777777" w:rsidR="00CF348C" w:rsidRDefault="00CF348C" w:rsidP="00CF348C">
      <w:pPr>
        <w:pStyle w:val="ListParagraph"/>
        <w:snapToGrid w:val="0"/>
        <w:spacing w:after="0" w:line="240" w:lineRule="auto"/>
        <w:ind w:left="936"/>
        <w:contextualSpacing w:val="0"/>
        <w:rPr>
          <w:rFonts w:cstheme="minorHAnsi"/>
          <w:b/>
          <w:bCs/>
          <w:lang w:val="en-US"/>
        </w:rPr>
      </w:pPr>
    </w:p>
    <w:p w14:paraId="4EDF3D83" w14:textId="77777777" w:rsidR="00CF348C" w:rsidRDefault="00CF348C" w:rsidP="00CF348C">
      <w:pPr>
        <w:pStyle w:val="ListParagraph"/>
        <w:snapToGrid w:val="0"/>
        <w:spacing w:after="0" w:line="240" w:lineRule="auto"/>
        <w:ind w:left="936"/>
        <w:contextualSpacing w:val="0"/>
        <w:rPr>
          <w:rFonts w:cstheme="minorHAnsi"/>
          <w:b/>
          <w:bCs/>
          <w:lang w:val="en-US"/>
        </w:rPr>
      </w:pPr>
    </w:p>
    <w:p w14:paraId="0A420D34" w14:textId="77777777" w:rsidR="00CF348C" w:rsidRDefault="00CF348C" w:rsidP="00CF348C">
      <w:pPr>
        <w:pStyle w:val="ListParagraph"/>
        <w:snapToGrid w:val="0"/>
        <w:spacing w:after="0" w:line="240" w:lineRule="auto"/>
        <w:ind w:left="936"/>
        <w:contextualSpacing w:val="0"/>
        <w:rPr>
          <w:rFonts w:cstheme="minorHAnsi"/>
          <w:b/>
          <w:bCs/>
          <w:lang w:val="en-US"/>
        </w:rPr>
      </w:pPr>
    </w:p>
    <w:p w14:paraId="00CCE1CA" w14:textId="77777777" w:rsidR="00CF348C" w:rsidRDefault="00CF348C" w:rsidP="00CF348C">
      <w:pPr>
        <w:pStyle w:val="ListParagraph"/>
        <w:snapToGrid w:val="0"/>
        <w:spacing w:after="0" w:line="240" w:lineRule="auto"/>
        <w:ind w:left="936"/>
        <w:contextualSpacing w:val="0"/>
        <w:rPr>
          <w:rFonts w:cstheme="minorHAnsi"/>
          <w:b/>
          <w:bCs/>
          <w:lang w:val="en-US"/>
        </w:rPr>
      </w:pPr>
    </w:p>
    <w:p w14:paraId="1D514210" w14:textId="77777777" w:rsidR="00CF348C" w:rsidRDefault="00CF348C" w:rsidP="00CF348C">
      <w:pPr>
        <w:pStyle w:val="ListParagraph"/>
        <w:snapToGrid w:val="0"/>
        <w:spacing w:after="0" w:line="240" w:lineRule="auto"/>
        <w:ind w:left="936"/>
        <w:contextualSpacing w:val="0"/>
        <w:rPr>
          <w:rFonts w:cstheme="minorHAnsi"/>
          <w:b/>
          <w:bCs/>
          <w:lang w:val="en-US"/>
        </w:rPr>
      </w:pPr>
    </w:p>
    <w:p w14:paraId="6EF3227D" w14:textId="77777777" w:rsidR="00CF348C" w:rsidRDefault="00CF348C" w:rsidP="00CF348C">
      <w:pPr>
        <w:pStyle w:val="ListParagraph"/>
        <w:snapToGrid w:val="0"/>
        <w:spacing w:after="0" w:line="240" w:lineRule="auto"/>
        <w:ind w:left="936"/>
        <w:contextualSpacing w:val="0"/>
        <w:rPr>
          <w:rFonts w:cstheme="minorHAnsi"/>
          <w:b/>
          <w:bCs/>
          <w:lang w:val="en-US"/>
        </w:rPr>
      </w:pPr>
    </w:p>
    <w:p w14:paraId="273910AD" w14:textId="77777777" w:rsidR="00CF348C" w:rsidRDefault="00CF348C" w:rsidP="00CF348C">
      <w:pPr>
        <w:pStyle w:val="ListParagraph"/>
        <w:snapToGrid w:val="0"/>
        <w:spacing w:after="0" w:line="240" w:lineRule="auto"/>
        <w:ind w:left="936"/>
        <w:contextualSpacing w:val="0"/>
        <w:rPr>
          <w:rFonts w:cstheme="minorHAnsi"/>
          <w:b/>
          <w:bCs/>
          <w:lang w:val="en-US"/>
        </w:rPr>
      </w:pPr>
    </w:p>
    <w:p w14:paraId="14A96D59" w14:textId="77777777" w:rsidR="00CF348C" w:rsidRDefault="00CF348C" w:rsidP="00CF348C">
      <w:pPr>
        <w:pStyle w:val="ListParagraph"/>
        <w:snapToGrid w:val="0"/>
        <w:spacing w:after="0" w:line="240" w:lineRule="auto"/>
        <w:ind w:left="936"/>
        <w:contextualSpacing w:val="0"/>
        <w:rPr>
          <w:rFonts w:cstheme="minorHAnsi"/>
          <w:b/>
          <w:bCs/>
          <w:lang w:val="en-US"/>
        </w:rPr>
      </w:pPr>
    </w:p>
    <w:p w14:paraId="75706E99" w14:textId="77777777" w:rsidR="00CF348C" w:rsidRDefault="00CF348C" w:rsidP="00CF348C">
      <w:pPr>
        <w:pStyle w:val="ListParagraph"/>
        <w:snapToGrid w:val="0"/>
        <w:spacing w:after="0" w:line="240" w:lineRule="auto"/>
        <w:ind w:left="936"/>
        <w:contextualSpacing w:val="0"/>
        <w:rPr>
          <w:rFonts w:cstheme="minorHAnsi"/>
          <w:b/>
          <w:bCs/>
          <w:lang w:val="en-US"/>
        </w:rPr>
      </w:pPr>
    </w:p>
    <w:p w14:paraId="12222787" w14:textId="77777777" w:rsidR="00CF348C" w:rsidRDefault="00CF348C" w:rsidP="00CF348C">
      <w:pPr>
        <w:pStyle w:val="ListParagraph"/>
        <w:snapToGrid w:val="0"/>
        <w:spacing w:after="0" w:line="240" w:lineRule="auto"/>
        <w:ind w:left="936"/>
        <w:contextualSpacing w:val="0"/>
        <w:rPr>
          <w:rFonts w:cstheme="minorHAnsi"/>
          <w:b/>
          <w:bCs/>
          <w:lang w:val="en-US"/>
        </w:rPr>
      </w:pPr>
    </w:p>
    <w:p w14:paraId="69E3A87F" w14:textId="77777777" w:rsidR="00CF348C" w:rsidRDefault="00CF348C" w:rsidP="00CF348C">
      <w:pPr>
        <w:pStyle w:val="ListParagraph"/>
        <w:snapToGrid w:val="0"/>
        <w:spacing w:after="0" w:line="240" w:lineRule="auto"/>
        <w:ind w:left="936"/>
        <w:contextualSpacing w:val="0"/>
        <w:rPr>
          <w:rFonts w:cstheme="minorHAnsi"/>
          <w:b/>
          <w:bCs/>
          <w:lang w:val="en-US"/>
        </w:rPr>
      </w:pPr>
    </w:p>
    <w:p w14:paraId="45E768F3" w14:textId="77777777" w:rsidR="00CF348C" w:rsidRDefault="00CF348C" w:rsidP="00CF348C">
      <w:pPr>
        <w:pStyle w:val="ListParagraph"/>
        <w:snapToGrid w:val="0"/>
        <w:spacing w:after="0" w:line="240" w:lineRule="auto"/>
        <w:ind w:left="936"/>
        <w:contextualSpacing w:val="0"/>
        <w:rPr>
          <w:rFonts w:cstheme="minorHAnsi"/>
          <w:b/>
          <w:bCs/>
          <w:lang w:val="en-US"/>
        </w:rPr>
      </w:pPr>
    </w:p>
    <w:p w14:paraId="1ED828F4" w14:textId="77777777" w:rsidR="00CF348C" w:rsidRDefault="00CF348C" w:rsidP="00CF348C">
      <w:pPr>
        <w:pStyle w:val="ListParagraph"/>
        <w:snapToGrid w:val="0"/>
        <w:spacing w:after="0" w:line="240" w:lineRule="auto"/>
        <w:ind w:left="936"/>
        <w:contextualSpacing w:val="0"/>
        <w:rPr>
          <w:rFonts w:cstheme="minorHAnsi"/>
          <w:b/>
          <w:bCs/>
          <w:lang w:val="en-US"/>
        </w:rPr>
      </w:pPr>
    </w:p>
    <w:p w14:paraId="3F34EB13" w14:textId="77777777" w:rsidR="006C164C" w:rsidRPr="00EB1FCF" w:rsidRDefault="006C164C" w:rsidP="00EB1FCF">
      <w:pPr>
        <w:snapToGrid w:val="0"/>
        <w:spacing w:after="0" w:line="240" w:lineRule="auto"/>
        <w:rPr>
          <w:rFonts w:cstheme="minorHAnsi"/>
          <w:b/>
          <w:bCs/>
          <w:lang w:val="en-US"/>
        </w:rPr>
      </w:pPr>
    </w:p>
    <w:p w14:paraId="08719854" w14:textId="77777777" w:rsidR="006C164C" w:rsidRPr="00FE21EB" w:rsidRDefault="006C164C" w:rsidP="006C164C">
      <w:pPr>
        <w:pStyle w:val="ListParagraph"/>
        <w:numPr>
          <w:ilvl w:val="1"/>
          <w:numId w:val="1"/>
        </w:numPr>
        <w:snapToGrid w:val="0"/>
        <w:spacing w:after="0" w:line="240" w:lineRule="auto"/>
        <w:contextualSpacing w:val="0"/>
        <w:rPr>
          <w:rFonts w:cstheme="minorHAnsi"/>
          <w:b/>
          <w:bCs/>
          <w:sz w:val="24"/>
          <w:szCs w:val="24"/>
          <w:lang w:val="en-US"/>
        </w:rPr>
      </w:pPr>
      <w:r w:rsidRPr="00FE21EB">
        <w:rPr>
          <w:rFonts w:cstheme="minorHAnsi"/>
          <w:b/>
          <w:bCs/>
          <w:sz w:val="24"/>
          <w:szCs w:val="24"/>
          <w:lang w:val="en-US"/>
        </w:rPr>
        <w:t>Student:</w:t>
      </w:r>
      <w:r w:rsidRPr="00FE21EB">
        <w:rPr>
          <w:rFonts w:cstheme="minorHAnsi"/>
          <w:b/>
          <w:bCs/>
          <w:sz w:val="24"/>
          <w:szCs w:val="24"/>
        </w:rPr>
        <w:t xml:space="preserve"> </w:t>
      </w:r>
      <w:r w:rsidRPr="00FE21EB">
        <w:rPr>
          <w:rFonts w:cstheme="minorHAnsi"/>
          <w:b/>
          <w:bCs/>
          <w:sz w:val="24"/>
          <w:szCs w:val="24"/>
          <w:lang w:val="en-US"/>
        </w:rPr>
        <w:t xml:space="preserve">Ebenezer - Construction Business loan at a fixed rate </w:t>
      </w:r>
    </w:p>
    <w:p w14:paraId="08ED9567" w14:textId="77777777" w:rsidR="006C164C" w:rsidRDefault="006C164C" w:rsidP="006C164C">
      <w:pPr>
        <w:pStyle w:val="ListParagraph"/>
        <w:snapToGrid w:val="0"/>
        <w:spacing w:after="0" w:line="240" w:lineRule="auto"/>
        <w:ind w:left="936"/>
        <w:contextualSpacing w:val="0"/>
        <w:rPr>
          <w:rFonts w:cstheme="minorHAnsi"/>
          <w:b/>
          <w:bCs/>
          <w:sz w:val="20"/>
          <w:szCs w:val="2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2"/>
        <w:gridCol w:w="7834"/>
        <w:gridCol w:w="6422"/>
      </w:tblGrid>
      <w:tr w:rsidR="006C164C" w:rsidRPr="00CF348C" w14:paraId="3D0285A3" w14:textId="77777777" w:rsidTr="00AA0F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93D74" w14:textId="77777777" w:rsidR="006C164C" w:rsidRPr="00CF348C" w:rsidRDefault="006C164C" w:rsidP="00AA0FA4">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744FC" w14:textId="77777777" w:rsidR="006C164C" w:rsidRPr="00CF348C" w:rsidRDefault="006C164C" w:rsidP="00AA0FA4">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MODEL FAILURES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E5A13" w14:textId="77777777" w:rsidR="006C164C" w:rsidRPr="00CF348C" w:rsidRDefault="006C164C" w:rsidP="00AA0FA4">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FINANCIAL CRISIS</w:t>
            </w:r>
          </w:p>
        </w:tc>
      </w:tr>
      <w:tr w:rsidR="006C164C" w:rsidRPr="00CF348C" w14:paraId="5E9C34E9" w14:textId="77777777" w:rsidTr="00AA0FA4">
        <w:trPr>
          <w:trHeight w:val="11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D8613" w14:textId="77777777" w:rsidR="006C164C" w:rsidRPr="00CF348C" w:rsidRDefault="006C164C" w:rsidP="00AA0F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D41CB" w14:textId="77777777" w:rsidR="006C164C" w:rsidRDefault="006C164C" w:rsidP="00AA0FA4">
            <w:pPr>
              <w:pStyle w:val="ListParagraph"/>
              <w:numPr>
                <w:ilvl w:val="0"/>
                <w:numId w:val="32"/>
              </w:numPr>
            </w:pPr>
            <w:r w:rsidRPr="008F437B">
              <w:t>Model failures in this scenario can arise from inaccurate or flawed assumptions in the loan underwriting process. This includes the assessment of the borrower's creditworthiness and the feasibility of the construction project. A failure in assessing creditworthiness can increase the risk of default, while inaccuracies in project feasibility can lead to a higher risk of project failure.</w:t>
            </w:r>
          </w:p>
          <w:p w14:paraId="5AF2001B" w14:textId="77777777" w:rsidR="006C164C" w:rsidRPr="008F437B" w:rsidRDefault="006C164C" w:rsidP="00AA0FA4">
            <w:pPr>
              <w:pStyle w:val="ListParagraph"/>
              <w:spacing w:after="0" w:line="240" w:lineRule="auto"/>
            </w:pPr>
          </w:p>
          <w:p w14:paraId="10FAF34A" w14:textId="77777777" w:rsidR="006C164C" w:rsidRDefault="006C164C" w:rsidP="00AA0FA4">
            <w:pPr>
              <w:pStyle w:val="ListParagraph"/>
              <w:numPr>
                <w:ilvl w:val="0"/>
                <w:numId w:val="32"/>
              </w:numPr>
            </w:pPr>
            <w:r w:rsidRPr="008F437B">
              <w:t>Flawed modelling assumptions could also fail to account for potential cost overruns or delays in the construction project. These unforeseen challenges can impair the borrower's ability to repay the loan as expected.</w:t>
            </w:r>
          </w:p>
          <w:p w14:paraId="06540B71" w14:textId="77777777" w:rsidR="006C164C" w:rsidRDefault="006C164C" w:rsidP="00AA0FA4">
            <w:pPr>
              <w:pStyle w:val="ListParagraph"/>
            </w:pPr>
          </w:p>
          <w:p w14:paraId="6147B24F" w14:textId="77777777" w:rsidR="006C164C" w:rsidRDefault="006C164C" w:rsidP="00AA0FA4">
            <w:pPr>
              <w:pStyle w:val="ListParagraph"/>
              <w:numPr>
                <w:ilvl w:val="0"/>
                <w:numId w:val="32"/>
              </w:numPr>
            </w:pPr>
            <w:r w:rsidRPr="00957296">
              <w:t>Inaccurate estimations of construction costs and timelines, resulting from insufficient data or poor modelling techniques, can have severe repercussions. Overestimating costs or underestimating timelines can disrupt the project's financial viability, affecting the borrower's ability to service the loan.</w:t>
            </w:r>
          </w:p>
          <w:p w14:paraId="16906CC0" w14:textId="77777777" w:rsidR="006C164C" w:rsidRPr="00CF348C" w:rsidRDefault="006C164C" w:rsidP="00AA0FA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8B261" w14:textId="77777777" w:rsidR="006C164C" w:rsidRPr="008F437B" w:rsidRDefault="006C164C" w:rsidP="00AA0FA4">
            <w:pPr>
              <w:pStyle w:val="ListParagraph"/>
              <w:numPr>
                <w:ilvl w:val="0"/>
                <w:numId w:val="33"/>
              </w:numPr>
              <w:spacing w:after="0" w:line="240" w:lineRule="auto"/>
            </w:pPr>
            <w:r w:rsidRPr="008F437B">
              <w:t>Economic downturns can significantly impact construction loans, as decreased demand for new projects can lead to reduced revenue. In such cases, borrowers may face difficulties in generating sufficient cash flow to meet their repayment obligations.</w:t>
            </w:r>
          </w:p>
          <w:p w14:paraId="0BD008A9" w14:textId="77777777" w:rsidR="006C164C" w:rsidRDefault="006C164C" w:rsidP="00AA0FA4"/>
          <w:p w14:paraId="46E8F191" w14:textId="77777777" w:rsidR="006C164C" w:rsidRDefault="006C164C" w:rsidP="00AA0FA4">
            <w:pPr>
              <w:pStyle w:val="ListParagraph"/>
              <w:numPr>
                <w:ilvl w:val="0"/>
                <w:numId w:val="33"/>
              </w:numPr>
            </w:pPr>
            <w:r w:rsidRPr="008F437B">
              <w:t>Natural disasters or unforeseen events that damage the construction site or completed project can lead to increased costs and delays. These unexpected events may strain the project budget and hinder the borrower's capacity to meet loan repayment commitments.</w:t>
            </w:r>
          </w:p>
          <w:p w14:paraId="71882E06" w14:textId="77777777" w:rsidR="006C164C" w:rsidRDefault="006C164C" w:rsidP="00AA0FA4">
            <w:pPr>
              <w:pStyle w:val="ListParagraph"/>
            </w:pPr>
          </w:p>
          <w:p w14:paraId="105AA108" w14:textId="77777777" w:rsidR="006C164C" w:rsidRDefault="006C164C" w:rsidP="00AA0FA4">
            <w:pPr>
              <w:pStyle w:val="ListParagraph"/>
              <w:numPr>
                <w:ilvl w:val="0"/>
                <w:numId w:val="33"/>
              </w:numPr>
            </w:pPr>
            <w:r w:rsidRPr="008F437B">
              <w:t>Financial crises can pose significant challenges. During such crises, there may be a decrease in demand for new construction projects, which could result in a decline in property values and an increased risk of default for borrowers.</w:t>
            </w:r>
          </w:p>
          <w:p w14:paraId="7FE06554" w14:textId="77777777" w:rsidR="006C164C" w:rsidRPr="00957296" w:rsidRDefault="006C164C" w:rsidP="00AA0FA4">
            <w:pPr>
              <w:pStyle w:val="ListParagraph"/>
              <w:numPr>
                <w:ilvl w:val="0"/>
                <w:numId w:val="33"/>
              </w:numPr>
              <w:spacing w:after="0" w:line="240" w:lineRule="auto"/>
              <w:rPr>
                <w:rFonts w:ascii="Times New Roman" w:eastAsia="Times New Roman" w:hAnsi="Times New Roman" w:cs="Times New Roman"/>
                <w:kern w:val="0"/>
                <w:sz w:val="24"/>
                <w:szCs w:val="24"/>
                <w14:ligatures w14:val="none"/>
              </w:rPr>
            </w:pPr>
            <w:r w:rsidRPr="008F437B">
              <w:t>A financial crisis can also lead to a tightening of credit markets, making it more difficult for businesses to secure financing for construction projects. The restricted access to credit markets exacerbates the challenges faced by borrowers, increasing the risk of loan defaults.</w:t>
            </w:r>
          </w:p>
        </w:tc>
      </w:tr>
    </w:tbl>
    <w:p w14:paraId="29A6AFFA" w14:textId="77777777" w:rsidR="006C164C" w:rsidRDefault="006C164C" w:rsidP="006C164C">
      <w:pPr>
        <w:pStyle w:val="ListParagraph"/>
        <w:snapToGrid w:val="0"/>
        <w:spacing w:after="0" w:line="240" w:lineRule="auto"/>
        <w:ind w:left="936"/>
        <w:contextualSpacing w:val="0"/>
        <w:rPr>
          <w:rFonts w:cstheme="minorHAnsi"/>
          <w:b/>
          <w:bCs/>
          <w:sz w:val="20"/>
          <w:szCs w:val="20"/>
          <w:lang w:val="en-US"/>
        </w:rPr>
      </w:pPr>
    </w:p>
    <w:p w14:paraId="7AB9E1C8" w14:textId="77777777" w:rsidR="006C164C" w:rsidRDefault="006C164C" w:rsidP="006C164C">
      <w:pPr>
        <w:pStyle w:val="ListParagraph"/>
        <w:snapToGrid w:val="0"/>
        <w:spacing w:after="0" w:line="240" w:lineRule="auto"/>
        <w:ind w:left="936"/>
        <w:contextualSpacing w:val="0"/>
        <w:rPr>
          <w:rFonts w:cstheme="minorHAnsi"/>
          <w:b/>
          <w:bCs/>
          <w:sz w:val="20"/>
          <w:szCs w:val="20"/>
          <w:lang w:val="en-US"/>
        </w:rPr>
      </w:pPr>
    </w:p>
    <w:p w14:paraId="512846C8" w14:textId="77777777" w:rsidR="006C164C" w:rsidRDefault="006C164C" w:rsidP="00CF348C">
      <w:pPr>
        <w:pStyle w:val="ListParagraph"/>
        <w:snapToGrid w:val="0"/>
        <w:spacing w:after="0" w:line="240" w:lineRule="auto"/>
        <w:ind w:left="936"/>
        <w:contextualSpacing w:val="0"/>
        <w:rPr>
          <w:rFonts w:cstheme="minorHAnsi"/>
          <w:b/>
          <w:bCs/>
          <w:lang w:val="en-US"/>
        </w:rPr>
      </w:pPr>
    </w:p>
    <w:p w14:paraId="034F5801" w14:textId="77777777" w:rsidR="006C164C" w:rsidRDefault="006C164C" w:rsidP="00CF348C">
      <w:pPr>
        <w:pStyle w:val="ListParagraph"/>
        <w:snapToGrid w:val="0"/>
        <w:spacing w:after="0" w:line="240" w:lineRule="auto"/>
        <w:ind w:left="936"/>
        <w:contextualSpacing w:val="0"/>
        <w:rPr>
          <w:rFonts w:cstheme="minorHAnsi"/>
          <w:b/>
          <w:bCs/>
          <w:lang w:val="en-US"/>
        </w:rPr>
      </w:pPr>
    </w:p>
    <w:p w14:paraId="295B18EC" w14:textId="77777777" w:rsidR="006C164C" w:rsidRDefault="006C164C" w:rsidP="00CF348C">
      <w:pPr>
        <w:pStyle w:val="ListParagraph"/>
        <w:snapToGrid w:val="0"/>
        <w:spacing w:after="0" w:line="240" w:lineRule="auto"/>
        <w:ind w:left="936"/>
        <w:contextualSpacing w:val="0"/>
        <w:rPr>
          <w:rFonts w:cstheme="minorHAnsi"/>
          <w:b/>
          <w:bCs/>
          <w:lang w:val="en-US"/>
        </w:rPr>
      </w:pPr>
    </w:p>
    <w:p w14:paraId="44C10F91" w14:textId="77777777" w:rsidR="006C164C" w:rsidRDefault="006C164C" w:rsidP="00CF348C">
      <w:pPr>
        <w:pStyle w:val="ListParagraph"/>
        <w:snapToGrid w:val="0"/>
        <w:spacing w:after="0" w:line="240" w:lineRule="auto"/>
        <w:ind w:left="936"/>
        <w:contextualSpacing w:val="0"/>
        <w:rPr>
          <w:rFonts w:cstheme="minorHAnsi"/>
          <w:b/>
          <w:bCs/>
          <w:lang w:val="en-US"/>
        </w:rPr>
      </w:pPr>
    </w:p>
    <w:p w14:paraId="4CAC4BFF" w14:textId="77777777" w:rsidR="006C164C" w:rsidRDefault="006C164C" w:rsidP="00CF348C">
      <w:pPr>
        <w:pStyle w:val="ListParagraph"/>
        <w:snapToGrid w:val="0"/>
        <w:spacing w:after="0" w:line="240" w:lineRule="auto"/>
        <w:ind w:left="936"/>
        <w:contextualSpacing w:val="0"/>
        <w:rPr>
          <w:rFonts w:cstheme="minorHAnsi"/>
          <w:b/>
          <w:bCs/>
          <w:lang w:val="en-US"/>
        </w:rPr>
      </w:pPr>
    </w:p>
    <w:p w14:paraId="6D55A59E" w14:textId="77777777" w:rsidR="006C164C" w:rsidRDefault="006C164C" w:rsidP="00CF348C">
      <w:pPr>
        <w:pStyle w:val="ListParagraph"/>
        <w:snapToGrid w:val="0"/>
        <w:spacing w:after="0" w:line="240" w:lineRule="auto"/>
        <w:ind w:left="936"/>
        <w:contextualSpacing w:val="0"/>
        <w:rPr>
          <w:rFonts w:cstheme="minorHAnsi"/>
          <w:b/>
          <w:bCs/>
          <w:lang w:val="en-US"/>
        </w:rPr>
      </w:pPr>
    </w:p>
    <w:p w14:paraId="29958C71" w14:textId="77777777" w:rsidR="00CC5F74" w:rsidRPr="004B5B9D" w:rsidRDefault="00CC5F74" w:rsidP="004B5B9D">
      <w:pPr>
        <w:snapToGrid w:val="0"/>
        <w:spacing w:after="0" w:line="240" w:lineRule="auto"/>
        <w:rPr>
          <w:rFonts w:cstheme="minorHAnsi"/>
          <w:b/>
          <w:bCs/>
          <w:sz w:val="20"/>
          <w:szCs w:val="20"/>
          <w:lang w:val="en-US"/>
        </w:rPr>
      </w:pPr>
    </w:p>
    <w:p w14:paraId="1CCE15A7" w14:textId="77777777" w:rsidR="00CE15C2" w:rsidRDefault="00000000" w:rsidP="001F6C8D">
      <w:pPr>
        <w:pStyle w:val="ListParagraph"/>
        <w:numPr>
          <w:ilvl w:val="1"/>
          <w:numId w:val="1"/>
        </w:numPr>
        <w:snapToGrid w:val="0"/>
        <w:spacing w:after="0" w:line="240" w:lineRule="auto"/>
        <w:contextualSpacing w:val="0"/>
        <w:rPr>
          <w:rFonts w:cstheme="minorHAnsi"/>
          <w:b/>
          <w:bCs/>
          <w:sz w:val="24"/>
          <w:szCs w:val="24"/>
          <w:lang w:val="en-US"/>
        </w:rPr>
      </w:pPr>
      <w:r w:rsidRPr="00D022CA">
        <w:rPr>
          <w:rFonts w:cstheme="minorHAnsi"/>
          <w:b/>
          <w:bCs/>
          <w:sz w:val="24"/>
          <w:szCs w:val="24"/>
          <w:lang w:val="en-US"/>
        </w:rPr>
        <w:t>Student Yhasreen for bond and equity</w:t>
      </w:r>
    </w:p>
    <w:p w14:paraId="32FB576A" w14:textId="77777777" w:rsidR="00805D9D" w:rsidRPr="00D022CA" w:rsidRDefault="00805D9D" w:rsidP="00805D9D">
      <w:pPr>
        <w:pStyle w:val="ListParagraph"/>
        <w:snapToGrid w:val="0"/>
        <w:spacing w:after="0" w:line="240" w:lineRule="auto"/>
        <w:ind w:left="936"/>
        <w:contextualSpacing w:val="0"/>
        <w:rPr>
          <w:rFonts w:cstheme="minorHAnsi"/>
          <w:b/>
          <w:bCs/>
          <w:sz w:val="24"/>
          <w:szCs w:val="24"/>
          <w:lang w:val="en-US"/>
        </w:rPr>
      </w:pPr>
    </w:p>
    <w:tbl>
      <w:tblPr>
        <w:tblStyle w:val="TableGrid"/>
        <w:tblW w:w="0" w:type="auto"/>
        <w:tblLook w:val="04A0" w:firstRow="1" w:lastRow="0" w:firstColumn="1" w:lastColumn="0" w:noHBand="0" w:noVBand="1"/>
      </w:tblPr>
      <w:tblGrid>
        <w:gridCol w:w="473"/>
        <w:gridCol w:w="318"/>
        <w:gridCol w:w="1278"/>
        <w:gridCol w:w="6446"/>
        <w:gridCol w:w="6720"/>
      </w:tblGrid>
      <w:tr w:rsidR="00640BAF" w14:paraId="21ED280F" w14:textId="77777777" w:rsidTr="00C2503A">
        <w:tc>
          <w:tcPr>
            <w:tcW w:w="2069" w:type="dxa"/>
            <w:gridSpan w:val="3"/>
            <w:vMerge w:val="restart"/>
            <w:shd w:val="clear" w:color="auto" w:fill="F2F2F2" w:themeFill="background1" w:themeFillShade="F2"/>
            <w:vAlign w:val="center"/>
          </w:tcPr>
          <w:p w14:paraId="29216A22" w14:textId="77777777" w:rsidR="00B32380" w:rsidRPr="007306AF" w:rsidRDefault="00000000" w:rsidP="00750815">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Table 1</w:t>
            </w:r>
            <w:r w:rsidR="002D0403">
              <w:rPr>
                <w:rFonts w:cstheme="minorHAnsi"/>
                <w:b/>
                <w:bCs/>
                <w:sz w:val="20"/>
                <w:szCs w:val="20"/>
                <w:lang w:val="en-US"/>
              </w:rPr>
              <w:t>.</w:t>
            </w:r>
          </w:p>
        </w:tc>
        <w:tc>
          <w:tcPr>
            <w:tcW w:w="13166" w:type="dxa"/>
            <w:gridSpan w:val="2"/>
            <w:shd w:val="clear" w:color="auto" w:fill="F2F2F2" w:themeFill="background1" w:themeFillShade="F2"/>
            <w:vAlign w:val="center"/>
          </w:tcPr>
          <w:p w14:paraId="01F15241" w14:textId="6B0FC957" w:rsidR="00B32380" w:rsidRPr="00F81349" w:rsidRDefault="006E733F" w:rsidP="00750815">
            <w:pPr>
              <w:pStyle w:val="ListParagraph"/>
              <w:snapToGrid w:val="0"/>
              <w:ind w:left="0"/>
              <w:contextualSpacing w:val="0"/>
              <w:jc w:val="center"/>
              <w:rPr>
                <w:rFonts w:cstheme="minorHAnsi"/>
                <w:b/>
                <w:bCs/>
                <w:sz w:val="24"/>
                <w:szCs w:val="24"/>
                <w:lang w:val="en-US"/>
              </w:rPr>
            </w:pPr>
            <w:r w:rsidRPr="00F81349">
              <w:rPr>
                <w:rFonts w:cstheme="minorHAnsi"/>
                <w:b/>
                <w:bCs/>
                <w:sz w:val="24"/>
                <w:szCs w:val="24"/>
                <w:lang w:val="en-US"/>
              </w:rPr>
              <w:t>Fallout Risk</w:t>
            </w:r>
            <w:r w:rsidR="007218DB" w:rsidRPr="00F81349">
              <w:rPr>
                <w:rFonts w:cstheme="minorHAnsi"/>
                <w:b/>
                <w:bCs/>
                <w:sz w:val="24"/>
                <w:szCs w:val="24"/>
                <w:lang w:val="en-US"/>
              </w:rPr>
              <w:t xml:space="preserve"> </w:t>
            </w:r>
            <w:r w:rsidR="00A65A6A" w:rsidRPr="00F81349">
              <w:rPr>
                <w:rFonts w:cstheme="minorHAnsi"/>
                <w:b/>
                <w:bCs/>
                <w:sz w:val="24"/>
                <w:szCs w:val="24"/>
                <w:lang w:val="en-US"/>
              </w:rPr>
              <w:t>for</w:t>
            </w:r>
            <w:r w:rsidR="007218DB" w:rsidRPr="00F81349">
              <w:rPr>
                <w:rFonts w:cstheme="minorHAnsi"/>
                <w:b/>
                <w:bCs/>
                <w:sz w:val="24"/>
                <w:szCs w:val="24"/>
                <w:lang w:val="en-US"/>
              </w:rPr>
              <w:t xml:space="preserve"> Equity</w:t>
            </w:r>
          </w:p>
        </w:tc>
      </w:tr>
      <w:tr w:rsidR="00640BAF" w14:paraId="07031A30" w14:textId="77777777" w:rsidTr="00C2503A">
        <w:tc>
          <w:tcPr>
            <w:tcW w:w="2069" w:type="dxa"/>
            <w:gridSpan w:val="3"/>
            <w:vMerge/>
            <w:shd w:val="clear" w:color="auto" w:fill="F2F2F2" w:themeFill="background1" w:themeFillShade="F2"/>
          </w:tcPr>
          <w:p w14:paraId="222693E1" w14:textId="77777777" w:rsidR="00B32380" w:rsidRPr="007306AF" w:rsidRDefault="00B32380" w:rsidP="00750815">
            <w:pPr>
              <w:pStyle w:val="ListParagraph"/>
              <w:snapToGrid w:val="0"/>
              <w:ind w:left="0"/>
              <w:contextualSpacing w:val="0"/>
              <w:jc w:val="center"/>
              <w:rPr>
                <w:rFonts w:cstheme="minorHAnsi"/>
                <w:b/>
                <w:bCs/>
                <w:sz w:val="20"/>
                <w:szCs w:val="20"/>
                <w:lang w:val="en-US"/>
              </w:rPr>
            </w:pPr>
          </w:p>
        </w:tc>
        <w:tc>
          <w:tcPr>
            <w:tcW w:w="6446" w:type="dxa"/>
            <w:shd w:val="clear" w:color="auto" w:fill="F2F2F2" w:themeFill="background1" w:themeFillShade="F2"/>
            <w:vAlign w:val="center"/>
          </w:tcPr>
          <w:p w14:paraId="3D03F3B5" w14:textId="77777777" w:rsidR="00B32380" w:rsidRPr="007306AF" w:rsidRDefault="00000000"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Analyst</w:t>
            </w:r>
            <w:r w:rsidR="00DC1ACD">
              <w:rPr>
                <w:rFonts w:cstheme="minorHAnsi"/>
                <w:b/>
                <w:bCs/>
                <w:sz w:val="20"/>
                <w:szCs w:val="20"/>
                <w:lang w:val="en-US"/>
              </w:rPr>
              <w:t>’s</w:t>
            </w:r>
            <w:r>
              <w:rPr>
                <w:rFonts w:cstheme="minorHAnsi"/>
                <w:b/>
                <w:bCs/>
                <w:sz w:val="20"/>
                <w:szCs w:val="20"/>
                <w:lang w:val="en-US"/>
              </w:rPr>
              <w:t xml:space="preserve"> </w:t>
            </w:r>
            <w:r w:rsidRPr="007306AF">
              <w:rPr>
                <w:rFonts w:cstheme="minorHAnsi"/>
                <w:b/>
                <w:bCs/>
                <w:sz w:val="20"/>
                <w:szCs w:val="20"/>
                <w:lang w:val="en-US"/>
              </w:rPr>
              <w:t>Consideration</w:t>
            </w:r>
          </w:p>
        </w:tc>
        <w:tc>
          <w:tcPr>
            <w:tcW w:w="6720" w:type="dxa"/>
            <w:shd w:val="clear" w:color="auto" w:fill="F2F2F2" w:themeFill="background1" w:themeFillShade="F2"/>
            <w:vAlign w:val="center"/>
          </w:tcPr>
          <w:p w14:paraId="5BA93FD8" w14:textId="77777777" w:rsidR="00B32380" w:rsidRPr="007306AF" w:rsidRDefault="00000000"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Analyst</w:t>
            </w:r>
            <w:r w:rsidR="00DC1ACD">
              <w:rPr>
                <w:rFonts w:cstheme="minorHAnsi"/>
                <w:b/>
                <w:bCs/>
                <w:sz w:val="20"/>
                <w:szCs w:val="20"/>
                <w:lang w:val="en-US"/>
              </w:rPr>
              <w:t>’s</w:t>
            </w:r>
            <w:r>
              <w:rPr>
                <w:rFonts w:cstheme="minorHAnsi"/>
                <w:b/>
                <w:bCs/>
                <w:sz w:val="20"/>
                <w:szCs w:val="20"/>
                <w:lang w:val="en-US"/>
              </w:rPr>
              <w:t xml:space="preserve"> </w:t>
            </w:r>
            <w:r w:rsidRPr="007306AF">
              <w:rPr>
                <w:rFonts w:cstheme="minorHAnsi"/>
                <w:b/>
                <w:bCs/>
                <w:sz w:val="20"/>
                <w:szCs w:val="20"/>
                <w:lang w:val="en-US"/>
              </w:rPr>
              <w:t>Consideration</w:t>
            </w:r>
          </w:p>
        </w:tc>
      </w:tr>
      <w:tr w:rsidR="00640BAF" w14:paraId="2FCDC4A9" w14:textId="77777777" w:rsidTr="00C2503A">
        <w:tc>
          <w:tcPr>
            <w:tcW w:w="2069" w:type="dxa"/>
            <w:gridSpan w:val="3"/>
            <w:vMerge/>
            <w:shd w:val="clear" w:color="auto" w:fill="F2F2F2" w:themeFill="background1" w:themeFillShade="F2"/>
          </w:tcPr>
          <w:p w14:paraId="1D105950" w14:textId="77777777" w:rsidR="00B32380" w:rsidRPr="007306AF" w:rsidRDefault="00B32380" w:rsidP="00750815">
            <w:pPr>
              <w:pStyle w:val="ListParagraph"/>
              <w:snapToGrid w:val="0"/>
              <w:ind w:left="0"/>
              <w:contextualSpacing w:val="0"/>
              <w:jc w:val="center"/>
              <w:rPr>
                <w:rFonts w:cstheme="minorHAnsi"/>
                <w:b/>
                <w:bCs/>
                <w:sz w:val="20"/>
                <w:szCs w:val="20"/>
                <w:lang w:val="en-US"/>
              </w:rPr>
            </w:pPr>
          </w:p>
        </w:tc>
        <w:tc>
          <w:tcPr>
            <w:tcW w:w="6446" w:type="dxa"/>
            <w:shd w:val="clear" w:color="auto" w:fill="F2F2F2" w:themeFill="background1" w:themeFillShade="F2"/>
            <w:vAlign w:val="center"/>
          </w:tcPr>
          <w:p w14:paraId="173F1C8B" w14:textId="77777777" w:rsidR="00B32380" w:rsidRPr="007306AF" w:rsidRDefault="00000000"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Model Failure</w:t>
            </w:r>
          </w:p>
        </w:tc>
        <w:tc>
          <w:tcPr>
            <w:tcW w:w="6720" w:type="dxa"/>
            <w:shd w:val="clear" w:color="auto" w:fill="F2F2F2" w:themeFill="background1" w:themeFillShade="F2"/>
            <w:vAlign w:val="center"/>
          </w:tcPr>
          <w:p w14:paraId="6B36C919" w14:textId="77777777" w:rsidR="00B32380" w:rsidRPr="007306AF" w:rsidRDefault="00000000" w:rsidP="00750815">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Financial Crisis</w:t>
            </w:r>
          </w:p>
        </w:tc>
      </w:tr>
      <w:tr w:rsidR="00640BAF" w14:paraId="658053C5" w14:textId="77777777" w:rsidTr="00C2503A">
        <w:tc>
          <w:tcPr>
            <w:tcW w:w="0" w:type="auto"/>
            <w:shd w:val="clear" w:color="auto" w:fill="F2F2F2" w:themeFill="background1" w:themeFillShade="F2"/>
            <w:textDirection w:val="btLr"/>
          </w:tcPr>
          <w:p w14:paraId="03FE558C" w14:textId="77777777" w:rsidR="00541BB7" w:rsidRPr="007306AF" w:rsidRDefault="00000000" w:rsidP="00750815">
            <w:pPr>
              <w:pStyle w:val="ListParagraph"/>
              <w:snapToGrid w:val="0"/>
              <w:ind w:left="113" w:right="113"/>
              <w:contextualSpacing w:val="0"/>
              <w:jc w:val="center"/>
              <w:rPr>
                <w:rFonts w:cstheme="minorHAnsi"/>
                <w:b/>
                <w:bCs/>
                <w:sz w:val="20"/>
                <w:szCs w:val="20"/>
                <w:lang w:val="en-US"/>
              </w:rPr>
            </w:pPr>
            <w:r w:rsidRPr="007306AF">
              <w:rPr>
                <w:rFonts w:cstheme="minorHAnsi"/>
                <w:b/>
                <w:bCs/>
                <w:sz w:val="20"/>
                <w:szCs w:val="20"/>
                <w:lang w:val="en-US"/>
              </w:rPr>
              <w:t xml:space="preserve">Security </w:t>
            </w:r>
            <w:r w:rsidR="006F53DC" w:rsidRPr="007306AF">
              <w:rPr>
                <w:rFonts w:cstheme="minorHAnsi"/>
                <w:b/>
                <w:bCs/>
                <w:sz w:val="20"/>
                <w:szCs w:val="20"/>
                <w:lang w:val="en-US"/>
              </w:rPr>
              <w:t>L</w:t>
            </w:r>
            <w:r w:rsidRPr="007306AF">
              <w:rPr>
                <w:rFonts w:cstheme="minorHAnsi"/>
                <w:b/>
                <w:bCs/>
                <w:sz w:val="20"/>
                <w:szCs w:val="20"/>
                <w:lang w:val="en-US"/>
              </w:rPr>
              <w:t xml:space="preserve">ending </w:t>
            </w:r>
            <w:r w:rsidR="006F53DC" w:rsidRPr="007306AF">
              <w:rPr>
                <w:rFonts w:cstheme="minorHAnsi"/>
                <w:b/>
                <w:bCs/>
                <w:sz w:val="20"/>
                <w:szCs w:val="20"/>
                <w:lang w:val="en-US"/>
              </w:rPr>
              <w:t>S</w:t>
            </w:r>
            <w:r w:rsidRPr="007306AF">
              <w:rPr>
                <w:rFonts w:cstheme="minorHAnsi"/>
                <w:b/>
                <w:bCs/>
                <w:sz w:val="20"/>
                <w:szCs w:val="20"/>
                <w:lang w:val="en-US"/>
              </w:rPr>
              <w:t>cenarios</w:t>
            </w:r>
          </w:p>
        </w:tc>
        <w:tc>
          <w:tcPr>
            <w:tcW w:w="0" w:type="auto"/>
            <w:shd w:val="clear" w:color="auto" w:fill="F2F2F2" w:themeFill="background1" w:themeFillShade="F2"/>
            <w:vAlign w:val="center"/>
          </w:tcPr>
          <w:p w14:paraId="4F24A0A5" w14:textId="77777777" w:rsidR="00541BB7" w:rsidRPr="007306AF" w:rsidRDefault="00000000" w:rsidP="00750815">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4</w:t>
            </w:r>
          </w:p>
        </w:tc>
        <w:tc>
          <w:tcPr>
            <w:tcW w:w="1278" w:type="dxa"/>
            <w:shd w:val="clear" w:color="auto" w:fill="F2F2F2" w:themeFill="background1" w:themeFillShade="F2"/>
            <w:vAlign w:val="center"/>
          </w:tcPr>
          <w:p w14:paraId="4B33AA0A" w14:textId="77777777" w:rsidR="00007109" w:rsidRPr="007306AF" w:rsidRDefault="00000000"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AAPL</w:t>
            </w:r>
          </w:p>
          <w:p w14:paraId="180F2225" w14:textId="77777777" w:rsidR="00541BB7" w:rsidRPr="007306AF" w:rsidRDefault="00000000" w:rsidP="00750815">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Equity Investment</w:t>
            </w:r>
          </w:p>
          <w:p w14:paraId="179D971F" w14:textId="77777777" w:rsidR="00541BB7" w:rsidRPr="007306AF" w:rsidRDefault="00541BB7" w:rsidP="00750815">
            <w:pPr>
              <w:pStyle w:val="ListParagraph"/>
              <w:snapToGrid w:val="0"/>
              <w:ind w:left="0"/>
              <w:contextualSpacing w:val="0"/>
              <w:rPr>
                <w:rFonts w:cstheme="minorHAnsi"/>
                <w:b/>
                <w:bCs/>
                <w:sz w:val="20"/>
                <w:szCs w:val="20"/>
                <w:lang w:val="en-US"/>
              </w:rPr>
            </w:pPr>
          </w:p>
        </w:tc>
        <w:tc>
          <w:tcPr>
            <w:tcW w:w="6446" w:type="dxa"/>
            <w:shd w:val="clear" w:color="auto" w:fill="auto"/>
          </w:tcPr>
          <w:p w14:paraId="13BB4426" w14:textId="77777777" w:rsidR="00537F0D" w:rsidRDefault="00000000" w:rsidP="00802E8F">
            <w:pPr>
              <w:pStyle w:val="ListParagraph"/>
              <w:numPr>
                <w:ilvl w:val="0"/>
                <w:numId w:val="2"/>
              </w:numPr>
              <w:snapToGrid w:val="0"/>
              <w:rPr>
                <w:rFonts w:cstheme="minorHAnsi"/>
                <w:sz w:val="20"/>
                <w:szCs w:val="20"/>
                <w:lang w:val="en-US"/>
              </w:rPr>
            </w:pPr>
            <w:r w:rsidRPr="007D5C5B">
              <w:rPr>
                <w:rFonts w:cstheme="minorHAnsi"/>
                <w:b/>
                <w:bCs/>
                <w:sz w:val="20"/>
                <w:szCs w:val="20"/>
                <w:lang w:val="en-US"/>
              </w:rPr>
              <w:t>Parametric Instability:</w:t>
            </w:r>
            <w:r w:rsidRPr="00B706F2">
              <w:rPr>
                <w:rFonts w:cstheme="minorHAnsi"/>
                <w:sz w:val="20"/>
                <w:szCs w:val="20"/>
                <w:lang w:val="en-US"/>
              </w:rPr>
              <w:t xml:space="preserve"> Models often employ historical data to predict future performance. The parameter assumption needs constant revision due to the ever-changing nature of financial markets.</w:t>
            </w:r>
          </w:p>
          <w:p w14:paraId="12322F03" w14:textId="77777777" w:rsidR="00802E8F" w:rsidRPr="00B706F2" w:rsidRDefault="00000000" w:rsidP="00537F0D">
            <w:pPr>
              <w:pStyle w:val="ListParagraph"/>
              <w:snapToGrid w:val="0"/>
              <w:ind w:left="360"/>
              <w:rPr>
                <w:rFonts w:cstheme="minorHAnsi"/>
                <w:sz w:val="20"/>
                <w:szCs w:val="20"/>
                <w:lang w:val="en-US"/>
              </w:rPr>
            </w:pPr>
            <w:r w:rsidRPr="00B706F2">
              <w:rPr>
                <w:rFonts w:cstheme="minorHAnsi"/>
                <w:sz w:val="20"/>
                <w:szCs w:val="20"/>
                <w:lang w:val="en-US"/>
              </w:rPr>
              <w:t>For example, economic conditions, technology shifts, and political landscapes fluctuate, causing a divergence between model predictions and actual performance.</w:t>
            </w:r>
          </w:p>
          <w:p w14:paraId="2A424B53" w14:textId="77777777" w:rsidR="00802E8F" w:rsidRPr="00A25A1F" w:rsidRDefault="00802E8F" w:rsidP="00F40539">
            <w:pPr>
              <w:pStyle w:val="ListParagraph"/>
              <w:snapToGrid w:val="0"/>
              <w:ind w:left="360"/>
              <w:rPr>
                <w:rFonts w:cstheme="minorHAnsi"/>
                <w:sz w:val="20"/>
                <w:szCs w:val="20"/>
                <w:lang w:val="en-US"/>
              </w:rPr>
            </w:pPr>
          </w:p>
          <w:p w14:paraId="4C5082B2" w14:textId="77777777" w:rsidR="00581EC9" w:rsidRDefault="00000000" w:rsidP="00581EC9">
            <w:pPr>
              <w:pStyle w:val="ListParagraph"/>
              <w:numPr>
                <w:ilvl w:val="0"/>
                <w:numId w:val="2"/>
              </w:numPr>
              <w:snapToGrid w:val="0"/>
              <w:rPr>
                <w:rFonts w:cstheme="minorHAnsi"/>
                <w:sz w:val="20"/>
                <w:szCs w:val="20"/>
                <w:lang w:val="en-US"/>
              </w:rPr>
            </w:pPr>
            <w:r w:rsidRPr="007D5C5B">
              <w:rPr>
                <w:rFonts w:cstheme="minorHAnsi"/>
                <w:b/>
                <w:bCs/>
                <w:sz w:val="20"/>
                <w:szCs w:val="20"/>
                <w:lang w:val="en-US"/>
              </w:rPr>
              <w:t>Liquidity Constraints:</w:t>
            </w:r>
            <w:r w:rsidRPr="00B706F2">
              <w:rPr>
                <w:rFonts w:cstheme="minorHAnsi"/>
                <w:sz w:val="20"/>
                <w:szCs w:val="20"/>
                <w:lang w:val="en-US"/>
              </w:rPr>
              <w:t xml:space="preserve"> </w:t>
            </w:r>
            <w:r w:rsidR="00DF1C62">
              <w:rPr>
                <w:rFonts w:cstheme="minorHAnsi"/>
                <w:sz w:val="20"/>
                <w:szCs w:val="20"/>
                <w:lang w:val="en-US"/>
              </w:rPr>
              <w:t>M</w:t>
            </w:r>
            <w:r w:rsidRPr="00B706F2">
              <w:rPr>
                <w:rFonts w:cstheme="minorHAnsi"/>
                <w:sz w:val="20"/>
                <w:szCs w:val="20"/>
                <w:lang w:val="en-US"/>
              </w:rPr>
              <w:t>odels do not adequately account for market liquidity, a significant determinant of an asset's trade ability. Inadequate liquidity modelling can result in larger-than-expected transaction costs and impede the successful execution of investment strategies.</w:t>
            </w:r>
          </w:p>
          <w:p w14:paraId="47B2D4CF" w14:textId="77777777" w:rsidR="00581EC9" w:rsidRDefault="00581EC9" w:rsidP="00581EC9">
            <w:pPr>
              <w:pStyle w:val="ListParagraph"/>
              <w:rPr>
                <w:rFonts w:cstheme="minorHAnsi"/>
                <w:sz w:val="20"/>
                <w:szCs w:val="20"/>
                <w:lang w:val="en-US"/>
              </w:rPr>
            </w:pPr>
          </w:p>
          <w:p w14:paraId="329AE37D" w14:textId="77777777" w:rsidR="00F40539" w:rsidRPr="00581EC9" w:rsidRDefault="00F40539" w:rsidP="00581EC9">
            <w:pPr>
              <w:pStyle w:val="ListParagraph"/>
              <w:rPr>
                <w:rFonts w:cstheme="minorHAnsi"/>
                <w:sz w:val="20"/>
                <w:szCs w:val="20"/>
                <w:lang w:val="en-US"/>
              </w:rPr>
            </w:pPr>
          </w:p>
          <w:p w14:paraId="7B160787" w14:textId="77777777" w:rsidR="00022568" w:rsidRDefault="00000000" w:rsidP="00B706F2">
            <w:pPr>
              <w:pStyle w:val="ListParagraph"/>
              <w:numPr>
                <w:ilvl w:val="0"/>
                <w:numId w:val="2"/>
              </w:numPr>
              <w:snapToGrid w:val="0"/>
              <w:rPr>
                <w:rFonts w:cstheme="minorHAnsi"/>
                <w:sz w:val="20"/>
                <w:szCs w:val="20"/>
                <w:lang w:val="en-US"/>
              </w:rPr>
            </w:pPr>
            <w:r w:rsidRPr="007D5C5B">
              <w:rPr>
                <w:rFonts w:cstheme="minorHAnsi"/>
                <w:b/>
                <w:bCs/>
                <w:sz w:val="20"/>
                <w:szCs w:val="20"/>
                <w:lang w:val="en-US"/>
              </w:rPr>
              <w:t>Model Overfitting:</w:t>
            </w:r>
            <w:r w:rsidRPr="00B706F2">
              <w:rPr>
                <w:rFonts w:cstheme="minorHAnsi"/>
                <w:sz w:val="20"/>
                <w:szCs w:val="20"/>
                <w:lang w:val="en-US"/>
              </w:rPr>
              <w:t xml:space="preserve"> The propensity for models to overfit, that is, tailored too closely to in-sample data, renders them less capable of generalizing their predictions to out-of-sample data. This phenomenon attenuates the model's predictive utility, thus potentially incurring financial losses.</w:t>
            </w:r>
          </w:p>
          <w:p w14:paraId="172BAD12" w14:textId="77777777" w:rsidR="008A6C3B" w:rsidRPr="00F16A17" w:rsidRDefault="008A6C3B" w:rsidP="008A6C3B">
            <w:pPr>
              <w:pStyle w:val="ListParagraph"/>
              <w:snapToGrid w:val="0"/>
              <w:ind w:left="360"/>
              <w:contextualSpacing w:val="0"/>
              <w:rPr>
                <w:rFonts w:cstheme="minorHAnsi"/>
                <w:b/>
                <w:bCs/>
                <w:color w:val="00B050"/>
                <w:sz w:val="20"/>
                <w:szCs w:val="20"/>
                <w:lang w:val="en-US"/>
              </w:rPr>
            </w:pPr>
          </w:p>
          <w:p w14:paraId="019B5C17" w14:textId="77777777" w:rsidR="00F40539" w:rsidRPr="00B706F2" w:rsidRDefault="00F40539" w:rsidP="00B706F2">
            <w:pPr>
              <w:pStyle w:val="ListParagraph"/>
              <w:rPr>
                <w:rFonts w:cstheme="minorHAnsi"/>
                <w:sz w:val="20"/>
                <w:szCs w:val="20"/>
                <w:lang w:val="en-US"/>
              </w:rPr>
            </w:pPr>
          </w:p>
          <w:p w14:paraId="40289BF2" w14:textId="54429CE6" w:rsidR="00B706F2" w:rsidRDefault="00000000" w:rsidP="00B706F2">
            <w:pPr>
              <w:pStyle w:val="ListParagraph"/>
              <w:numPr>
                <w:ilvl w:val="0"/>
                <w:numId w:val="2"/>
              </w:numPr>
              <w:snapToGrid w:val="0"/>
              <w:rPr>
                <w:rFonts w:cstheme="minorHAnsi"/>
                <w:sz w:val="20"/>
                <w:szCs w:val="20"/>
                <w:lang w:val="en-US"/>
              </w:rPr>
            </w:pPr>
            <w:r w:rsidRPr="007D5C5B">
              <w:rPr>
                <w:rFonts w:cstheme="minorHAnsi"/>
                <w:b/>
                <w:bCs/>
                <w:sz w:val="20"/>
                <w:szCs w:val="20"/>
                <w:lang w:val="en-US"/>
              </w:rPr>
              <w:t>Non-linear Dynamics:</w:t>
            </w:r>
            <w:r w:rsidRPr="00B706F2">
              <w:rPr>
                <w:rFonts w:cstheme="minorHAnsi"/>
                <w:sz w:val="20"/>
                <w:szCs w:val="20"/>
                <w:lang w:val="en-US"/>
              </w:rPr>
              <w:t xml:space="preserve"> Equity markets often exhibit non-linear </w:t>
            </w:r>
            <w:r w:rsidR="00E92276" w:rsidRPr="00B706F2">
              <w:rPr>
                <w:rFonts w:cstheme="minorHAnsi"/>
                <w:sz w:val="20"/>
                <w:szCs w:val="20"/>
                <w:lang w:val="en-US"/>
              </w:rPr>
              <w:t>behaviors</w:t>
            </w:r>
            <w:r w:rsidRPr="00B706F2">
              <w:rPr>
                <w:rFonts w:cstheme="minorHAnsi"/>
                <w:sz w:val="20"/>
                <w:szCs w:val="20"/>
                <w:lang w:val="en-US"/>
              </w:rPr>
              <w:t xml:space="preserve"> insusceptible to linear modelling techniques. Events such as market crashes, frequently described by "fat-tail" distributions, are not easily captured by conventional models, leading to unwarranted financial risk.</w:t>
            </w:r>
          </w:p>
          <w:p w14:paraId="70F37897" w14:textId="77777777" w:rsidR="00B706F2" w:rsidRPr="00B706F2" w:rsidRDefault="00B706F2" w:rsidP="00B706F2">
            <w:pPr>
              <w:pStyle w:val="ListParagraph"/>
              <w:rPr>
                <w:rFonts w:cstheme="minorHAnsi"/>
                <w:sz w:val="20"/>
                <w:szCs w:val="20"/>
                <w:lang w:val="en-US"/>
              </w:rPr>
            </w:pPr>
          </w:p>
          <w:p w14:paraId="476630D1" w14:textId="549F404D" w:rsidR="00B706F2" w:rsidRDefault="00000000" w:rsidP="00B706F2">
            <w:pPr>
              <w:pStyle w:val="ListParagraph"/>
              <w:numPr>
                <w:ilvl w:val="0"/>
                <w:numId w:val="2"/>
              </w:numPr>
              <w:snapToGrid w:val="0"/>
              <w:rPr>
                <w:rFonts w:cstheme="minorHAnsi"/>
                <w:sz w:val="20"/>
                <w:szCs w:val="20"/>
                <w:lang w:val="en-US"/>
              </w:rPr>
            </w:pPr>
            <w:r w:rsidRPr="007D5C5B">
              <w:rPr>
                <w:rFonts w:cstheme="minorHAnsi"/>
                <w:b/>
                <w:bCs/>
                <w:sz w:val="20"/>
                <w:szCs w:val="20"/>
                <w:lang w:val="en-US"/>
              </w:rPr>
              <w:t>Cognitive and Behavioral Biases:</w:t>
            </w:r>
            <w:r w:rsidRPr="00B706F2">
              <w:rPr>
                <w:rFonts w:cstheme="minorHAnsi"/>
                <w:sz w:val="20"/>
                <w:szCs w:val="20"/>
                <w:lang w:val="en-US"/>
              </w:rPr>
              <w:t xml:space="preserve"> Psychological factors such as overconfidence, herd </w:t>
            </w:r>
            <w:r w:rsidR="00E92276" w:rsidRPr="00B706F2">
              <w:rPr>
                <w:rFonts w:cstheme="minorHAnsi"/>
                <w:sz w:val="20"/>
                <w:szCs w:val="20"/>
                <w:lang w:val="en-US"/>
              </w:rPr>
              <w:t>behavior</w:t>
            </w:r>
            <w:r w:rsidRPr="00B706F2">
              <w:rPr>
                <w:rFonts w:cstheme="minorHAnsi"/>
                <w:sz w:val="20"/>
                <w:szCs w:val="20"/>
                <w:lang w:val="en-US"/>
              </w:rPr>
              <w:t>, and confirmation bias can affect traders' reactions to model outputs, undermining the integrity of the decision-making process.</w:t>
            </w:r>
          </w:p>
          <w:p w14:paraId="366B946C" w14:textId="77777777" w:rsidR="00B706F2" w:rsidRPr="00B706F2" w:rsidRDefault="00B706F2" w:rsidP="00B706F2">
            <w:pPr>
              <w:snapToGrid w:val="0"/>
              <w:rPr>
                <w:rFonts w:cstheme="minorHAnsi"/>
                <w:sz w:val="20"/>
                <w:szCs w:val="20"/>
                <w:lang w:val="en-US"/>
              </w:rPr>
            </w:pPr>
          </w:p>
        </w:tc>
        <w:tc>
          <w:tcPr>
            <w:tcW w:w="6720" w:type="dxa"/>
            <w:shd w:val="clear" w:color="auto" w:fill="auto"/>
          </w:tcPr>
          <w:p w14:paraId="5829CC8C" w14:textId="77777777" w:rsidR="0079161F" w:rsidRDefault="00000000">
            <w:pPr>
              <w:pStyle w:val="ListParagraph"/>
              <w:numPr>
                <w:ilvl w:val="0"/>
                <w:numId w:val="5"/>
              </w:numPr>
              <w:snapToGrid w:val="0"/>
              <w:contextualSpacing w:val="0"/>
              <w:rPr>
                <w:rFonts w:cstheme="minorHAnsi"/>
                <w:sz w:val="20"/>
                <w:szCs w:val="20"/>
                <w:lang w:val="en-US"/>
              </w:rPr>
            </w:pPr>
            <w:r w:rsidRPr="00581EC9">
              <w:rPr>
                <w:rFonts w:cstheme="minorHAnsi"/>
                <w:b/>
                <w:bCs/>
                <w:sz w:val="20"/>
                <w:szCs w:val="20"/>
                <w:lang w:val="en-US"/>
              </w:rPr>
              <w:t>Market Volatility:</w:t>
            </w:r>
            <w:r w:rsidRPr="00581EC9">
              <w:rPr>
                <w:rFonts w:cstheme="minorHAnsi"/>
                <w:sz w:val="20"/>
                <w:szCs w:val="20"/>
                <w:lang w:val="en-US"/>
              </w:rPr>
              <w:t xml:space="preserve"> Financial crises are characterized by extreme market volatility, exacerbating the difficulty of forecasting asset price movements. This heightened volatility impinges on short-term trading and long-term investment strategies, often leading to capital erosion.</w:t>
            </w:r>
          </w:p>
          <w:p w14:paraId="5699047A" w14:textId="77777777" w:rsidR="00581EC9" w:rsidRPr="00F16A17" w:rsidRDefault="00581EC9" w:rsidP="00581EC9">
            <w:pPr>
              <w:pStyle w:val="ListParagraph"/>
              <w:snapToGrid w:val="0"/>
              <w:ind w:left="360"/>
              <w:contextualSpacing w:val="0"/>
              <w:rPr>
                <w:rFonts w:cstheme="minorHAnsi"/>
                <w:b/>
                <w:bCs/>
                <w:color w:val="00B050"/>
                <w:sz w:val="20"/>
                <w:szCs w:val="20"/>
                <w:lang w:val="en-US"/>
              </w:rPr>
            </w:pPr>
          </w:p>
          <w:p w14:paraId="474DB28F" w14:textId="77777777" w:rsidR="004C32AF" w:rsidRDefault="004C32AF" w:rsidP="00581EC9">
            <w:pPr>
              <w:pStyle w:val="ListParagraph"/>
              <w:snapToGrid w:val="0"/>
              <w:ind w:left="360"/>
              <w:contextualSpacing w:val="0"/>
              <w:rPr>
                <w:rFonts w:cstheme="minorHAnsi"/>
                <w:sz w:val="20"/>
                <w:szCs w:val="20"/>
                <w:lang w:val="en-US"/>
              </w:rPr>
            </w:pPr>
          </w:p>
          <w:p w14:paraId="0AC7E38E" w14:textId="77777777" w:rsidR="00581EC9" w:rsidRDefault="00000000">
            <w:pPr>
              <w:pStyle w:val="ListParagraph"/>
              <w:numPr>
                <w:ilvl w:val="0"/>
                <w:numId w:val="5"/>
              </w:numPr>
              <w:snapToGrid w:val="0"/>
              <w:contextualSpacing w:val="0"/>
              <w:rPr>
                <w:rFonts w:cstheme="minorHAnsi"/>
                <w:sz w:val="20"/>
                <w:szCs w:val="20"/>
                <w:lang w:val="en-US"/>
              </w:rPr>
            </w:pPr>
            <w:r w:rsidRPr="00581EC9">
              <w:rPr>
                <w:rFonts w:cstheme="minorHAnsi"/>
                <w:b/>
                <w:bCs/>
                <w:sz w:val="20"/>
                <w:szCs w:val="20"/>
                <w:lang w:val="en-US"/>
              </w:rPr>
              <w:t>Liquidity Constraints:</w:t>
            </w:r>
            <w:r w:rsidRPr="00581EC9">
              <w:rPr>
                <w:rFonts w:cstheme="minorHAnsi"/>
                <w:sz w:val="20"/>
                <w:szCs w:val="20"/>
                <w:lang w:val="en-US"/>
              </w:rPr>
              <w:t xml:space="preserve"> During crises, liquidity evaporates, even for ostensibly liquid assets like AAPL. Liquidity risk can lead to an inability to execute orders at desired prices, incurring additional costs and potential losses.</w:t>
            </w:r>
          </w:p>
          <w:p w14:paraId="31717CA1" w14:textId="77777777" w:rsidR="00581EC9" w:rsidRDefault="00581EC9" w:rsidP="00581EC9">
            <w:pPr>
              <w:pStyle w:val="ListParagraph"/>
              <w:snapToGrid w:val="0"/>
              <w:ind w:left="360"/>
              <w:contextualSpacing w:val="0"/>
              <w:rPr>
                <w:rFonts w:cstheme="minorHAnsi"/>
                <w:sz w:val="20"/>
                <w:szCs w:val="20"/>
                <w:lang w:val="en-US"/>
              </w:rPr>
            </w:pPr>
          </w:p>
          <w:p w14:paraId="69C6EF3F" w14:textId="77777777" w:rsidR="007D5C5B" w:rsidRDefault="00000000">
            <w:pPr>
              <w:pStyle w:val="ListParagraph"/>
              <w:numPr>
                <w:ilvl w:val="0"/>
                <w:numId w:val="5"/>
              </w:numPr>
              <w:snapToGrid w:val="0"/>
              <w:contextualSpacing w:val="0"/>
              <w:rPr>
                <w:rFonts w:cstheme="minorHAnsi"/>
                <w:sz w:val="20"/>
                <w:szCs w:val="20"/>
                <w:lang w:val="en-US"/>
              </w:rPr>
            </w:pPr>
            <w:r w:rsidRPr="008815CC">
              <w:rPr>
                <w:rFonts w:cstheme="minorHAnsi"/>
                <w:b/>
                <w:bCs/>
                <w:sz w:val="20"/>
                <w:szCs w:val="20"/>
                <w:lang w:val="en-US"/>
              </w:rPr>
              <w:t>Credit Constraints:</w:t>
            </w:r>
            <w:r w:rsidRPr="00581EC9">
              <w:rPr>
                <w:rFonts w:cstheme="minorHAnsi"/>
                <w:sz w:val="20"/>
                <w:szCs w:val="20"/>
                <w:lang w:val="en-US"/>
              </w:rPr>
              <w:t xml:space="preserve"> The contraction of credit markets during financial crises can adversely affect individual and institutional investors, constraining investment capital and forcing deleveraging, even for investment in large-cap stocks like AAP</w:t>
            </w:r>
            <w:r w:rsidRPr="00BB7D45">
              <w:rPr>
                <w:rFonts w:cstheme="minorHAnsi"/>
                <w:sz w:val="20"/>
                <w:szCs w:val="20"/>
                <w:lang w:val="en-US"/>
              </w:rPr>
              <w:t>L.</w:t>
            </w:r>
          </w:p>
          <w:p w14:paraId="0FD53E06" w14:textId="77777777" w:rsidR="007D5C5B" w:rsidRDefault="007D5C5B" w:rsidP="007D5C5B">
            <w:pPr>
              <w:pStyle w:val="ListParagraph"/>
              <w:rPr>
                <w:rFonts w:cstheme="minorHAnsi"/>
                <w:sz w:val="20"/>
                <w:szCs w:val="20"/>
                <w:lang w:val="en-US"/>
              </w:rPr>
            </w:pPr>
          </w:p>
          <w:p w14:paraId="02B92282" w14:textId="77777777" w:rsidR="00581EC9" w:rsidRDefault="00000000">
            <w:pPr>
              <w:pStyle w:val="ListParagraph"/>
              <w:numPr>
                <w:ilvl w:val="0"/>
                <w:numId w:val="5"/>
              </w:numPr>
              <w:snapToGrid w:val="0"/>
              <w:contextualSpacing w:val="0"/>
              <w:rPr>
                <w:rFonts w:cstheme="minorHAnsi"/>
                <w:sz w:val="20"/>
                <w:szCs w:val="20"/>
                <w:lang w:val="en-US"/>
              </w:rPr>
            </w:pPr>
            <w:r w:rsidRPr="008815CC">
              <w:rPr>
                <w:rFonts w:cstheme="minorHAnsi"/>
                <w:b/>
                <w:bCs/>
                <w:sz w:val="20"/>
                <w:szCs w:val="20"/>
                <w:lang w:val="en-US"/>
              </w:rPr>
              <w:t>Systematic Risk Amplification:</w:t>
            </w:r>
            <w:r w:rsidRPr="00581EC9">
              <w:rPr>
                <w:rFonts w:cstheme="minorHAnsi"/>
                <w:sz w:val="20"/>
                <w:szCs w:val="20"/>
                <w:lang w:val="en-US"/>
              </w:rPr>
              <w:t xml:space="preserve"> Financial crises often increase correlations among asset classes, including equities, thereby diminishing the efficacy of diversification as a risk mitigation strategy.</w:t>
            </w:r>
          </w:p>
          <w:p w14:paraId="6A5927A0" w14:textId="77777777" w:rsidR="004C32AF" w:rsidRDefault="004C32AF" w:rsidP="00581EC9">
            <w:pPr>
              <w:pStyle w:val="ListParagraph"/>
              <w:snapToGrid w:val="0"/>
              <w:ind w:left="360"/>
              <w:contextualSpacing w:val="0"/>
              <w:rPr>
                <w:rFonts w:cstheme="minorHAnsi"/>
                <w:sz w:val="20"/>
                <w:szCs w:val="20"/>
                <w:lang w:val="en-US"/>
              </w:rPr>
            </w:pPr>
          </w:p>
          <w:p w14:paraId="79521896" w14:textId="77777777" w:rsidR="00581EC9" w:rsidRDefault="00000000">
            <w:pPr>
              <w:pStyle w:val="ListParagraph"/>
              <w:numPr>
                <w:ilvl w:val="0"/>
                <w:numId w:val="5"/>
              </w:numPr>
              <w:snapToGrid w:val="0"/>
              <w:contextualSpacing w:val="0"/>
              <w:rPr>
                <w:rFonts w:cstheme="minorHAnsi"/>
                <w:sz w:val="20"/>
                <w:szCs w:val="20"/>
                <w:lang w:val="en-US"/>
              </w:rPr>
            </w:pPr>
            <w:r w:rsidRPr="008815CC">
              <w:rPr>
                <w:rFonts w:cstheme="minorHAnsi"/>
                <w:b/>
                <w:bCs/>
                <w:sz w:val="20"/>
                <w:szCs w:val="20"/>
                <w:lang w:val="en-US"/>
              </w:rPr>
              <w:t>Information Asymmetry:</w:t>
            </w:r>
            <w:r w:rsidRPr="00581EC9">
              <w:rPr>
                <w:rFonts w:cstheme="minorHAnsi"/>
                <w:sz w:val="20"/>
                <w:szCs w:val="20"/>
                <w:lang w:val="en-US"/>
              </w:rPr>
              <w:t xml:space="preserve"> In turbulent times, the</w:t>
            </w:r>
            <w:r w:rsidRPr="00082A9F">
              <w:rPr>
                <w:rFonts w:cstheme="minorHAnsi"/>
                <w:sz w:val="20"/>
                <w:szCs w:val="20"/>
                <w:lang w:val="en-US"/>
              </w:rPr>
              <w:t xml:space="preserve"> paucity</w:t>
            </w:r>
            <w:r w:rsidRPr="00082A9F">
              <w:rPr>
                <w:rFonts w:cstheme="minorHAnsi"/>
                <w:b/>
                <w:bCs/>
                <w:sz w:val="20"/>
                <w:szCs w:val="20"/>
                <w:lang w:val="en-US"/>
              </w:rPr>
              <w:t xml:space="preserve"> </w:t>
            </w:r>
            <w:r w:rsidRPr="00581EC9">
              <w:rPr>
                <w:rFonts w:cstheme="minorHAnsi"/>
                <w:sz w:val="20"/>
                <w:szCs w:val="20"/>
                <w:lang w:val="en-US"/>
              </w:rPr>
              <w:t>of reliable information and the preponderance of misinformation can exacerbate information asymmetry among market participants, further clouding investment decisions.</w:t>
            </w:r>
          </w:p>
          <w:p w14:paraId="5D862F2C" w14:textId="77777777" w:rsidR="00581EC9" w:rsidRDefault="00581EC9" w:rsidP="00581EC9">
            <w:pPr>
              <w:pStyle w:val="ListParagraph"/>
              <w:snapToGrid w:val="0"/>
              <w:ind w:left="360"/>
              <w:contextualSpacing w:val="0"/>
              <w:rPr>
                <w:rFonts w:cstheme="minorHAnsi"/>
                <w:sz w:val="20"/>
                <w:szCs w:val="20"/>
                <w:lang w:val="en-US"/>
              </w:rPr>
            </w:pPr>
          </w:p>
          <w:p w14:paraId="7FCC8E69" w14:textId="77777777" w:rsidR="00581EC9" w:rsidRPr="00DC1ACD" w:rsidRDefault="00000000">
            <w:pPr>
              <w:pStyle w:val="ListParagraph"/>
              <w:numPr>
                <w:ilvl w:val="0"/>
                <w:numId w:val="5"/>
              </w:numPr>
              <w:snapToGrid w:val="0"/>
              <w:contextualSpacing w:val="0"/>
              <w:rPr>
                <w:rFonts w:cstheme="minorHAnsi"/>
                <w:sz w:val="20"/>
                <w:szCs w:val="20"/>
                <w:lang w:val="en-US"/>
              </w:rPr>
            </w:pPr>
            <w:r w:rsidRPr="008815CC">
              <w:rPr>
                <w:rFonts w:cstheme="minorHAnsi"/>
                <w:b/>
                <w:bCs/>
                <w:sz w:val="20"/>
                <w:szCs w:val="20"/>
                <w:lang w:val="en-US"/>
              </w:rPr>
              <w:t>Regulatory and Policy Uncertainty:</w:t>
            </w:r>
            <w:r w:rsidRPr="00581EC9">
              <w:rPr>
                <w:rFonts w:cstheme="minorHAnsi"/>
                <w:sz w:val="20"/>
                <w:szCs w:val="20"/>
                <w:lang w:val="en-US"/>
              </w:rPr>
              <w:t xml:space="preserve"> Financial crises often prompt legislative interventions, which could add a layer of regulatory uncertainty, affecting valuation models and investment strategies.</w:t>
            </w:r>
          </w:p>
        </w:tc>
      </w:tr>
    </w:tbl>
    <w:p w14:paraId="071A8FB3" w14:textId="77777777" w:rsidR="000C3E13" w:rsidRDefault="000C3E13" w:rsidP="00DC1ACD">
      <w:pPr>
        <w:pStyle w:val="ListParagraph"/>
        <w:snapToGrid w:val="0"/>
        <w:spacing w:after="0" w:line="240" w:lineRule="auto"/>
        <w:ind w:left="936"/>
        <w:contextualSpacing w:val="0"/>
        <w:rPr>
          <w:rFonts w:cstheme="minorHAnsi"/>
          <w:b/>
          <w:bCs/>
          <w:sz w:val="20"/>
          <w:szCs w:val="20"/>
          <w:lang w:val="en-US"/>
        </w:rPr>
      </w:pPr>
    </w:p>
    <w:p w14:paraId="2107856B" w14:textId="77777777" w:rsidR="000C3E13" w:rsidRPr="006B11C6" w:rsidRDefault="000C3E13" w:rsidP="000C3E13">
      <w:pPr>
        <w:snapToGrid w:val="0"/>
        <w:spacing w:after="0" w:line="240" w:lineRule="auto"/>
        <w:rPr>
          <w:rFonts w:cstheme="minorHAnsi"/>
          <w:b/>
          <w:bCs/>
          <w:color w:val="FFFFFF" w:themeColor="background1"/>
          <w:sz w:val="20"/>
          <w:szCs w:val="20"/>
          <w:lang w:val="en-US"/>
        </w:rPr>
      </w:pPr>
    </w:p>
    <w:p w14:paraId="389626F9" w14:textId="77777777" w:rsidR="006B11C6" w:rsidRDefault="006B11C6" w:rsidP="000C3E13">
      <w:pPr>
        <w:snapToGrid w:val="0"/>
        <w:spacing w:after="0" w:line="240" w:lineRule="auto"/>
        <w:rPr>
          <w:rFonts w:cstheme="minorHAnsi"/>
          <w:b/>
          <w:bCs/>
          <w:color w:val="FFFFFF" w:themeColor="background1"/>
          <w:sz w:val="20"/>
          <w:szCs w:val="20"/>
          <w:lang w:val="en-US"/>
        </w:rPr>
      </w:pPr>
    </w:p>
    <w:p w14:paraId="09F4D7B1" w14:textId="77777777" w:rsidR="00805D9D" w:rsidRPr="006B11C6" w:rsidRDefault="00805D9D" w:rsidP="000C3E13">
      <w:pPr>
        <w:snapToGrid w:val="0"/>
        <w:spacing w:after="0" w:line="240" w:lineRule="auto"/>
        <w:rPr>
          <w:rFonts w:cstheme="minorHAnsi"/>
          <w:b/>
          <w:bCs/>
          <w:color w:val="FFFFFF" w:themeColor="background1"/>
          <w:sz w:val="20"/>
          <w:szCs w:val="20"/>
          <w:lang w:val="en-US"/>
        </w:rPr>
      </w:pPr>
    </w:p>
    <w:p w14:paraId="3FD72BC3" w14:textId="77777777" w:rsidR="00CE15C2" w:rsidRDefault="00000000" w:rsidP="00CE15C2">
      <w:pPr>
        <w:pStyle w:val="ListParagraph"/>
        <w:numPr>
          <w:ilvl w:val="1"/>
          <w:numId w:val="1"/>
        </w:numPr>
        <w:snapToGrid w:val="0"/>
        <w:spacing w:after="0" w:line="240" w:lineRule="auto"/>
        <w:contextualSpacing w:val="0"/>
        <w:rPr>
          <w:rFonts w:cstheme="minorHAnsi"/>
          <w:b/>
          <w:bCs/>
          <w:sz w:val="24"/>
          <w:szCs w:val="24"/>
          <w:lang w:val="en-US"/>
        </w:rPr>
      </w:pPr>
      <w:r w:rsidRPr="00D022CA">
        <w:rPr>
          <w:rFonts w:cstheme="minorHAnsi"/>
          <w:b/>
          <w:bCs/>
          <w:sz w:val="24"/>
          <w:szCs w:val="24"/>
          <w:lang w:val="en-US"/>
        </w:rPr>
        <w:t>Student Yhasreen for bond and equity</w:t>
      </w:r>
    </w:p>
    <w:p w14:paraId="46BB94C5" w14:textId="77777777" w:rsidR="00805D9D" w:rsidRPr="00D022CA" w:rsidRDefault="00805D9D" w:rsidP="00805D9D">
      <w:pPr>
        <w:pStyle w:val="ListParagraph"/>
        <w:snapToGrid w:val="0"/>
        <w:spacing w:after="0" w:line="240" w:lineRule="auto"/>
        <w:ind w:left="936"/>
        <w:contextualSpacing w:val="0"/>
        <w:rPr>
          <w:rFonts w:cstheme="minorHAnsi"/>
          <w:b/>
          <w:bCs/>
          <w:sz w:val="24"/>
          <w:szCs w:val="24"/>
          <w:lang w:val="en-US"/>
        </w:rPr>
      </w:pPr>
    </w:p>
    <w:tbl>
      <w:tblPr>
        <w:tblStyle w:val="TableGrid"/>
        <w:tblpPr w:leftFromText="180" w:rightFromText="180" w:vertAnchor="text" w:horzAnchor="margin" w:tblpY="95"/>
        <w:tblW w:w="0" w:type="auto"/>
        <w:tblLook w:val="04A0" w:firstRow="1" w:lastRow="0" w:firstColumn="1" w:lastColumn="0" w:noHBand="0" w:noVBand="1"/>
      </w:tblPr>
      <w:tblGrid>
        <w:gridCol w:w="473"/>
        <w:gridCol w:w="318"/>
        <w:gridCol w:w="1278"/>
        <w:gridCol w:w="6446"/>
        <w:gridCol w:w="6720"/>
      </w:tblGrid>
      <w:tr w:rsidR="0091773F" w14:paraId="0DAB05DB" w14:textId="77777777" w:rsidTr="0091773F">
        <w:tc>
          <w:tcPr>
            <w:tcW w:w="2069" w:type="dxa"/>
            <w:gridSpan w:val="3"/>
            <w:vMerge w:val="restart"/>
            <w:shd w:val="clear" w:color="auto" w:fill="F2F2F2" w:themeFill="background1" w:themeFillShade="F2"/>
            <w:vAlign w:val="center"/>
          </w:tcPr>
          <w:p w14:paraId="05F3BED8" w14:textId="77777777" w:rsidR="0091773F" w:rsidRPr="007306AF" w:rsidRDefault="0091773F" w:rsidP="0091773F">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Table 1</w:t>
            </w:r>
            <w:r>
              <w:rPr>
                <w:rFonts w:cstheme="minorHAnsi"/>
                <w:b/>
                <w:bCs/>
                <w:sz w:val="20"/>
                <w:szCs w:val="20"/>
                <w:lang w:val="en-US"/>
              </w:rPr>
              <w:t>.</w:t>
            </w:r>
          </w:p>
        </w:tc>
        <w:tc>
          <w:tcPr>
            <w:tcW w:w="13166" w:type="dxa"/>
            <w:gridSpan w:val="2"/>
            <w:shd w:val="clear" w:color="auto" w:fill="F2F2F2" w:themeFill="background1" w:themeFillShade="F2"/>
            <w:vAlign w:val="center"/>
          </w:tcPr>
          <w:p w14:paraId="72ED1E29" w14:textId="1C997B08" w:rsidR="0091773F" w:rsidRPr="00F81349" w:rsidRDefault="0091773F" w:rsidP="0091773F">
            <w:pPr>
              <w:pStyle w:val="ListParagraph"/>
              <w:snapToGrid w:val="0"/>
              <w:ind w:left="0"/>
              <w:contextualSpacing w:val="0"/>
              <w:jc w:val="center"/>
              <w:rPr>
                <w:rFonts w:cstheme="minorHAnsi"/>
                <w:b/>
                <w:bCs/>
                <w:sz w:val="24"/>
                <w:szCs w:val="24"/>
                <w:lang w:val="en-US"/>
              </w:rPr>
            </w:pPr>
            <w:r w:rsidRPr="00F81349">
              <w:rPr>
                <w:rFonts w:cstheme="minorHAnsi"/>
                <w:b/>
                <w:bCs/>
                <w:sz w:val="24"/>
                <w:szCs w:val="24"/>
                <w:lang w:val="en-US"/>
              </w:rPr>
              <w:t>Fallout Risk for Bond</w:t>
            </w:r>
          </w:p>
        </w:tc>
      </w:tr>
      <w:tr w:rsidR="0091773F" w14:paraId="1560D98F" w14:textId="77777777" w:rsidTr="0091773F">
        <w:tc>
          <w:tcPr>
            <w:tcW w:w="2069" w:type="dxa"/>
            <w:gridSpan w:val="3"/>
            <w:vMerge/>
            <w:shd w:val="clear" w:color="auto" w:fill="F2F2F2" w:themeFill="background1" w:themeFillShade="F2"/>
          </w:tcPr>
          <w:p w14:paraId="750C58E1" w14:textId="77777777" w:rsidR="0091773F" w:rsidRPr="007306AF" w:rsidRDefault="0091773F" w:rsidP="0091773F">
            <w:pPr>
              <w:pStyle w:val="ListParagraph"/>
              <w:snapToGrid w:val="0"/>
              <w:ind w:left="0"/>
              <w:contextualSpacing w:val="0"/>
              <w:jc w:val="center"/>
              <w:rPr>
                <w:rFonts w:cstheme="minorHAnsi"/>
                <w:b/>
                <w:bCs/>
                <w:sz w:val="20"/>
                <w:szCs w:val="20"/>
                <w:lang w:val="en-US"/>
              </w:rPr>
            </w:pPr>
          </w:p>
        </w:tc>
        <w:tc>
          <w:tcPr>
            <w:tcW w:w="6446" w:type="dxa"/>
            <w:shd w:val="clear" w:color="auto" w:fill="F2F2F2" w:themeFill="background1" w:themeFillShade="F2"/>
            <w:vAlign w:val="center"/>
          </w:tcPr>
          <w:p w14:paraId="75BAA406" w14:textId="77777777" w:rsidR="0091773F" w:rsidRPr="007306AF" w:rsidRDefault="0091773F" w:rsidP="0091773F">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Analyst</w:t>
            </w:r>
            <w:r w:rsidRPr="007306AF">
              <w:rPr>
                <w:rFonts w:cstheme="minorHAnsi"/>
                <w:b/>
                <w:bCs/>
                <w:sz w:val="20"/>
                <w:szCs w:val="20"/>
                <w:lang w:val="en-US"/>
              </w:rPr>
              <w:t>’s Consideration</w:t>
            </w:r>
          </w:p>
        </w:tc>
        <w:tc>
          <w:tcPr>
            <w:tcW w:w="6720" w:type="dxa"/>
            <w:shd w:val="clear" w:color="auto" w:fill="F2F2F2" w:themeFill="background1" w:themeFillShade="F2"/>
            <w:vAlign w:val="center"/>
          </w:tcPr>
          <w:p w14:paraId="143376CA" w14:textId="77777777" w:rsidR="0091773F" w:rsidRPr="007306AF" w:rsidRDefault="0091773F" w:rsidP="0091773F">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Analyst</w:t>
            </w:r>
            <w:r w:rsidRPr="007306AF">
              <w:rPr>
                <w:rFonts w:cstheme="minorHAnsi"/>
                <w:b/>
                <w:bCs/>
                <w:sz w:val="20"/>
                <w:szCs w:val="20"/>
                <w:lang w:val="en-US"/>
              </w:rPr>
              <w:t>’</w:t>
            </w:r>
            <w:r>
              <w:rPr>
                <w:rFonts w:cstheme="minorHAnsi"/>
                <w:b/>
                <w:bCs/>
                <w:sz w:val="20"/>
                <w:szCs w:val="20"/>
                <w:lang w:val="en-US"/>
              </w:rPr>
              <w:t>s</w:t>
            </w:r>
            <w:r w:rsidRPr="007306AF">
              <w:rPr>
                <w:rFonts w:cstheme="minorHAnsi"/>
                <w:b/>
                <w:bCs/>
                <w:sz w:val="20"/>
                <w:szCs w:val="20"/>
                <w:lang w:val="en-US"/>
              </w:rPr>
              <w:t xml:space="preserve"> Consideration</w:t>
            </w:r>
          </w:p>
        </w:tc>
      </w:tr>
      <w:tr w:rsidR="0091773F" w14:paraId="62F48597" w14:textId="77777777" w:rsidTr="0091773F">
        <w:tc>
          <w:tcPr>
            <w:tcW w:w="2069" w:type="dxa"/>
            <w:gridSpan w:val="3"/>
            <w:vMerge/>
            <w:shd w:val="clear" w:color="auto" w:fill="F2F2F2" w:themeFill="background1" w:themeFillShade="F2"/>
          </w:tcPr>
          <w:p w14:paraId="3F8702F0" w14:textId="77777777" w:rsidR="0091773F" w:rsidRPr="007306AF" w:rsidRDefault="0091773F" w:rsidP="0091773F">
            <w:pPr>
              <w:pStyle w:val="ListParagraph"/>
              <w:snapToGrid w:val="0"/>
              <w:ind w:left="0"/>
              <w:contextualSpacing w:val="0"/>
              <w:jc w:val="center"/>
              <w:rPr>
                <w:rFonts w:cstheme="minorHAnsi"/>
                <w:b/>
                <w:bCs/>
                <w:sz w:val="20"/>
                <w:szCs w:val="20"/>
                <w:lang w:val="en-US"/>
              </w:rPr>
            </w:pPr>
          </w:p>
        </w:tc>
        <w:tc>
          <w:tcPr>
            <w:tcW w:w="6446" w:type="dxa"/>
            <w:shd w:val="clear" w:color="auto" w:fill="F2F2F2" w:themeFill="background1" w:themeFillShade="F2"/>
            <w:vAlign w:val="center"/>
          </w:tcPr>
          <w:p w14:paraId="39888FAC" w14:textId="77777777" w:rsidR="0091773F" w:rsidRPr="007306AF" w:rsidRDefault="0091773F" w:rsidP="0091773F">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Model Failure</w:t>
            </w:r>
          </w:p>
        </w:tc>
        <w:tc>
          <w:tcPr>
            <w:tcW w:w="6720" w:type="dxa"/>
            <w:shd w:val="clear" w:color="auto" w:fill="F2F2F2" w:themeFill="background1" w:themeFillShade="F2"/>
            <w:vAlign w:val="center"/>
          </w:tcPr>
          <w:p w14:paraId="46FC9532" w14:textId="77777777" w:rsidR="0091773F" w:rsidRPr="007306AF" w:rsidRDefault="0091773F" w:rsidP="0091773F">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Financial Crisis</w:t>
            </w:r>
          </w:p>
        </w:tc>
      </w:tr>
      <w:tr w:rsidR="0091773F" w14:paraId="27529CCF" w14:textId="77777777" w:rsidTr="0091773F">
        <w:trPr>
          <w:cantSplit/>
          <w:trHeight w:val="1134"/>
        </w:trPr>
        <w:tc>
          <w:tcPr>
            <w:tcW w:w="0" w:type="auto"/>
            <w:shd w:val="clear" w:color="auto" w:fill="F2F2F2" w:themeFill="background1" w:themeFillShade="F2"/>
            <w:textDirection w:val="btLr"/>
          </w:tcPr>
          <w:p w14:paraId="59B5D74F" w14:textId="77777777" w:rsidR="0091773F" w:rsidRPr="007306AF" w:rsidRDefault="0091773F" w:rsidP="0091773F">
            <w:pPr>
              <w:pStyle w:val="ListParagraph"/>
              <w:snapToGrid w:val="0"/>
              <w:ind w:left="113" w:right="113"/>
              <w:contextualSpacing w:val="0"/>
              <w:jc w:val="center"/>
              <w:rPr>
                <w:rFonts w:cstheme="minorHAnsi"/>
                <w:b/>
                <w:bCs/>
                <w:sz w:val="20"/>
                <w:szCs w:val="20"/>
                <w:lang w:val="en-US"/>
              </w:rPr>
            </w:pPr>
            <w:r w:rsidRPr="007306AF">
              <w:rPr>
                <w:rFonts w:cstheme="minorHAnsi"/>
                <w:b/>
                <w:bCs/>
                <w:sz w:val="20"/>
                <w:szCs w:val="20"/>
                <w:lang w:val="en-US"/>
              </w:rPr>
              <w:t>Security Lending Scenarios</w:t>
            </w:r>
          </w:p>
        </w:tc>
        <w:tc>
          <w:tcPr>
            <w:tcW w:w="0" w:type="auto"/>
            <w:shd w:val="clear" w:color="auto" w:fill="F2F2F2" w:themeFill="background1" w:themeFillShade="F2"/>
            <w:vAlign w:val="center"/>
          </w:tcPr>
          <w:p w14:paraId="3011C94B" w14:textId="77777777" w:rsidR="0091773F" w:rsidRPr="007306AF" w:rsidRDefault="0091773F" w:rsidP="0091773F">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5</w:t>
            </w:r>
          </w:p>
        </w:tc>
        <w:tc>
          <w:tcPr>
            <w:tcW w:w="1278" w:type="dxa"/>
            <w:shd w:val="clear" w:color="auto" w:fill="F2F2F2" w:themeFill="background1" w:themeFillShade="F2"/>
            <w:vAlign w:val="center"/>
          </w:tcPr>
          <w:p w14:paraId="356402AF" w14:textId="77777777" w:rsidR="0091773F" w:rsidRPr="007306AF" w:rsidRDefault="0091773F" w:rsidP="0091773F">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 xml:space="preserve">2-year Treasury </w:t>
            </w:r>
          </w:p>
          <w:p w14:paraId="58C7D581" w14:textId="77777777" w:rsidR="0091773F" w:rsidRPr="007306AF" w:rsidRDefault="0091773F" w:rsidP="0091773F">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Bond Investment</w:t>
            </w:r>
          </w:p>
        </w:tc>
        <w:tc>
          <w:tcPr>
            <w:tcW w:w="6446" w:type="dxa"/>
            <w:shd w:val="clear" w:color="auto" w:fill="auto"/>
          </w:tcPr>
          <w:p w14:paraId="05569F37" w14:textId="77777777" w:rsidR="0091773F" w:rsidRDefault="0091773F" w:rsidP="0091773F">
            <w:pPr>
              <w:pStyle w:val="ListParagraph"/>
              <w:numPr>
                <w:ilvl w:val="0"/>
                <w:numId w:val="3"/>
              </w:numPr>
              <w:snapToGrid w:val="0"/>
              <w:contextualSpacing w:val="0"/>
              <w:rPr>
                <w:rFonts w:cstheme="minorHAnsi"/>
                <w:sz w:val="20"/>
                <w:szCs w:val="20"/>
                <w:lang w:val="en-US"/>
              </w:rPr>
            </w:pPr>
            <w:r w:rsidRPr="00675C28">
              <w:rPr>
                <w:rFonts w:cstheme="minorHAnsi"/>
                <w:b/>
                <w:bCs/>
                <w:sz w:val="20"/>
                <w:szCs w:val="20"/>
                <w:lang w:val="en-US"/>
              </w:rPr>
              <w:t>Interest Rate Modeling Errors:</w:t>
            </w:r>
            <w:r w:rsidRPr="00E1193A">
              <w:rPr>
                <w:rFonts w:cstheme="minorHAnsi"/>
                <w:sz w:val="20"/>
                <w:szCs w:val="20"/>
                <w:lang w:val="en-US"/>
              </w:rPr>
              <w:t xml:space="preserve"> Quantitative models employed for interest rates are predicated upon assumptions that may not invariably hold, such as mean-reversion or constant volatility. Failures in these assumptions can lead to inaccurate yield curve forecasting, affecting investment decisions.</w:t>
            </w:r>
          </w:p>
          <w:p w14:paraId="6726C34A" w14:textId="77777777" w:rsidR="0091773F" w:rsidRDefault="0091773F" w:rsidP="0091773F">
            <w:pPr>
              <w:pStyle w:val="ListParagraph"/>
              <w:snapToGrid w:val="0"/>
              <w:ind w:left="360"/>
              <w:contextualSpacing w:val="0"/>
              <w:rPr>
                <w:rFonts w:cstheme="minorHAnsi"/>
                <w:sz w:val="20"/>
                <w:szCs w:val="20"/>
                <w:lang w:val="en-US"/>
              </w:rPr>
            </w:pPr>
          </w:p>
          <w:p w14:paraId="551EE491" w14:textId="77777777" w:rsidR="0091773F" w:rsidRDefault="0091773F" w:rsidP="0091773F">
            <w:pPr>
              <w:pStyle w:val="ListParagraph"/>
              <w:snapToGrid w:val="0"/>
              <w:ind w:left="360"/>
              <w:contextualSpacing w:val="0"/>
              <w:rPr>
                <w:rFonts w:cstheme="minorHAnsi"/>
                <w:sz w:val="20"/>
                <w:szCs w:val="20"/>
                <w:lang w:val="en-US"/>
              </w:rPr>
            </w:pPr>
          </w:p>
          <w:p w14:paraId="1D338417" w14:textId="77777777" w:rsidR="0091773F" w:rsidRDefault="0091773F" w:rsidP="0091773F">
            <w:pPr>
              <w:pStyle w:val="ListParagraph"/>
              <w:numPr>
                <w:ilvl w:val="0"/>
                <w:numId w:val="3"/>
              </w:numPr>
              <w:snapToGrid w:val="0"/>
              <w:contextualSpacing w:val="0"/>
              <w:rPr>
                <w:rFonts w:cstheme="minorHAnsi"/>
                <w:sz w:val="20"/>
                <w:szCs w:val="20"/>
                <w:lang w:val="en-US"/>
              </w:rPr>
            </w:pPr>
            <w:r w:rsidRPr="00675C28">
              <w:rPr>
                <w:rFonts w:cstheme="minorHAnsi"/>
                <w:b/>
                <w:bCs/>
                <w:sz w:val="20"/>
                <w:szCs w:val="20"/>
                <w:lang w:val="en-US"/>
              </w:rPr>
              <w:t>Spread Risk Misestimation:</w:t>
            </w:r>
            <w:r w:rsidRPr="00E1193A">
              <w:rPr>
                <w:rFonts w:cstheme="minorHAnsi"/>
                <w:sz w:val="20"/>
                <w:szCs w:val="20"/>
                <w:lang w:val="en-US"/>
              </w:rPr>
              <w:t xml:space="preserve"> The spread between Treasury Bonds and other riskier fixed-income securities are improperly modelled. Erroneous assumptions regarding credit spreads can lead to inappropriate risk assessment and investment allocation.</w:t>
            </w:r>
          </w:p>
          <w:p w14:paraId="5C5F3208" w14:textId="77777777" w:rsidR="0091773F" w:rsidRDefault="0091773F" w:rsidP="0091773F">
            <w:pPr>
              <w:pStyle w:val="ListParagraph"/>
              <w:snapToGrid w:val="0"/>
              <w:ind w:left="360"/>
              <w:contextualSpacing w:val="0"/>
              <w:rPr>
                <w:rFonts w:cstheme="minorHAnsi"/>
                <w:sz w:val="20"/>
                <w:szCs w:val="20"/>
                <w:lang w:val="en-US"/>
              </w:rPr>
            </w:pPr>
          </w:p>
          <w:p w14:paraId="4B0F4847" w14:textId="77777777" w:rsidR="0091773F" w:rsidRDefault="0091773F" w:rsidP="0091773F">
            <w:pPr>
              <w:pStyle w:val="ListParagraph"/>
              <w:snapToGrid w:val="0"/>
              <w:ind w:left="360"/>
              <w:contextualSpacing w:val="0"/>
              <w:rPr>
                <w:rFonts w:cstheme="minorHAnsi"/>
                <w:sz w:val="20"/>
                <w:szCs w:val="20"/>
                <w:lang w:val="en-US"/>
              </w:rPr>
            </w:pPr>
          </w:p>
          <w:p w14:paraId="2454B0CC" w14:textId="77777777" w:rsidR="0091773F" w:rsidRDefault="0091773F" w:rsidP="0091773F">
            <w:pPr>
              <w:pStyle w:val="ListParagraph"/>
              <w:numPr>
                <w:ilvl w:val="0"/>
                <w:numId w:val="3"/>
              </w:numPr>
              <w:snapToGrid w:val="0"/>
              <w:contextualSpacing w:val="0"/>
              <w:rPr>
                <w:rFonts w:cstheme="minorHAnsi"/>
                <w:sz w:val="20"/>
                <w:szCs w:val="20"/>
                <w:lang w:val="en-US"/>
              </w:rPr>
            </w:pPr>
            <w:r w:rsidRPr="00675C28">
              <w:rPr>
                <w:rFonts w:cstheme="minorHAnsi"/>
                <w:b/>
                <w:bCs/>
                <w:sz w:val="20"/>
                <w:szCs w:val="20"/>
                <w:lang w:val="en-US"/>
              </w:rPr>
              <w:t>Macroeconomic Risk Factors:</w:t>
            </w:r>
            <w:r w:rsidRPr="00E1193A">
              <w:rPr>
                <w:rFonts w:cstheme="minorHAnsi"/>
                <w:sz w:val="20"/>
                <w:szCs w:val="20"/>
                <w:lang w:val="en-US"/>
              </w:rPr>
              <w:t xml:space="preserve"> Models often underestimate the impact of unforeseen macroeconomic variables such as fiscal policy changes or geopolitical events. The exogenous shocks emanating from such factors may induce substantial market volatility.</w:t>
            </w:r>
            <w:r>
              <w:rPr>
                <w:rFonts w:cstheme="minorHAnsi"/>
                <w:sz w:val="20"/>
                <w:szCs w:val="20"/>
                <w:lang w:val="en-US"/>
              </w:rPr>
              <w:t xml:space="preserve"> </w:t>
            </w:r>
          </w:p>
          <w:p w14:paraId="600F5641" w14:textId="77777777" w:rsidR="0091773F" w:rsidRDefault="0091773F" w:rsidP="0091773F">
            <w:pPr>
              <w:pStyle w:val="ListParagraph"/>
              <w:snapToGrid w:val="0"/>
              <w:ind w:left="360"/>
              <w:contextualSpacing w:val="0"/>
              <w:rPr>
                <w:rFonts w:cstheme="minorHAnsi"/>
                <w:sz w:val="20"/>
                <w:szCs w:val="20"/>
                <w:lang w:val="en-US"/>
              </w:rPr>
            </w:pPr>
          </w:p>
          <w:p w14:paraId="476CD4C7" w14:textId="77777777" w:rsidR="0091773F" w:rsidRDefault="0091773F" w:rsidP="0091773F">
            <w:pPr>
              <w:pStyle w:val="ListParagraph"/>
              <w:snapToGrid w:val="0"/>
              <w:ind w:left="360"/>
              <w:contextualSpacing w:val="0"/>
              <w:rPr>
                <w:rFonts w:cstheme="minorHAnsi"/>
                <w:sz w:val="20"/>
                <w:szCs w:val="20"/>
                <w:lang w:val="en-US"/>
              </w:rPr>
            </w:pPr>
          </w:p>
          <w:p w14:paraId="352BB5FA" w14:textId="77777777" w:rsidR="0091773F" w:rsidRDefault="0091773F" w:rsidP="0091773F">
            <w:pPr>
              <w:pStyle w:val="ListParagraph"/>
              <w:numPr>
                <w:ilvl w:val="0"/>
                <w:numId w:val="3"/>
              </w:numPr>
              <w:snapToGrid w:val="0"/>
              <w:contextualSpacing w:val="0"/>
              <w:rPr>
                <w:rFonts w:cstheme="minorHAnsi"/>
                <w:sz w:val="20"/>
                <w:szCs w:val="20"/>
                <w:lang w:val="en-US"/>
              </w:rPr>
            </w:pPr>
            <w:r w:rsidRPr="00675C28">
              <w:rPr>
                <w:rFonts w:cstheme="minorHAnsi"/>
                <w:b/>
                <w:bCs/>
                <w:sz w:val="20"/>
                <w:szCs w:val="20"/>
                <w:lang w:val="en-US"/>
              </w:rPr>
              <w:t>Counterparty Risk:</w:t>
            </w:r>
            <w:r w:rsidRPr="00E1193A">
              <w:rPr>
                <w:rFonts w:cstheme="minorHAnsi"/>
                <w:sz w:val="20"/>
                <w:szCs w:val="20"/>
                <w:lang w:val="en-US"/>
              </w:rPr>
              <w:t xml:space="preserve"> While generally considered negligible for U.S. Treasury Bonds, counterparty risk can be mispriced in models under specific extreme scenarios like the default risk of the U.S. Government, although</w:t>
            </w:r>
            <w:r>
              <w:rPr>
                <w:rFonts w:cstheme="minorHAnsi"/>
                <w:sz w:val="20"/>
                <w:szCs w:val="20"/>
                <w:lang w:val="en-US"/>
              </w:rPr>
              <w:t xml:space="preserve"> </w:t>
            </w:r>
            <w:r w:rsidRPr="00E1193A">
              <w:rPr>
                <w:rFonts w:cstheme="minorHAnsi"/>
                <w:sz w:val="20"/>
                <w:szCs w:val="20"/>
                <w:lang w:val="en-US"/>
              </w:rPr>
              <w:t>this is highly unlikely.</w:t>
            </w:r>
          </w:p>
          <w:p w14:paraId="68F10FEF" w14:textId="77777777" w:rsidR="0091773F" w:rsidRDefault="0091773F" w:rsidP="0091773F">
            <w:pPr>
              <w:pStyle w:val="ListParagraph"/>
              <w:snapToGrid w:val="0"/>
              <w:ind w:left="360"/>
              <w:contextualSpacing w:val="0"/>
              <w:rPr>
                <w:rFonts w:cstheme="minorHAnsi"/>
                <w:sz w:val="20"/>
                <w:szCs w:val="20"/>
                <w:lang w:val="en-US"/>
              </w:rPr>
            </w:pPr>
          </w:p>
          <w:p w14:paraId="02FD350B" w14:textId="77777777" w:rsidR="0091773F" w:rsidRDefault="0091773F" w:rsidP="0091773F">
            <w:pPr>
              <w:pStyle w:val="ListParagraph"/>
              <w:snapToGrid w:val="0"/>
              <w:ind w:left="360"/>
              <w:contextualSpacing w:val="0"/>
              <w:rPr>
                <w:rFonts w:cstheme="minorHAnsi"/>
                <w:sz w:val="20"/>
                <w:szCs w:val="20"/>
                <w:lang w:val="en-US"/>
              </w:rPr>
            </w:pPr>
          </w:p>
          <w:p w14:paraId="46E8AC14" w14:textId="77777777" w:rsidR="0091773F" w:rsidRPr="007D68BA" w:rsidRDefault="0091773F" w:rsidP="0091773F">
            <w:pPr>
              <w:pStyle w:val="ListParagraph"/>
              <w:numPr>
                <w:ilvl w:val="0"/>
                <w:numId w:val="3"/>
              </w:numPr>
              <w:snapToGrid w:val="0"/>
              <w:contextualSpacing w:val="0"/>
              <w:rPr>
                <w:rFonts w:cstheme="minorHAnsi"/>
                <w:sz w:val="20"/>
                <w:szCs w:val="20"/>
                <w:lang w:val="en-US"/>
              </w:rPr>
            </w:pPr>
            <w:r w:rsidRPr="00675C28">
              <w:rPr>
                <w:rFonts w:cstheme="minorHAnsi"/>
                <w:b/>
                <w:bCs/>
                <w:sz w:val="20"/>
                <w:szCs w:val="20"/>
                <w:lang w:val="en-US"/>
              </w:rPr>
              <w:t>Liquidity Risk:</w:t>
            </w:r>
            <w:r w:rsidRPr="00E1193A">
              <w:rPr>
                <w:rFonts w:cstheme="minorHAnsi"/>
                <w:sz w:val="20"/>
                <w:szCs w:val="20"/>
                <w:lang w:val="en-US"/>
              </w:rPr>
              <w:t xml:space="preserve"> Although 2-Year Treasury Bonds are highly liquid, models may fail to capture instances of reduced market liquidity, leading to higher transaction costs or inability to exit positions expediently.</w:t>
            </w:r>
          </w:p>
          <w:p w14:paraId="671E673D" w14:textId="77777777" w:rsidR="0091773F" w:rsidRPr="00DC1ACD" w:rsidRDefault="0091773F" w:rsidP="0091773F">
            <w:pPr>
              <w:snapToGrid w:val="0"/>
              <w:rPr>
                <w:rFonts w:cstheme="minorHAnsi"/>
                <w:sz w:val="20"/>
                <w:szCs w:val="20"/>
                <w:lang w:val="en-US"/>
              </w:rPr>
            </w:pPr>
          </w:p>
        </w:tc>
        <w:tc>
          <w:tcPr>
            <w:tcW w:w="6720" w:type="dxa"/>
            <w:shd w:val="clear" w:color="auto" w:fill="auto"/>
          </w:tcPr>
          <w:p w14:paraId="146B7631" w14:textId="77777777" w:rsidR="0091773F" w:rsidRDefault="0091773F" w:rsidP="0091773F">
            <w:pPr>
              <w:pStyle w:val="ListParagraph"/>
              <w:numPr>
                <w:ilvl w:val="0"/>
                <w:numId w:val="4"/>
              </w:numPr>
              <w:snapToGrid w:val="0"/>
              <w:contextualSpacing w:val="0"/>
              <w:rPr>
                <w:rFonts w:cstheme="minorHAnsi"/>
                <w:sz w:val="20"/>
                <w:szCs w:val="20"/>
                <w:lang w:val="en-US"/>
              </w:rPr>
            </w:pPr>
            <w:r w:rsidRPr="00675C28">
              <w:rPr>
                <w:rFonts w:cstheme="minorHAnsi"/>
                <w:b/>
                <w:bCs/>
                <w:sz w:val="20"/>
                <w:szCs w:val="20"/>
                <w:lang w:val="en-US"/>
              </w:rPr>
              <w:t xml:space="preserve">Flight to </w:t>
            </w:r>
            <w:r>
              <w:rPr>
                <w:rFonts w:cstheme="minorHAnsi"/>
                <w:b/>
                <w:bCs/>
                <w:sz w:val="20"/>
                <w:szCs w:val="20"/>
                <w:lang w:val="en-US"/>
              </w:rPr>
              <w:t>safe-haven assets</w:t>
            </w:r>
            <w:r w:rsidRPr="00675C28">
              <w:rPr>
                <w:rFonts w:cstheme="minorHAnsi"/>
                <w:b/>
                <w:bCs/>
                <w:sz w:val="20"/>
                <w:szCs w:val="20"/>
                <w:lang w:val="en-US"/>
              </w:rPr>
              <w:t>:</w:t>
            </w:r>
            <w:r w:rsidRPr="001937A8">
              <w:rPr>
                <w:rFonts w:cstheme="minorHAnsi"/>
                <w:sz w:val="20"/>
                <w:szCs w:val="20"/>
                <w:lang w:val="en-US"/>
              </w:rPr>
              <w:t xml:space="preserve"> One of the most salient phenomena observed during financial crises is the "flight to </w:t>
            </w:r>
            <w:r>
              <w:rPr>
                <w:rFonts w:cstheme="minorHAnsi"/>
                <w:sz w:val="20"/>
                <w:szCs w:val="20"/>
                <w:lang w:val="en-US"/>
              </w:rPr>
              <w:t>safety</w:t>
            </w:r>
            <w:r w:rsidRPr="001937A8">
              <w:rPr>
                <w:rFonts w:cstheme="minorHAnsi"/>
                <w:sz w:val="20"/>
                <w:szCs w:val="20"/>
                <w:lang w:val="en-US"/>
              </w:rPr>
              <w:t>," where investors disproportionately allocate capital to ostensibly low-risk assets like Treasury Bonds. While this appears beneficial, it suppresses yields and could create a bubble, leading to lower-than-expected returns.</w:t>
            </w:r>
          </w:p>
          <w:p w14:paraId="79A1DFE8" w14:textId="77777777" w:rsidR="0091773F" w:rsidRPr="00696CDC" w:rsidRDefault="0091773F" w:rsidP="0091773F">
            <w:pPr>
              <w:pStyle w:val="ListParagraph"/>
              <w:snapToGrid w:val="0"/>
              <w:ind w:left="360"/>
              <w:contextualSpacing w:val="0"/>
              <w:rPr>
                <w:rFonts w:cstheme="minorHAnsi"/>
                <w:b/>
                <w:bCs/>
                <w:color w:val="00B050"/>
                <w:sz w:val="20"/>
                <w:szCs w:val="20"/>
                <w:lang w:val="en-US"/>
              </w:rPr>
            </w:pPr>
          </w:p>
          <w:p w14:paraId="5217CAA1" w14:textId="77777777" w:rsidR="0091773F" w:rsidRDefault="0091773F" w:rsidP="0091773F">
            <w:pPr>
              <w:pStyle w:val="ListParagraph"/>
              <w:snapToGrid w:val="0"/>
              <w:ind w:left="360"/>
              <w:contextualSpacing w:val="0"/>
              <w:rPr>
                <w:rFonts w:cstheme="minorHAnsi"/>
                <w:sz w:val="20"/>
                <w:szCs w:val="20"/>
                <w:lang w:val="en-US"/>
              </w:rPr>
            </w:pPr>
          </w:p>
          <w:p w14:paraId="75C56C5C" w14:textId="77777777" w:rsidR="0091773F" w:rsidRDefault="0091773F" w:rsidP="0091773F">
            <w:pPr>
              <w:pStyle w:val="ListParagraph"/>
              <w:numPr>
                <w:ilvl w:val="0"/>
                <w:numId w:val="4"/>
              </w:numPr>
              <w:snapToGrid w:val="0"/>
              <w:contextualSpacing w:val="0"/>
              <w:rPr>
                <w:rFonts w:cstheme="minorHAnsi"/>
                <w:sz w:val="20"/>
                <w:szCs w:val="20"/>
                <w:lang w:val="en-US"/>
              </w:rPr>
            </w:pPr>
            <w:r w:rsidRPr="00675C28">
              <w:rPr>
                <w:rFonts w:cstheme="minorHAnsi"/>
                <w:b/>
                <w:bCs/>
                <w:sz w:val="20"/>
                <w:szCs w:val="20"/>
                <w:lang w:val="en-US"/>
              </w:rPr>
              <w:t>Liquidity Concerns:</w:t>
            </w:r>
            <w:r w:rsidRPr="001937A8">
              <w:rPr>
                <w:rFonts w:cstheme="minorHAnsi"/>
                <w:sz w:val="20"/>
                <w:szCs w:val="20"/>
                <w:lang w:val="en-US"/>
              </w:rPr>
              <w:t xml:space="preserve"> Contrary to general expectations, even the liquidity of Treasury Bonds is compromised during severe financial crises, complicating trade execution and possibly incurring unanticipated transaction costs.</w:t>
            </w:r>
          </w:p>
          <w:p w14:paraId="31DAF883" w14:textId="77777777" w:rsidR="0091773F" w:rsidRPr="00675C28" w:rsidRDefault="0091773F" w:rsidP="0091773F">
            <w:pPr>
              <w:pStyle w:val="ListParagraph"/>
              <w:rPr>
                <w:rFonts w:cstheme="minorHAnsi"/>
                <w:b/>
                <w:bCs/>
                <w:sz w:val="20"/>
                <w:szCs w:val="20"/>
                <w:lang w:val="en-US"/>
              </w:rPr>
            </w:pPr>
          </w:p>
          <w:p w14:paraId="387C936E" w14:textId="77777777" w:rsidR="0091773F" w:rsidRDefault="0091773F" w:rsidP="0091773F">
            <w:pPr>
              <w:pStyle w:val="ListParagraph"/>
              <w:numPr>
                <w:ilvl w:val="0"/>
                <w:numId w:val="4"/>
              </w:numPr>
              <w:snapToGrid w:val="0"/>
              <w:contextualSpacing w:val="0"/>
              <w:rPr>
                <w:rFonts w:cstheme="minorHAnsi"/>
                <w:sz w:val="20"/>
                <w:szCs w:val="20"/>
                <w:lang w:val="en-US"/>
              </w:rPr>
            </w:pPr>
            <w:r w:rsidRPr="00675C28">
              <w:rPr>
                <w:rFonts w:cstheme="minorHAnsi"/>
                <w:b/>
                <w:bCs/>
                <w:sz w:val="20"/>
                <w:szCs w:val="20"/>
                <w:lang w:val="en-US"/>
              </w:rPr>
              <w:t>Yield Curve Distortions:</w:t>
            </w:r>
            <w:r w:rsidRPr="001937A8">
              <w:rPr>
                <w:rFonts w:cstheme="minorHAnsi"/>
                <w:sz w:val="20"/>
                <w:szCs w:val="20"/>
                <w:lang w:val="en-US"/>
              </w:rPr>
              <w:t xml:space="preserve"> Financial crises often result in policy interventions, such as Quantitative Easing, that could distort the yield curve. Misinterpretation of these distortions can lead to inaccurate risk and return assessments.</w:t>
            </w:r>
          </w:p>
          <w:p w14:paraId="1E30B4A3" w14:textId="77777777" w:rsidR="0091773F" w:rsidRPr="001937A8" w:rsidRDefault="0091773F" w:rsidP="0091773F">
            <w:pPr>
              <w:pStyle w:val="ListParagraph"/>
              <w:rPr>
                <w:rFonts w:cstheme="minorHAnsi"/>
                <w:sz w:val="20"/>
                <w:szCs w:val="20"/>
                <w:lang w:val="en-US"/>
              </w:rPr>
            </w:pPr>
          </w:p>
          <w:p w14:paraId="4D8E843E" w14:textId="77777777" w:rsidR="0091773F" w:rsidRDefault="0091773F" w:rsidP="0091773F">
            <w:pPr>
              <w:pStyle w:val="ListParagraph"/>
              <w:numPr>
                <w:ilvl w:val="0"/>
                <w:numId w:val="4"/>
              </w:numPr>
              <w:snapToGrid w:val="0"/>
              <w:contextualSpacing w:val="0"/>
              <w:rPr>
                <w:rFonts w:cstheme="minorHAnsi"/>
                <w:sz w:val="20"/>
                <w:szCs w:val="20"/>
                <w:lang w:val="en-US"/>
              </w:rPr>
            </w:pPr>
            <w:r w:rsidRPr="00675C28">
              <w:rPr>
                <w:rFonts w:cstheme="minorHAnsi"/>
                <w:b/>
                <w:bCs/>
                <w:sz w:val="20"/>
                <w:szCs w:val="20"/>
                <w:lang w:val="en-US"/>
              </w:rPr>
              <w:t>Inflation Risk:</w:t>
            </w:r>
            <w:r w:rsidRPr="001937A8">
              <w:rPr>
                <w:rFonts w:cstheme="minorHAnsi"/>
                <w:sz w:val="20"/>
                <w:szCs w:val="20"/>
                <w:lang w:val="en-US"/>
              </w:rPr>
              <w:t xml:space="preserve"> Financial crises, particularly those precipitated by economic contractions, may be followed by periods of high inflation due to aggressive fiscal and monetary policy actions. Such inflationary pressures can erode the real returns on fixed-income assets like Treasury Bonds.</w:t>
            </w:r>
          </w:p>
          <w:p w14:paraId="6F740CBF" w14:textId="77777777" w:rsidR="0091773F" w:rsidRPr="001937A8" w:rsidRDefault="0091773F" w:rsidP="0091773F">
            <w:pPr>
              <w:pStyle w:val="ListParagraph"/>
              <w:rPr>
                <w:rFonts w:cstheme="minorHAnsi"/>
                <w:sz w:val="20"/>
                <w:szCs w:val="20"/>
                <w:lang w:val="en-US"/>
              </w:rPr>
            </w:pPr>
          </w:p>
          <w:p w14:paraId="5219ED80" w14:textId="77777777" w:rsidR="0091773F" w:rsidRDefault="0091773F" w:rsidP="0091773F">
            <w:pPr>
              <w:pStyle w:val="ListParagraph"/>
              <w:numPr>
                <w:ilvl w:val="0"/>
                <w:numId w:val="4"/>
              </w:numPr>
              <w:snapToGrid w:val="0"/>
              <w:contextualSpacing w:val="0"/>
              <w:rPr>
                <w:rFonts w:cstheme="minorHAnsi"/>
                <w:sz w:val="20"/>
                <w:szCs w:val="20"/>
                <w:lang w:val="en-US"/>
              </w:rPr>
            </w:pPr>
            <w:r w:rsidRPr="00675C28">
              <w:rPr>
                <w:rFonts w:cstheme="minorHAnsi"/>
                <w:b/>
                <w:bCs/>
                <w:sz w:val="20"/>
                <w:szCs w:val="20"/>
                <w:lang w:val="en-US"/>
              </w:rPr>
              <w:t>Policy Uncertainty:</w:t>
            </w:r>
            <w:r w:rsidRPr="001937A8">
              <w:rPr>
                <w:rFonts w:cstheme="minorHAnsi"/>
                <w:sz w:val="20"/>
                <w:szCs w:val="20"/>
                <w:lang w:val="en-US"/>
              </w:rPr>
              <w:t xml:space="preserve"> Regulatory and monetary interventions during crises contribute to policy uncertainty, which could affect bond pricing and yield curve dynamics, complicating investment decisions.</w:t>
            </w:r>
          </w:p>
          <w:p w14:paraId="47B939EA" w14:textId="77777777" w:rsidR="0091773F" w:rsidRPr="001937A8" w:rsidRDefault="0091773F" w:rsidP="0091773F">
            <w:pPr>
              <w:pStyle w:val="ListParagraph"/>
              <w:rPr>
                <w:rFonts w:cstheme="minorHAnsi"/>
                <w:sz w:val="20"/>
                <w:szCs w:val="20"/>
                <w:lang w:val="en-US"/>
              </w:rPr>
            </w:pPr>
          </w:p>
          <w:p w14:paraId="27EFADDC" w14:textId="77777777" w:rsidR="0091773F" w:rsidRDefault="0091773F" w:rsidP="0091773F">
            <w:pPr>
              <w:pStyle w:val="ListParagraph"/>
              <w:numPr>
                <w:ilvl w:val="0"/>
                <w:numId w:val="4"/>
              </w:numPr>
              <w:snapToGrid w:val="0"/>
              <w:contextualSpacing w:val="0"/>
              <w:rPr>
                <w:rFonts w:cstheme="minorHAnsi"/>
                <w:sz w:val="20"/>
                <w:szCs w:val="20"/>
                <w:lang w:val="en-US"/>
              </w:rPr>
            </w:pPr>
            <w:r w:rsidRPr="00675C28">
              <w:rPr>
                <w:rFonts w:cstheme="minorHAnsi"/>
                <w:b/>
                <w:bCs/>
                <w:sz w:val="20"/>
                <w:szCs w:val="20"/>
                <w:lang w:val="en-US"/>
              </w:rPr>
              <w:t>Reinvestment Risk:</w:t>
            </w:r>
            <w:r w:rsidRPr="001937A8">
              <w:rPr>
                <w:rFonts w:cstheme="minorHAnsi"/>
                <w:sz w:val="20"/>
                <w:szCs w:val="20"/>
                <w:lang w:val="en-US"/>
              </w:rPr>
              <w:t xml:space="preserve"> The short maturity period of 2-year Treasury Bonds exposes investors to reinvestment risk, especially during financial crises when interest rates are subject to abrupt fluctuations due to central bank interventions.</w:t>
            </w:r>
          </w:p>
          <w:p w14:paraId="30EDA152" w14:textId="77777777" w:rsidR="0091773F" w:rsidRPr="001937A8" w:rsidRDefault="0091773F" w:rsidP="0091773F">
            <w:pPr>
              <w:pStyle w:val="ListParagraph"/>
              <w:snapToGrid w:val="0"/>
              <w:ind w:left="360"/>
              <w:contextualSpacing w:val="0"/>
              <w:rPr>
                <w:rFonts w:cstheme="minorHAnsi"/>
                <w:sz w:val="20"/>
                <w:szCs w:val="20"/>
                <w:lang w:val="en-US"/>
              </w:rPr>
            </w:pPr>
          </w:p>
        </w:tc>
      </w:tr>
    </w:tbl>
    <w:p w14:paraId="6956E9AE" w14:textId="77777777" w:rsidR="0091773F" w:rsidRDefault="0091773F" w:rsidP="0091773F">
      <w:pPr>
        <w:pStyle w:val="ListParagraph"/>
        <w:snapToGrid w:val="0"/>
        <w:spacing w:after="0" w:line="240" w:lineRule="auto"/>
        <w:ind w:left="936"/>
        <w:contextualSpacing w:val="0"/>
        <w:rPr>
          <w:rFonts w:cstheme="minorHAnsi"/>
          <w:b/>
          <w:bCs/>
          <w:lang w:val="en-US"/>
        </w:rPr>
      </w:pPr>
    </w:p>
    <w:p w14:paraId="79D01E48" w14:textId="77777777" w:rsidR="0091773F" w:rsidRDefault="0091773F" w:rsidP="0091773F">
      <w:pPr>
        <w:pStyle w:val="ListParagraph"/>
        <w:snapToGrid w:val="0"/>
        <w:spacing w:after="0" w:line="240" w:lineRule="auto"/>
        <w:ind w:left="936"/>
        <w:contextualSpacing w:val="0"/>
        <w:rPr>
          <w:rFonts w:cstheme="minorHAnsi"/>
          <w:b/>
          <w:bCs/>
          <w:lang w:val="en-US"/>
        </w:rPr>
      </w:pPr>
    </w:p>
    <w:p w14:paraId="54AB20A1" w14:textId="77777777" w:rsidR="006C164C" w:rsidRPr="00AA5AEA" w:rsidRDefault="006C164C" w:rsidP="00AA5AEA">
      <w:pPr>
        <w:snapToGrid w:val="0"/>
        <w:spacing w:after="0" w:line="240" w:lineRule="auto"/>
        <w:rPr>
          <w:rFonts w:cstheme="minorHAnsi"/>
          <w:b/>
          <w:bCs/>
          <w:lang w:val="en-US"/>
        </w:rPr>
      </w:pPr>
    </w:p>
    <w:p w14:paraId="440FAA10" w14:textId="77777777" w:rsidR="006C164C" w:rsidRPr="004021EF" w:rsidRDefault="006C164C" w:rsidP="006C164C">
      <w:pPr>
        <w:pStyle w:val="ListParagraph"/>
        <w:numPr>
          <w:ilvl w:val="1"/>
          <w:numId w:val="1"/>
        </w:numPr>
        <w:snapToGrid w:val="0"/>
        <w:spacing w:after="0" w:line="240" w:lineRule="auto"/>
        <w:contextualSpacing w:val="0"/>
        <w:rPr>
          <w:rFonts w:cstheme="minorHAnsi"/>
          <w:b/>
          <w:bCs/>
          <w:sz w:val="24"/>
          <w:szCs w:val="24"/>
          <w:lang w:val="en-US"/>
        </w:rPr>
      </w:pPr>
      <w:r w:rsidRPr="004021EF">
        <w:rPr>
          <w:rFonts w:cstheme="minorHAnsi"/>
          <w:b/>
          <w:bCs/>
          <w:sz w:val="24"/>
          <w:szCs w:val="24"/>
          <w:lang w:val="en-US"/>
        </w:rPr>
        <w:t xml:space="preserve">   Student:</w:t>
      </w:r>
      <w:r w:rsidRPr="004021EF">
        <w:rPr>
          <w:rFonts w:cstheme="minorHAnsi"/>
          <w:b/>
          <w:bCs/>
          <w:sz w:val="24"/>
          <w:szCs w:val="24"/>
        </w:rPr>
        <w:t xml:space="preserve"> </w:t>
      </w:r>
      <w:r w:rsidRPr="004021EF">
        <w:rPr>
          <w:rFonts w:cstheme="minorHAnsi"/>
          <w:b/>
          <w:bCs/>
          <w:sz w:val="24"/>
          <w:szCs w:val="24"/>
          <w:lang w:val="en-US"/>
        </w:rPr>
        <w:t>Ebenezer - An illiquid security – Real Estate Investment</w:t>
      </w:r>
    </w:p>
    <w:p w14:paraId="27FBFF08" w14:textId="77777777" w:rsidR="006C164C" w:rsidRDefault="006C164C" w:rsidP="006C164C">
      <w:pPr>
        <w:pStyle w:val="ListParagraph"/>
        <w:snapToGrid w:val="0"/>
        <w:spacing w:after="0" w:line="240" w:lineRule="auto"/>
        <w:ind w:left="936"/>
        <w:contextualSpacing w:val="0"/>
        <w:rPr>
          <w:rFonts w:cstheme="minorHAnsi"/>
          <w:b/>
          <w:bCs/>
          <w:lang w:val="en-US"/>
        </w:rPr>
      </w:pPr>
      <w:r>
        <w:rPr>
          <w:rFonts w:cstheme="minorHAnsi"/>
          <w:b/>
          <w:bCs/>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32"/>
        <w:gridCol w:w="7410"/>
        <w:gridCol w:w="6846"/>
      </w:tblGrid>
      <w:tr w:rsidR="006C164C" w:rsidRPr="00CF348C" w14:paraId="721E671F" w14:textId="77777777" w:rsidTr="00AA0F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7399DF" w14:textId="77777777" w:rsidR="006C164C" w:rsidRPr="00CF348C" w:rsidRDefault="006C164C" w:rsidP="00AA0FA4">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2A9D3" w14:textId="77777777" w:rsidR="006C164C" w:rsidRPr="00CF348C" w:rsidRDefault="006C164C" w:rsidP="00AA0FA4">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MODEL FAILURES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9C4C4" w14:textId="77777777" w:rsidR="006C164C" w:rsidRPr="00CF348C" w:rsidRDefault="006C164C" w:rsidP="00AA0FA4">
            <w:pPr>
              <w:spacing w:after="0" w:line="240" w:lineRule="auto"/>
              <w:rPr>
                <w:rFonts w:ascii="Times New Roman" w:eastAsia="Times New Roman" w:hAnsi="Times New Roman" w:cs="Times New Roman"/>
                <w:kern w:val="0"/>
                <w:sz w:val="24"/>
                <w:szCs w:val="24"/>
                <w14:ligatures w14:val="none"/>
              </w:rPr>
            </w:pPr>
            <w:r w:rsidRPr="00CF348C">
              <w:rPr>
                <w:rFonts w:ascii="Calibri" w:eastAsia="Times New Roman" w:hAnsi="Calibri" w:cs="Calibri"/>
                <w:color w:val="000000"/>
                <w:kern w:val="0"/>
                <w14:ligatures w14:val="none"/>
              </w:rPr>
              <w:t>FINANCIAL CRISIS</w:t>
            </w:r>
          </w:p>
        </w:tc>
      </w:tr>
      <w:tr w:rsidR="006C164C" w:rsidRPr="00CF348C" w14:paraId="12CF7C2C" w14:textId="77777777" w:rsidTr="00AA0FA4">
        <w:trPr>
          <w:trHeight w:val="11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6FAE3" w14:textId="77777777" w:rsidR="006C164C" w:rsidRPr="00CF348C" w:rsidRDefault="006C164C" w:rsidP="00AA0F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39C38" w14:textId="77777777" w:rsidR="006C164C" w:rsidRDefault="006C164C" w:rsidP="00AA0FA4">
            <w:pPr>
              <w:pStyle w:val="ListParagraph"/>
              <w:numPr>
                <w:ilvl w:val="0"/>
                <w:numId w:val="32"/>
              </w:numPr>
            </w:pPr>
            <w:r>
              <w:t>Inaccurate Valuation Models: Model failures may arise from inaccurate or outdated valuation models for real estate properties. Real estate valuation relies on factors like market comps, income approaches, and cost-based assessments. Model failures could result from not properly accounting for local market dynamics, changes in zoning regulations, or property-specific factors.</w:t>
            </w:r>
          </w:p>
          <w:p w14:paraId="357D14AB" w14:textId="77777777" w:rsidR="006C164C" w:rsidRPr="00F27B2F" w:rsidRDefault="006C164C" w:rsidP="00AA0FA4">
            <w:pPr>
              <w:numPr>
                <w:ilvl w:val="0"/>
                <w:numId w:val="32"/>
              </w:numPr>
              <w:spacing w:after="0" w:line="240" w:lineRule="auto"/>
              <w:rPr>
                <w:rFonts w:ascii="Times New Roman" w:eastAsia="Times New Roman" w:hAnsi="Times New Roman" w:cs="Times New Roman"/>
                <w:kern w:val="0"/>
                <w:sz w:val="24"/>
                <w:szCs w:val="24"/>
                <w14:ligatures w14:val="none"/>
              </w:rPr>
            </w:pPr>
            <w:r>
              <w:t>Lack of Market Data: A challenge in modelling real estate investments is the lack of comprehensive and up-to-date market data. Models may fail if they rely on outdated or incomplete information, leading to misjudgements in property value and investment prospects.</w:t>
            </w:r>
          </w:p>
          <w:p w14:paraId="1A8EB592" w14:textId="77777777" w:rsidR="006C164C" w:rsidRDefault="006C164C" w:rsidP="00AA0FA4">
            <w:pPr>
              <w:spacing w:after="0" w:line="240" w:lineRule="auto"/>
            </w:pPr>
          </w:p>
          <w:p w14:paraId="6FD86685" w14:textId="77777777" w:rsidR="006C164C" w:rsidRPr="00CD6E1D" w:rsidRDefault="006C164C" w:rsidP="00AA0FA4">
            <w:pPr>
              <w:pStyle w:val="ListParagraph"/>
              <w:numPr>
                <w:ilvl w:val="0"/>
                <w:numId w:val="32"/>
              </w:numPr>
              <w:spacing w:after="0" w:line="240" w:lineRule="auto"/>
            </w:pPr>
            <w:r w:rsidRPr="00CD6E1D">
              <w:t>Environmental and Regulatory Risks: Failure to consider environmental or regulatory risks, such as zoning changes, environmental contamination, or legal restrictions on property use, can lead to significant model failures. Failure to identify such risks may result in investments in properties with limited potential.</w:t>
            </w:r>
          </w:p>
          <w:p w14:paraId="5BE1FD44" w14:textId="77777777" w:rsidR="006C164C" w:rsidRPr="00CD6E1D" w:rsidRDefault="006C164C" w:rsidP="00AA0FA4">
            <w:pPr>
              <w:spacing w:after="0" w:line="240" w:lineRule="auto"/>
            </w:pPr>
          </w:p>
          <w:p w14:paraId="07BE0AC6" w14:textId="77777777" w:rsidR="006C164C" w:rsidRPr="00F27B2F" w:rsidRDefault="006C164C" w:rsidP="00AA0FA4">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r w:rsidRPr="00CD6E1D">
              <w:t>Liquidity Assumptions: Real estate investments are often illiquid. Model failures may occur when assumptions about the ability to sell or trade the investment are overly optimistic. Liquidity crises can arise when investors need to exit their positions but cannot do so without substantial losses.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00514" w14:textId="77777777" w:rsidR="006C164C" w:rsidRPr="00CD6E1D" w:rsidRDefault="006C164C" w:rsidP="00AA0FA4">
            <w:pPr>
              <w:pStyle w:val="ListParagraph"/>
              <w:numPr>
                <w:ilvl w:val="0"/>
                <w:numId w:val="32"/>
              </w:numPr>
              <w:spacing w:after="0" w:line="240" w:lineRule="auto"/>
            </w:pPr>
            <w:r w:rsidRPr="00CD6E1D">
              <w:t>Economic Downturn: Real estate investments are sensitive to economic conditions. Financial crises, such as a recession, can lead to reduced property demand, falling rental income, and property devaluation. This impacts the income generated by the real estate investment, potentially leading to financial distress.</w:t>
            </w:r>
          </w:p>
          <w:p w14:paraId="1BBF9E1E" w14:textId="77777777" w:rsidR="006C164C" w:rsidRPr="00CD6E1D" w:rsidRDefault="006C164C" w:rsidP="00AA0FA4">
            <w:pPr>
              <w:spacing w:after="0" w:line="240" w:lineRule="auto"/>
            </w:pPr>
          </w:p>
          <w:p w14:paraId="2121B42D" w14:textId="77777777" w:rsidR="006C164C" w:rsidRPr="00CD6E1D" w:rsidRDefault="006C164C" w:rsidP="00AA0FA4">
            <w:pPr>
              <w:pStyle w:val="ListParagraph"/>
              <w:numPr>
                <w:ilvl w:val="0"/>
                <w:numId w:val="32"/>
              </w:numPr>
              <w:spacing w:after="0" w:line="240" w:lineRule="auto"/>
            </w:pPr>
            <w:r w:rsidRPr="00CD6E1D">
              <w:t>Interest Rate Fluctuations: Sharp increases in interest rates can increase borrowing costs for real estate investors. If not properly managed, this can strain finances and lead to defaults on real estate loans or challenges in refinancing existing mortgages.</w:t>
            </w:r>
          </w:p>
          <w:p w14:paraId="2509DC92" w14:textId="77777777" w:rsidR="006C164C" w:rsidRPr="00CD6E1D" w:rsidRDefault="006C164C" w:rsidP="00AA0FA4">
            <w:pPr>
              <w:spacing w:after="0" w:line="240" w:lineRule="auto"/>
            </w:pPr>
          </w:p>
          <w:p w14:paraId="065F85B0" w14:textId="77777777" w:rsidR="006C164C" w:rsidRPr="00CD6E1D" w:rsidRDefault="006C164C" w:rsidP="00AA0FA4">
            <w:pPr>
              <w:pStyle w:val="ListParagraph"/>
              <w:numPr>
                <w:ilvl w:val="0"/>
                <w:numId w:val="32"/>
              </w:numPr>
              <w:spacing w:after="0" w:line="240" w:lineRule="auto"/>
            </w:pPr>
            <w:r w:rsidRPr="00CD6E1D">
              <w:t>Credit Market Tightening: During a financial crisis, credit markets may tighten, making it more difficult for real estate investors to secure financing for new investments or to refinance existing properties. This can lead to liquidity problems and difficulty in managing real estate portfolios.</w:t>
            </w:r>
          </w:p>
          <w:p w14:paraId="199870B4" w14:textId="77777777" w:rsidR="006C164C" w:rsidRPr="00CD6E1D" w:rsidRDefault="006C164C" w:rsidP="00AA0FA4">
            <w:pPr>
              <w:spacing w:after="0" w:line="240" w:lineRule="auto"/>
            </w:pPr>
          </w:p>
          <w:p w14:paraId="082872F9" w14:textId="77777777" w:rsidR="006C164C" w:rsidRPr="00957296" w:rsidRDefault="006C164C" w:rsidP="00AA0FA4">
            <w:pPr>
              <w:pStyle w:val="ListParagraph"/>
              <w:numPr>
                <w:ilvl w:val="0"/>
                <w:numId w:val="33"/>
              </w:numPr>
              <w:spacing w:after="0" w:line="240" w:lineRule="auto"/>
              <w:rPr>
                <w:rFonts w:ascii="Times New Roman" w:eastAsia="Times New Roman" w:hAnsi="Times New Roman" w:cs="Times New Roman"/>
                <w:kern w:val="0"/>
                <w:sz w:val="24"/>
                <w:szCs w:val="24"/>
                <w14:ligatures w14:val="none"/>
              </w:rPr>
            </w:pPr>
            <w:r w:rsidRPr="00CD6E1D">
              <w:t>Supply and Demand Imbalance: Financial crises can disrupt supply and demand dynamics in real estate markets. Overleveraged investors might face difficulties when demand drops, leading to difficulties in selling properties or leasing them at expected rates.</w:t>
            </w:r>
          </w:p>
        </w:tc>
      </w:tr>
    </w:tbl>
    <w:p w14:paraId="3CDB62ED" w14:textId="77777777" w:rsidR="006C164C" w:rsidRPr="00616AA8" w:rsidRDefault="006C164C" w:rsidP="006C164C">
      <w:pPr>
        <w:pStyle w:val="ListParagraph"/>
        <w:snapToGrid w:val="0"/>
        <w:spacing w:after="0" w:line="240" w:lineRule="auto"/>
        <w:ind w:left="936"/>
        <w:contextualSpacing w:val="0"/>
        <w:rPr>
          <w:rFonts w:cstheme="minorHAnsi"/>
          <w:b/>
          <w:bCs/>
          <w:lang w:val="en-US"/>
        </w:rPr>
      </w:pPr>
    </w:p>
    <w:p w14:paraId="476EE7C1" w14:textId="77777777" w:rsidR="006C164C" w:rsidRDefault="006C164C" w:rsidP="006C164C">
      <w:pPr>
        <w:snapToGrid w:val="0"/>
        <w:spacing w:after="0" w:line="240" w:lineRule="auto"/>
        <w:rPr>
          <w:rFonts w:cstheme="minorHAnsi"/>
          <w:b/>
          <w:bCs/>
          <w:sz w:val="20"/>
          <w:szCs w:val="20"/>
          <w:lang w:val="en-US"/>
        </w:rPr>
      </w:pPr>
    </w:p>
    <w:p w14:paraId="2770C95C" w14:textId="77777777" w:rsidR="0091773F" w:rsidRDefault="0091773F" w:rsidP="0091773F">
      <w:pPr>
        <w:pStyle w:val="ListParagraph"/>
        <w:snapToGrid w:val="0"/>
        <w:spacing w:after="0" w:line="240" w:lineRule="auto"/>
        <w:ind w:left="936"/>
        <w:contextualSpacing w:val="0"/>
        <w:rPr>
          <w:rFonts w:cstheme="minorHAnsi"/>
          <w:b/>
          <w:bCs/>
          <w:lang w:val="en-US"/>
        </w:rPr>
      </w:pPr>
    </w:p>
    <w:p w14:paraId="177D7E33" w14:textId="77777777" w:rsidR="006C164C" w:rsidRDefault="006C164C" w:rsidP="0091773F">
      <w:pPr>
        <w:pStyle w:val="ListParagraph"/>
        <w:snapToGrid w:val="0"/>
        <w:spacing w:after="0" w:line="240" w:lineRule="auto"/>
        <w:ind w:left="936"/>
        <w:contextualSpacing w:val="0"/>
        <w:rPr>
          <w:rFonts w:cstheme="minorHAnsi"/>
          <w:b/>
          <w:bCs/>
          <w:lang w:val="en-US"/>
        </w:rPr>
      </w:pPr>
    </w:p>
    <w:p w14:paraId="0FFABEF2" w14:textId="77777777" w:rsidR="006C164C" w:rsidRDefault="006C164C" w:rsidP="0091773F">
      <w:pPr>
        <w:pStyle w:val="ListParagraph"/>
        <w:snapToGrid w:val="0"/>
        <w:spacing w:after="0" w:line="240" w:lineRule="auto"/>
        <w:ind w:left="936"/>
        <w:contextualSpacing w:val="0"/>
        <w:rPr>
          <w:rFonts w:cstheme="minorHAnsi"/>
          <w:b/>
          <w:bCs/>
          <w:lang w:val="en-US"/>
        </w:rPr>
      </w:pPr>
    </w:p>
    <w:p w14:paraId="0A7B346A" w14:textId="77777777" w:rsidR="004A6E2E" w:rsidRDefault="004A6E2E" w:rsidP="0091773F">
      <w:pPr>
        <w:pStyle w:val="ListParagraph"/>
        <w:snapToGrid w:val="0"/>
        <w:spacing w:after="0" w:line="240" w:lineRule="auto"/>
        <w:ind w:left="936"/>
        <w:contextualSpacing w:val="0"/>
        <w:rPr>
          <w:rFonts w:cstheme="minorHAnsi"/>
          <w:b/>
          <w:bCs/>
          <w:lang w:val="en-US"/>
        </w:rPr>
      </w:pPr>
    </w:p>
    <w:p w14:paraId="31818B50" w14:textId="77777777" w:rsidR="004A6E2E" w:rsidRDefault="004A6E2E" w:rsidP="0091773F">
      <w:pPr>
        <w:pStyle w:val="ListParagraph"/>
        <w:snapToGrid w:val="0"/>
        <w:spacing w:after="0" w:line="240" w:lineRule="auto"/>
        <w:ind w:left="936"/>
        <w:contextualSpacing w:val="0"/>
        <w:rPr>
          <w:rFonts w:cstheme="minorHAnsi"/>
          <w:b/>
          <w:bCs/>
          <w:lang w:val="en-US"/>
        </w:rPr>
      </w:pPr>
    </w:p>
    <w:p w14:paraId="2B366834" w14:textId="77777777" w:rsidR="006C164C" w:rsidRDefault="006C164C" w:rsidP="0091773F">
      <w:pPr>
        <w:pStyle w:val="ListParagraph"/>
        <w:snapToGrid w:val="0"/>
        <w:spacing w:after="0" w:line="240" w:lineRule="auto"/>
        <w:ind w:left="936"/>
        <w:contextualSpacing w:val="0"/>
        <w:rPr>
          <w:rFonts w:cstheme="minorHAnsi"/>
          <w:b/>
          <w:bCs/>
          <w:lang w:val="en-US"/>
        </w:rPr>
      </w:pPr>
    </w:p>
    <w:p w14:paraId="4EC51E18" w14:textId="77777777" w:rsidR="006745FD" w:rsidRDefault="00000000" w:rsidP="00CE15C2">
      <w:pPr>
        <w:pStyle w:val="ListParagraph"/>
        <w:numPr>
          <w:ilvl w:val="0"/>
          <w:numId w:val="1"/>
        </w:numPr>
        <w:snapToGrid w:val="0"/>
        <w:spacing w:after="0" w:line="240" w:lineRule="auto"/>
        <w:contextualSpacing w:val="0"/>
        <w:rPr>
          <w:rFonts w:cstheme="minorHAnsi"/>
          <w:b/>
          <w:bCs/>
          <w:sz w:val="28"/>
          <w:szCs w:val="28"/>
          <w:lang w:val="en-US"/>
        </w:rPr>
      </w:pPr>
      <w:r w:rsidRPr="00B32380">
        <w:rPr>
          <w:rFonts w:cstheme="minorHAnsi"/>
          <w:b/>
          <w:bCs/>
          <w:sz w:val="28"/>
          <w:szCs w:val="28"/>
          <w:lang w:val="en-US"/>
        </w:rPr>
        <w:lastRenderedPageBreak/>
        <w:t xml:space="preserve">Step </w:t>
      </w:r>
      <w:r>
        <w:rPr>
          <w:rFonts w:cstheme="minorHAnsi"/>
          <w:b/>
          <w:bCs/>
          <w:sz w:val="28"/>
          <w:szCs w:val="28"/>
          <w:lang w:val="en-US"/>
        </w:rPr>
        <w:t>2</w:t>
      </w:r>
      <w:r w:rsidRPr="00B32380">
        <w:rPr>
          <w:rFonts w:cstheme="minorHAnsi"/>
          <w:b/>
          <w:bCs/>
          <w:sz w:val="28"/>
          <w:szCs w:val="28"/>
          <w:lang w:val="en-US"/>
        </w:rPr>
        <w:t xml:space="preserve">. Identifying Data Characteristics </w:t>
      </w:r>
      <w:r w:rsidR="007F7BB0">
        <w:rPr>
          <w:rFonts w:cstheme="minorHAnsi"/>
          <w:b/>
          <w:bCs/>
          <w:sz w:val="28"/>
          <w:szCs w:val="28"/>
          <w:lang w:val="en-US"/>
        </w:rPr>
        <w:t>for Model Failure and Financial Crisis</w:t>
      </w:r>
    </w:p>
    <w:p w14:paraId="7B206571" w14:textId="77777777" w:rsidR="00CC5F74" w:rsidRPr="0025710F" w:rsidRDefault="00000000" w:rsidP="00CC5F74">
      <w:pPr>
        <w:pStyle w:val="ListParagraph"/>
        <w:numPr>
          <w:ilvl w:val="1"/>
          <w:numId w:val="1"/>
        </w:numPr>
        <w:snapToGrid w:val="0"/>
        <w:spacing w:after="0" w:line="240" w:lineRule="auto"/>
        <w:contextualSpacing w:val="0"/>
        <w:rPr>
          <w:rFonts w:cstheme="minorHAnsi"/>
          <w:b/>
          <w:bCs/>
          <w:sz w:val="24"/>
          <w:szCs w:val="24"/>
          <w:lang w:val="en-US"/>
        </w:rPr>
      </w:pPr>
      <w:r w:rsidRPr="0025710F">
        <w:rPr>
          <w:rFonts w:cstheme="minorHAnsi"/>
          <w:b/>
          <w:bCs/>
          <w:sz w:val="24"/>
          <w:szCs w:val="24"/>
          <w:lang w:val="en-US"/>
        </w:rPr>
        <w:t>Student:</w:t>
      </w:r>
      <w:r w:rsidRPr="0025710F">
        <w:rPr>
          <w:rFonts w:cstheme="minorHAnsi"/>
          <w:b/>
          <w:bCs/>
          <w:sz w:val="24"/>
          <w:szCs w:val="24"/>
        </w:rPr>
        <w:t xml:space="preserve"> </w:t>
      </w:r>
      <w:r w:rsidRPr="0025710F">
        <w:rPr>
          <w:rFonts w:cstheme="minorHAnsi"/>
          <w:b/>
          <w:bCs/>
          <w:sz w:val="24"/>
          <w:szCs w:val="24"/>
          <w:lang w:val="en-US"/>
        </w:rPr>
        <w:t xml:space="preserve">Oratile Personal unsecured loan at a fixed rate – Credit Card. </w:t>
      </w:r>
    </w:p>
    <w:p w14:paraId="24E0A161" w14:textId="77777777" w:rsidR="00CC5F74" w:rsidRPr="00FD157D" w:rsidRDefault="00CC5F74" w:rsidP="00FD157D">
      <w:pPr>
        <w:snapToGrid w:val="0"/>
        <w:spacing w:after="0" w:line="240" w:lineRule="auto"/>
        <w:rPr>
          <w:rFonts w:cstheme="minorHAnsi"/>
          <w:b/>
          <w:bCs/>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66"/>
        <w:gridCol w:w="318"/>
        <w:gridCol w:w="1934"/>
        <w:gridCol w:w="318"/>
        <w:gridCol w:w="1815"/>
        <w:gridCol w:w="8904"/>
      </w:tblGrid>
      <w:tr w:rsidR="00FD157D" w:rsidRPr="00FD157D" w14:paraId="344FE1F3" w14:textId="77777777" w:rsidTr="00FD157D">
        <w:trPr>
          <w:trHeight w:val="374"/>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2CED3783"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11037"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237756F6" w14:textId="77777777" w:rsidR="00FD157D" w:rsidRPr="00FD157D" w:rsidRDefault="00FD157D" w:rsidP="00FD157D">
            <w:pPr>
              <w:spacing w:after="0" w:line="240" w:lineRule="auto"/>
              <w:jc w:val="center"/>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Data Characteristics Collection for Equity</w:t>
            </w:r>
          </w:p>
        </w:tc>
      </w:tr>
      <w:tr w:rsidR="00FD157D" w:rsidRPr="00FD157D" w14:paraId="006300B8" w14:textId="77777777" w:rsidTr="00FD157D">
        <w:trPr>
          <w:trHeight w:val="27"/>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79C0529" w14:textId="77777777" w:rsidR="00FD157D" w:rsidRPr="00FD157D" w:rsidRDefault="00FD157D" w:rsidP="00FD157D">
            <w:pPr>
              <w:spacing w:after="0" w:line="240" w:lineRule="auto"/>
              <w:ind w:left="113" w:right="113"/>
              <w:jc w:val="center"/>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CREDIT CARD LOAN</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377EE696" w14:textId="77777777" w:rsidR="00FD157D" w:rsidRPr="00FD157D" w:rsidRDefault="00FD157D" w:rsidP="00FD157D">
            <w:pPr>
              <w:spacing w:after="0" w:line="240" w:lineRule="auto"/>
              <w:jc w:val="center"/>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1</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1A60E987"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CREDIT CARD LOANS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2EB9C23"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3D1B81D"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Data type</w:t>
            </w:r>
          </w:p>
        </w:tc>
        <w:tc>
          <w:tcPr>
            <w:tcW w:w="8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122BA" w14:textId="77777777" w:rsidR="00FD157D" w:rsidRPr="00FD157D" w:rsidRDefault="00FD157D">
            <w:pPr>
              <w:numPr>
                <w:ilvl w:val="0"/>
                <w:numId w:val="20"/>
              </w:numPr>
              <w:spacing w:after="0" w:line="240" w:lineRule="auto"/>
              <w:ind w:left="360"/>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Economic data</w:t>
            </w:r>
          </w:p>
          <w:p w14:paraId="0DEE0C85" w14:textId="77777777" w:rsidR="00FD157D" w:rsidRPr="00FD157D" w:rsidRDefault="00FD157D">
            <w:pPr>
              <w:numPr>
                <w:ilvl w:val="0"/>
                <w:numId w:val="20"/>
              </w:numPr>
              <w:spacing w:after="0" w:line="240" w:lineRule="auto"/>
              <w:ind w:left="360"/>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Assets </w:t>
            </w:r>
          </w:p>
        </w:tc>
      </w:tr>
      <w:tr w:rsidR="00FD157D" w:rsidRPr="00FD157D" w14:paraId="14E22C18" w14:textId="77777777" w:rsidTr="00FD157D">
        <w:trPr>
          <w:trHeight w:val="2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1F415F"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1BD1FF"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540EDB"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0CAE4FC"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2BF9A4C"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Data preprocessing</w:t>
            </w:r>
          </w:p>
        </w:tc>
        <w:tc>
          <w:tcPr>
            <w:tcW w:w="8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F2E19" w14:textId="77777777" w:rsidR="00FD157D" w:rsidRPr="00FD157D" w:rsidRDefault="00FD157D">
            <w:pPr>
              <w:numPr>
                <w:ilvl w:val="0"/>
                <w:numId w:val="21"/>
              </w:numPr>
              <w:spacing w:after="0" w:line="240" w:lineRule="auto"/>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Aggregated computing</w:t>
            </w:r>
          </w:p>
          <w:p w14:paraId="3EE862C7" w14:textId="77777777" w:rsidR="00FD157D" w:rsidRPr="00FD157D" w:rsidRDefault="00FD157D">
            <w:pPr>
              <w:numPr>
                <w:ilvl w:val="0"/>
                <w:numId w:val="21"/>
              </w:numPr>
              <w:spacing w:after="0" w:line="240" w:lineRule="auto"/>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Raw Prices</w:t>
            </w:r>
          </w:p>
          <w:p w14:paraId="74224322" w14:textId="77777777" w:rsidR="00FD157D" w:rsidRPr="00FD157D" w:rsidRDefault="00FD157D">
            <w:pPr>
              <w:numPr>
                <w:ilvl w:val="0"/>
                <w:numId w:val="21"/>
              </w:numPr>
              <w:spacing w:after="0" w:line="240" w:lineRule="auto"/>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Levels</w:t>
            </w:r>
          </w:p>
          <w:p w14:paraId="61765D32"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r>
      <w:tr w:rsidR="00FD157D" w:rsidRPr="00FD157D" w14:paraId="0BFE3C29" w14:textId="77777777" w:rsidTr="00FD157D">
        <w:trPr>
          <w:trHeight w:val="2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261E5"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326B7B"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5206A2"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5D52A20"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3</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DBDED15"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Data frequency</w:t>
            </w:r>
          </w:p>
        </w:tc>
        <w:tc>
          <w:tcPr>
            <w:tcW w:w="8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D2835" w14:textId="77777777" w:rsidR="00FD157D" w:rsidRPr="00FD157D" w:rsidRDefault="00FD157D">
            <w:pPr>
              <w:numPr>
                <w:ilvl w:val="0"/>
                <w:numId w:val="22"/>
              </w:numPr>
              <w:spacing w:after="0" w:line="240" w:lineRule="auto"/>
              <w:ind w:left="360"/>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Quarterly</w:t>
            </w:r>
          </w:p>
          <w:p w14:paraId="673C2A1B" w14:textId="77777777" w:rsidR="00FD157D" w:rsidRPr="00FD157D" w:rsidRDefault="00FD157D">
            <w:pPr>
              <w:numPr>
                <w:ilvl w:val="0"/>
                <w:numId w:val="22"/>
              </w:numPr>
              <w:spacing w:after="0" w:line="240" w:lineRule="auto"/>
              <w:ind w:left="360"/>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Monthly</w:t>
            </w:r>
          </w:p>
          <w:p w14:paraId="0A283823" w14:textId="77777777" w:rsidR="00FD157D" w:rsidRPr="00FD157D" w:rsidRDefault="00FD157D">
            <w:pPr>
              <w:numPr>
                <w:ilvl w:val="0"/>
                <w:numId w:val="22"/>
              </w:numPr>
              <w:spacing w:after="0" w:line="240" w:lineRule="auto"/>
              <w:ind w:left="360"/>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Annually</w:t>
            </w:r>
          </w:p>
          <w:p w14:paraId="43FE4086"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r>
      <w:tr w:rsidR="00FD157D" w:rsidRPr="00FD157D" w14:paraId="09717D26" w14:textId="77777777" w:rsidTr="00FD157D">
        <w:trPr>
          <w:trHeight w:val="2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569E74"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098C67"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5C111B"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108E96F"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4</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DF0431A"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Data class</w:t>
            </w:r>
          </w:p>
        </w:tc>
        <w:tc>
          <w:tcPr>
            <w:tcW w:w="8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B3F59" w14:textId="77777777" w:rsidR="00FD157D" w:rsidRPr="00FD157D" w:rsidRDefault="00FD157D">
            <w:pPr>
              <w:numPr>
                <w:ilvl w:val="0"/>
                <w:numId w:val="23"/>
              </w:numPr>
              <w:spacing w:after="0" w:line="240" w:lineRule="auto"/>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Equity</w:t>
            </w:r>
          </w:p>
          <w:p w14:paraId="32C9F966" w14:textId="77777777" w:rsidR="00FD157D" w:rsidRPr="00FD157D" w:rsidRDefault="00FD157D">
            <w:pPr>
              <w:numPr>
                <w:ilvl w:val="0"/>
                <w:numId w:val="23"/>
              </w:numPr>
              <w:spacing w:after="0" w:line="240" w:lineRule="auto"/>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Credit</w:t>
            </w:r>
          </w:p>
        </w:tc>
      </w:tr>
      <w:tr w:rsidR="00FD157D" w:rsidRPr="00FD157D" w14:paraId="47C5D792" w14:textId="77777777" w:rsidTr="00FD157D">
        <w:trPr>
          <w:trHeight w:val="2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DACC08"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D235B6"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6342B0"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3021CED"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5</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31C7268"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Data source</w:t>
            </w:r>
          </w:p>
        </w:tc>
        <w:tc>
          <w:tcPr>
            <w:tcW w:w="8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DF678" w14:textId="77777777" w:rsidR="00FD157D" w:rsidRPr="00FD157D" w:rsidRDefault="00FD157D">
            <w:pPr>
              <w:numPr>
                <w:ilvl w:val="0"/>
                <w:numId w:val="24"/>
              </w:numPr>
              <w:spacing w:after="0" w:line="240" w:lineRule="auto"/>
              <w:ind w:left="360"/>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Regulatory authorities</w:t>
            </w:r>
          </w:p>
          <w:p w14:paraId="20C528A5" w14:textId="77777777" w:rsidR="00FD157D" w:rsidRPr="00FD157D" w:rsidRDefault="00FD157D">
            <w:pPr>
              <w:numPr>
                <w:ilvl w:val="0"/>
                <w:numId w:val="24"/>
              </w:numPr>
              <w:spacing w:after="0" w:line="240" w:lineRule="auto"/>
              <w:ind w:left="360"/>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Credit card companies</w:t>
            </w:r>
          </w:p>
          <w:p w14:paraId="46B50D9E" w14:textId="77777777" w:rsidR="00FD157D" w:rsidRPr="00FD157D" w:rsidRDefault="00FD157D">
            <w:pPr>
              <w:numPr>
                <w:ilvl w:val="0"/>
                <w:numId w:val="24"/>
              </w:numPr>
              <w:spacing w:after="0" w:line="240" w:lineRule="auto"/>
              <w:ind w:left="360"/>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Credit burue </w:t>
            </w:r>
          </w:p>
          <w:p w14:paraId="2AD851C6" w14:textId="77777777" w:rsidR="00FD157D" w:rsidRPr="00FD157D" w:rsidRDefault="00FD157D">
            <w:pPr>
              <w:numPr>
                <w:ilvl w:val="0"/>
                <w:numId w:val="24"/>
              </w:numPr>
              <w:spacing w:after="0" w:line="240" w:lineRule="auto"/>
              <w:ind w:left="360"/>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Financial institutions</w:t>
            </w:r>
          </w:p>
        </w:tc>
      </w:tr>
      <w:tr w:rsidR="00FD157D" w:rsidRPr="00FD157D" w14:paraId="10DD2934" w14:textId="77777777" w:rsidTr="00FD157D">
        <w:trPr>
          <w:trHeight w:val="2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EBD030"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9E743C"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DE27D9"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AAB61A9"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6</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BCE6238"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sz w:val="20"/>
                <w:szCs w:val="20"/>
                <w14:ligatures w14:val="none"/>
              </w:rPr>
              <w:t>Data Variety</w:t>
            </w:r>
          </w:p>
        </w:tc>
        <w:tc>
          <w:tcPr>
            <w:tcW w:w="8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ABF4F" w14:textId="77777777" w:rsidR="00FD157D" w:rsidRPr="00FD157D" w:rsidRDefault="00FD157D">
            <w:pPr>
              <w:numPr>
                <w:ilvl w:val="0"/>
                <w:numId w:val="25"/>
              </w:numPr>
              <w:spacing w:after="0" w:line="240" w:lineRule="auto"/>
              <w:ind w:left="360"/>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Account balance</w:t>
            </w:r>
          </w:p>
          <w:p w14:paraId="56A9FFAE" w14:textId="77777777" w:rsidR="00FD157D" w:rsidRPr="00FD157D" w:rsidRDefault="00FD157D">
            <w:pPr>
              <w:numPr>
                <w:ilvl w:val="0"/>
                <w:numId w:val="25"/>
              </w:numPr>
              <w:spacing w:after="0" w:line="240" w:lineRule="auto"/>
              <w:ind w:left="360"/>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Credit limits</w:t>
            </w:r>
          </w:p>
          <w:p w14:paraId="52C2A913" w14:textId="77777777" w:rsidR="00FD157D" w:rsidRPr="00FD157D" w:rsidRDefault="00FD157D">
            <w:pPr>
              <w:numPr>
                <w:ilvl w:val="0"/>
                <w:numId w:val="25"/>
              </w:numPr>
              <w:spacing w:after="0" w:line="240" w:lineRule="auto"/>
              <w:ind w:left="360"/>
              <w:textAlignment w:val="baseline"/>
              <w:rPr>
                <w:rFonts w:ascii="Calibri" w:eastAsia="Times New Roman" w:hAnsi="Calibri" w:cs="Calibri"/>
                <w:color w:val="000000"/>
                <w:kern w:val="0"/>
                <w:sz w:val="20"/>
                <w:szCs w:val="20"/>
                <w14:ligatures w14:val="none"/>
              </w:rPr>
            </w:pPr>
            <w:r w:rsidRPr="00FD157D">
              <w:rPr>
                <w:rFonts w:ascii="Calibri" w:eastAsia="Times New Roman" w:hAnsi="Calibri" w:cs="Calibri"/>
                <w:color w:val="000000"/>
                <w:kern w:val="0"/>
                <w:sz w:val="20"/>
                <w:szCs w:val="20"/>
                <w14:ligatures w14:val="none"/>
              </w:rPr>
              <w:t>Payment history</w:t>
            </w:r>
          </w:p>
        </w:tc>
      </w:tr>
    </w:tbl>
    <w:p w14:paraId="589BCD7E" w14:textId="77777777" w:rsidR="00CC5F74" w:rsidRDefault="00CC5F74" w:rsidP="00CC5F74">
      <w:pPr>
        <w:snapToGrid w:val="0"/>
        <w:spacing w:after="0" w:line="240" w:lineRule="auto"/>
        <w:rPr>
          <w:rFonts w:cstheme="minorHAnsi"/>
          <w:lang w:val="en-US"/>
        </w:rPr>
      </w:pPr>
    </w:p>
    <w:p w14:paraId="5F89FE09" w14:textId="77777777" w:rsidR="00FD157D" w:rsidRDefault="00FD157D" w:rsidP="00CC5F74">
      <w:pPr>
        <w:snapToGrid w:val="0"/>
        <w:spacing w:after="0" w:line="240" w:lineRule="auto"/>
        <w:rPr>
          <w:rFonts w:cstheme="minorHAnsi"/>
          <w:lang w:val="en-US"/>
        </w:rPr>
      </w:pPr>
    </w:p>
    <w:p w14:paraId="71A40D97" w14:textId="77777777" w:rsidR="00FD157D" w:rsidRDefault="00FD157D" w:rsidP="00CC5F74">
      <w:pPr>
        <w:snapToGrid w:val="0"/>
        <w:spacing w:after="0" w:line="240" w:lineRule="auto"/>
        <w:rPr>
          <w:rFonts w:cstheme="minorHAnsi"/>
          <w:lang w:val="en-US"/>
        </w:rPr>
      </w:pPr>
    </w:p>
    <w:p w14:paraId="493FBACA" w14:textId="77777777" w:rsidR="00FD157D" w:rsidRDefault="00FD157D" w:rsidP="00CC5F74">
      <w:pPr>
        <w:snapToGrid w:val="0"/>
        <w:spacing w:after="0" w:line="240" w:lineRule="auto"/>
        <w:rPr>
          <w:rFonts w:cstheme="minorHAnsi"/>
          <w:lang w:val="en-US"/>
        </w:rPr>
      </w:pPr>
    </w:p>
    <w:p w14:paraId="33AC60CA" w14:textId="77777777" w:rsidR="00FD157D" w:rsidRDefault="00FD157D" w:rsidP="00CC5F74">
      <w:pPr>
        <w:snapToGrid w:val="0"/>
        <w:spacing w:after="0" w:line="240" w:lineRule="auto"/>
        <w:rPr>
          <w:rFonts w:cstheme="minorHAnsi"/>
          <w:lang w:val="en-US"/>
        </w:rPr>
      </w:pPr>
    </w:p>
    <w:p w14:paraId="524C8503" w14:textId="77777777" w:rsidR="00FD157D" w:rsidRDefault="00FD157D" w:rsidP="00CC5F74">
      <w:pPr>
        <w:snapToGrid w:val="0"/>
        <w:spacing w:after="0" w:line="240" w:lineRule="auto"/>
        <w:rPr>
          <w:rFonts w:cstheme="minorHAnsi"/>
          <w:lang w:val="en-US"/>
        </w:rPr>
      </w:pPr>
    </w:p>
    <w:p w14:paraId="41027494" w14:textId="77777777" w:rsidR="00FD157D" w:rsidRDefault="00FD157D" w:rsidP="00CC5F74">
      <w:pPr>
        <w:snapToGrid w:val="0"/>
        <w:spacing w:after="0" w:line="240" w:lineRule="auto"/>
        <w:rPr>
          <w:rFonts w:cstheme="minorHAnsi"/>
          <w:lang w:val="en-US"/>
        </w:rPr>
      </w:pPr>
    </w:p>
    <w:p w14:paraId="11D75B35" w14:textId="77777777" w:rsidR="00FD157D" w:rsidRDefault="00FD157D" w:rsidP="00CC5F74">
      <w:pPr>
        <w:snapToGrid w:val="0"/>
        <w:spacing w:after="0" w:line="240" w:lineRule="auto"/>
        <w:rPr>
          <w:rFonts w:cstheme="minorHAnsi"/>
          <w:lang w:val="en-US"/>
        </w:rPr>
      </w:pPr>
    </w:p>
    <w:p w14:paraId="6699665D" w14:textId="77777777" w:rsidR="00FD157D" w:rsidRDefault="00FD157D" w:rsidP="00CC5F74">
      <w:pPr>
        <w:snapToGrid w:val="0"/>
        <w:spacing w:after="0" w:line="240" w:lineRule="auto"/>
        <w:rPr>
          <w:rFonts w:cstheme="minorHAnsi"/>
          <w:lang w:val="en-US"/>
        </w:rPr>
      </w:pPr>
    </w:p>
    <w:p w14:paraId="58F30A16" w14:textId="77777777" w:rsidR="00FD157D" w:rsidRDefault="00FD157D" w:rsidP="00CC5F74">
      <w:pPr>
        <w:snapToGrid w:val="0"/>
        <w:spacing w:after="0" w:line="240" w:lineRule="auto"/>
        <w:rPr>
          <w:rFonts w:cstheme="minorHAnsi"/>
          <w:lang w:val="en-US"/>
        </w:rPr>
      </w:pPr>
    </w:p>
    <w:p w14:paraId="118BFEBE" w14:textId="77777777" w:rsidR="00FD157D" w:rsidRDefault="00FD157D" w:rsidP="00CC5F74">
      <w:pPr>
        <w:snapToGrid w:val="0"/>
        <w:spacing w:after="0" w:line="240" w:lineRule="auto"/>
        <w:rPr>
          <w:rFonts w:cstheme="minorHAnsi"/>
          <w:lang w:val="en-US"/>
        </w:rPr>
      </w:pPr>
    </w:p>
    <w:p w14:paraId="565D5DFB" w14:textId="77777777" w:rsidR="004A6E2E" w:rsidRDefault="004A6E2E" w:rsidP="00CC5F74">
      <w:pPr>
        <w:snapToGrid w:val="0"/>
        <w:spacing w:after="0" w:line="240" w:lineRule="auto"/>
        <w:rPr>
          <w:rFonts w:cstheme="minorHAnsi"/>
          <w:lang w:val="en-US"/>
        </w:rPr>
      </w:pPr>
    </w:p>
    <w:p w14:paraId="3A88D91A" w14:textId="77777777" w:rsidR="00FD157D" w:rsidRDefault="00FD157D" w:rsidP="00CC5F74">
      <w:pPr>
        <w:snapToGrid w:val="0"/>
        <w:spacing w:after="0" w:line="240" w:lineRule="auto"/>
        <w:rPr>
          <w:rFonts w:cstheme="minorHAnsi"/>
          <w:lang w:val="en-US"/>
        </w:rPr>
      </w:pPr>
    </w:p>
    <w:p w14:paraId="5014D2DD" w14:textId="77777777" w:rsidR="00FD157D" w:rsidRDefault="00FD157D" w:rsidP="00CC5F74">
      <w:pPr>
        <w:snapToGrid w:val="0"/>
        <w:spacing w:after="0" w:line="240" w:lineRule="auto"/>
        <w:rPr>
          <w:rFonts w:cstheme="minorHAnsi"/>
          <w:lang w:val="en-US"/>
        </w:rPr>
      </w:pPr>
    </w:p>
    <w:p w14:paraId="3DEE7528" w14:textId="77777777" w:rsidR="00FD157D" w:rsidRDefault="00FD157D" w:rsidP="00CC5F74">
      <w:pPr>
        <w:snapToGrid w:val="0"/>
        <w:spacing w:after="0" w:line="240" w:lineRule="auto"/>
        <w:rPr>
          <w:rFonts w:cstheme="minorHAnsi"/>
          <w:lang w:val="en-US"/>
        </w:rPr>
      </w:pPr>
    </w:p>
    <w:p w14:paraId="6C275102" w14:textId="77777777" w:rsidR="00CC5F74" w:rsidRPr="0025710F" w:rsidRDefault="00000000" w:rsidP="00CC5F74">
      <w:pPr>
        <w:pStyle w:val="ListParagraph"/>
        <w:numPr>
          <w:ilvl w:val="1"/>
          <w:numId w:val="1"/>
        </w:numPr>
        <w:snapToGrid w:val="0"/>
        <w:spacing w:after="0" w:line="240" w:lineRule="auto"/>
        <w:contextualSpacing w:val="0"/>
        <w:rPr>
          <w:rFonts w:cstheme="minorHAnsi"/>
          <w:b/>
          <w:bCs/>
          <w:sz w:val="24"/>
          <w:szCs w:val="24"/>
          <w:lang w:val="en-US"/>
        </w:rPr>
      </w:pPr>
      <w:r w:rsidRPr="0025710F">
        <w:rPr>
          <w:rFonts w:cstheme="minorHAnsi"/>
          <w:b/>
          <w:bCs/>
          <w:sz w:val="24"/>
          <w:szCs w:val="24"/>
          <w:lang w:val="en-US"/>
        </w:rPr>
        <w:t>Student:</w:t>
      </w:r>
      <w:r w:rsidRPr="0025710F">
        <w:rPr>
          <w:rFonts w:cstheme="minorHAnsi"/>
          <w:b/>
          <w:bCs/>
          <w:sz w:val="24"/>
          <w:szCs w:val="24"/>
        </w:rPr>
        <w:t xml:space="preserve"> </w:t>
      </w:r>
      <w:r w:rsidRPr="0025710F">
        <w:rPr>
          <w:rFonts w:cstheme="minorHAnsi"/>
          <w:b/>
          <w:bCs/>
          <w:sz w:val="24"/>
          <w:szCs w:val="24"/>
          <w:lang w:val="en-US"/>
        </w:rPr>
        <w:t xml:space="preserve">Oratile Personal unsecured loan at a floating rate – Car or Home Loan. </w:t>
      </w:r>
    </w:p>
    <w:p w14:paraId="3B5BABB1" w14:textId="77777777" w:rsidR="00CC5F74" w:rsidRDefault="00CC5F74" w:rsidP="00FD157D">
      <w:pPr>
        <w:snapToGrid w:val="0"/>
        <w:spacing w:after="0" w:line="240" w:lineRule="auto"/>
        <w:rPr>
          <w:rFonts w:cstheme="minorHAnsi"/>
          <w:b/>
          <w:bCs/>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071"/>
        <w:gridCol w:w="318"/>
        <w:gridCol w:w="2845"/>
        <w:gridCol w:w="318"/>
        <w:gridCol w:w="1815"/>
        <w:gridCol w:w="6988"/>
      </w:tblGrid>
      <w:tr w:rsidR="00FD157D" w14:paraId="494EE199" w14:textId="77777777" w:rsidTr="00FD157D">
        <w:trPr>
          <w:trHeight w:val="374"/>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3A44290D" w14:textId="77777777" w:rsidR="00FD157D" w:rsidRDefault="00FD157D">
            <w:pPr>
              <w:pStyle w:val="NormalWeb"/>
              <w:spacing w:before="0" w:beforeAutospacing="0" w:after="0" w:afterAutospacing="0"/>
              <w:jc w:val="center"/>
            </w:pPr>
            <w:r>
              <w:rPr>
                <w:rFonts w:ascii="Calibri" w:hAnsi="Calibri" w:cs="Calibri"/>
                <w:b/>
                <w:bCs/>
                <w:color w:val="000000"/>
                <w:sz w:val="20"/>
                <w:szCs w:val="20"/>
              </w:rPr>
              <w:t>Table 3.</w:t>
            </w:r>
          </w:p>
        </w:tc>
        <w:tc>
          <w:tcPr>
            <w:tcW w:w="9121"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3E7A918" w14:textId="77777777" w:rsidR="00FD157D" w:rsidRDefault="00FD157D">
            <w:pPr>
              <w:pStyle w:val="NormalWeb"/>
              <w:spacing w:before="0" w:beforeAutospacing="0" w:after="0" w:afterAutospacing="0"/>
              <w:jc w:val="center"/>
            </w:pPr>
            <w:r>
              <w:rPr>
                <w:rFonts w:ascii="Calibri" w:hAnsi="Calibri" w:cs="Calibri"/>
                <w:b/>
                <w:bCs/>
                <w:color w:val="000000"/>
                <w:sz w:val="20"/>
                <w:szCs w:val="20"/>
              </w:rPr>
              <w:t>Data Characteristics Collection for Equity</w:t>
            </w:r>
          </w:p>
        </w:tc>
      </w:tr>
      <w:tr w:rsidR="00FD157D" w14:paraId="632BB0BE" w14:textId="77777777" w:rsidTr="00FD157D">
        <w:trPr>
          <w:trHeight w:val="27"/>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231894A" w14:textId="77777777" w:rsidR="00FD157D" w:rsidRDefault="00FD157D">
            <w:pPr>
              <w:pStyle w:val="NormalWeb"/>
              <w:spacing w:before="0" w:beforeAutospacing="0" w:after="0" w:afterAutospacing="0"/>
              <w:ind w:left="113" w:right="113"/>
              <w:jc w:val="center"/>
            </w:pPr>
            <w:r>
              <w:rPr>
                <w:rFonts w:ascii="Calibri" w:hAnsi="Calibri" w:cs="Calibri"/>
                <w:b/>
                <w:bCs/>
                <w:color w:val="000000"/>
                <w:sz w:val="20"/>
                <w:szCs w:val="20"/>
              </w:rPr>
              <w:t>HOME OR AUTOMOBILE LOANS</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16CCC7F" w14:textId="77777777" w:rsidR="00FD157D" w:rsidRDefault="00FD157D">
            <w:pPr>
              <w:pStyle w:val="NormalWeb"/>
              <w:spacing w:before="0" w:beforeAutospacing="0" w:after="0" w:afterAutospacing="0"/>
              <w:jc w:val="center"/>
            </w:pPr>
            <w:r>
              <w:rPr>
                <w:rFonts w:ascii="Calibri" w:hAnsi="Calibri" w:cs="Calibri"/>
                <w:b/>
                <w:bCs/>
                <w:color w:val="000000"/>
                <w:sz w:val="20"/>
                <w:szCs w:val="20"/>
              </w:rPr>
              <w:t>2</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5EE24A3" w14:textId="77777777" w:rsidR="00FD157D" w:rsidRDefault="00FD157D">
            <w:pPr>
              <w:pStyle w:val="NormalWeb"/>
              <w:spacing w:before="0" w:beforeAutospacing="0" w:after="0" w:afterAutospacing="0"/>
            </w:pPr>
            <w:r>
              <w:rPr>
                <w:rFonts w:ascii="Calibri" w:hAnsi="Calibri" w:cs="Calibri"/>
                <w:b/>
                <w:bCs/>
                <w:color w:val="000000"/>
                <w:sz w:val="20"/>
                <w:szCs w:val="20"/>
              </w:rPr>
              <w:t>HOME OR AUTOMOBILE LOANS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C006ED6" w14:textId="77777777" w:rsidR="00FD157D" w:rsidRDefault="00FD157D">
            <w:pPr>
              <w:pStyle w:val="NormalWeb"/>
              <w:spacing w:before="0" w:beforeAutospacing="0" w:after="0" w:afterAutospacing="0"/>
            </w:pPr>
            <w:r>
              <w:rPr>
                <w:rFonts w:ascii="Calibri" w:hAnsi="Calibri" w:cs="Calibri"/>
                <w:b/>
                <w:bCs/>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7A8D7B1" w14:textId="77777777" w:rsidR="00FD157D" w:rsidRDefault="00FD157D">
            <w:pPr>
              <w:pStyle w:val="NormalWeb"/>
              <w:spacing w:before="0" w:beforeAutospacing="0" w:after="0" w:afterAutospacing="0"/>
            </w:pPr>
            <w:r>
              <w:rPr>
                <w:rFonts w:ascii="Calibri" w:hAnsi="Calibri" w:cs="Calibri"/>
                <w:b/>
                <w:bCs/>
                <w:color w:val="000000"/>
                <w:sz w:val="20"/>
                <w:szCs w:val="20"/>
              </w:rPr>
              <w:t>Data type</w:t>
            </w:r>
          </w:p>
        </w:tc>
        <w:tc>
          <w:tcPr>
            <w:tcW w:w="6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773DF" w14:textId="77777777" w:rsidR="00FD157D" w:rsidRDefault="00FD157D">
            <w:pPr>
              <w:pStyle w:val="NormalWeb"/>
              <w:numPr>
                <w:ilvl w:val="0"/>
                <w:numId w:val="26"/>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Economic</w:t>
            </w:r>
          </w:p>
          <w:p w14:paraId="22D5124C" w14:textId="77777777" w:rsidR="00FD157D" w:rsidRDefault="00FD157D">
            <w:pPr>
              <w:pStyle w:val="NormalWeb"/>
              <w:numPr>
                <w:ilvl w:val="0"/>
                <w:numId w:val="26"/>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Asset </w:t>
            </w:r>
          </w:p>
        </w:tc>
      </w:tr>
      <w:tr w:rsidR="00FD157D" w14:paraId="6AF512C8" w14:textId="77777777" w:rsidTr="00FD157D">
        <w:trPr>
          <w:trHeight w:val="2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285FA3" w14:textId="77777777" w:rsidR="00FD157D" w:rsidRDefault="00FD157D">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E9B84D" w14:textId="77777777" w:rsidR="00FD157D" w:rsidRDefault="00FD157D">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500B68" w14:textId="77777777" w:rsidR="00FD157D" w:rsidRDefault="00FD157D">
            <w:pPr>
              <w:rPr>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BD27FC7" w14:textId="77777777" w:rsidR="00FD157D" w:rsidRDefault="00FD157D">
            <w:pPr>
              <w:pStyle w:val="NormalWeb"/>
              <w:spacing w:before="0" w:beforeAutospacing="0" w:after="0" w:afterAutospacing="0"/>
            </w:pPr>
            <w:r>
              <w:rPr>
                <w:rFonts w:ascii="Calibri" w:hAnsi="Calibri" w:cs="Calibri"/>
                <w:b/>
                <w:bCs/>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57CDDD1" w14:textId="77777777" w:rsidR="00FD157D" w:rsidRDefault="00FD157D">
            <w:pPr>
              <w:pStyle w:val="NormalWeb"/>
              <w:spacing w:before="0" w:beforeAutospacing="0" w:after="0" w:afterAutospacing="0"/>
            </w:pPr>
            <w:r>
              <w:rPr>
                <w:rFonts w:ascii="Calibri" w:hAnsi="Calibri" w:cs="Calibri"/>
                <w:b/>
                <w:bCs/>
                <w:color w:val="000000"/>
                <w:sz w:val="20"/>
                <w:szCs w:val="20"/>
              </w:rPr>
              <w:t>Data preprocessing</w:t>
            </w:r>
          </w:p>
        </w:tc>
        <w:tc>
          <w:tcPr>
            <w:tcW w:w="6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683AE" w14:textId="77777777" w:rsidR="00FD157D" w:rsidRDefault="00FD157D">
            <w:pPr>
              <w:pStyle w:val="NormalWeb"/>
              <w:numPr>
                <w:ilvl w:val="0"/>
                <w:numId w:val="27"/>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Unprocessed raw data</w:t>
            </w:r>
          </w:p>
          <w:p w14:paraId="4C065B24" w14:textId="77777777" w:rsidR="00FD157D" w:rsidRDefault="00FD157D">
            <w:pPr>
              <w:pStyle w:val="NormalWeb"/>
              <w:numPr>
                <w:ilvl w:val="0"/>
                <w:numId w:val="27"/>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Percent</w:t>
            </w:r>
          </w:p>
          <w:p w14:paraId="2AE33F03" w14:textId="77777777" w:rsidR="00FD157D" w:rsidRDefault="00FD157D">
            <w:pPr>
              <w:pStyle w:val="NormalWeb"/>
              <w:numPr>
                <w:ilvl w:val="0"/>
                <w:numId w:val="27"/>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Levels </w:t>
            </w:r>
          </w:p>
        </w:tc>
      </w:tr>
      <w:tr w:rsidR="00FD157D" w14:paraId="385E6DC4" w14:textId="77777777" w:rsidTr="00FD157D">
        <w:trPr>
          <w:trHeight w:val="2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DE6171" w14:textId="77777777" w:rsidR="00FD157D" w:rsidRDefault="00FD157D">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4CFD59" w14:textId="77777777" w:rsidR="00FD157D" w:rsidRDefault="00FD157D">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A01C3F" w14:textId="77777777" w:rsidR="00FD157D" w:rsidRDefault="00FD157D">
            <w:pPr>
              <w:rPr>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968595B" w14:textId="77777777" w:rsidR="00FD157D" w:rsidRDefault="00FD157D">
            <w:pPr>
              <w:pStyle w:val="NormalWeb"/>
              <w:spacing w:before="0" w:beforeAutospacing="0" w:after="0" w:afterAutospacing="0"/>
            </w:pPr>
            <w:r>
              <w:rPr>
                <w:rFonts w:ascii="Calibri" w:hAnsi="Calibri" w:cs="Calibri"/>
                <w:b/>
                <w:bCs/>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338C1EF" w14:textId="77777777" w:rsidR="00FD157D" w:rsidRDefault="00FD157D">
            <w:pPr>
              <w:pStyle w:val="NormalWeb"/>
              <w:spacing w:before="0" w:beforeAutospacing="0" w:after="0" w:afterAutospacing="0"/>
            </w:pPr>
            <w:r>
              <w:rPr>
                <w:rFonts w:ascii="Calibri" w:hAnsi="Calibri" w:cs="Calibri"/>
                <w:b/>
                <w:bCs/>
                <w:color w:val="000000"/>
                <w:sz w:val="20"/>
                <w:szCs w:val="20"/>
              </w:rPr>
              <w:t>Data frequency</w:t>
            </w:r>
          </w:p>
        </w:tc>
        <w:tc>
          <w:tcPr>
            <w:tcW w:w="6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4F1C5" w14:textId="77777777" w:rsidR="00FD157D" w:rsidRDefault="00FD157D">
            <w:pPr>
              <w:pStyle w:val="NormalWeb"/>
              <w:numPr>
                <w:ilvl w:val="0"/>
                <w:numId w:val="28"/>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Annual</w:t>
            </w:r>
          </w:p>
          <w:p w14:paraId="186C0DD4" w14:textId="77777777" w:rsidR="00FD157D" w:rsidRDefault="00FD157D">
            <w:pPr>
              <w:pStyle w:val="NormalWeb"/>
              <w:numPr>
                <w:ilvl w:val="0"/>
                <w:numId w:val="28"/>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Monthly</w:t>
            </w:r>
          </w:p>
          <w:p w14:paraId="045B29C7" w14:textId="77777777" w:rsidR="00FD157D" w:rsidRDefault="00FD157D">
            <w:pPr>
              <w:pStyle w:val="NormalWeb"/>
              <w:numPr>
                <w:ilvl w:val="0"/>
                <w:numId w:val="28"/>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Quarterly </w:t>
            </w:r>
          </w:p>
        </w:tc>
      </w:tr>
      <w:tr w:rsidR="00FD157D" w14:paraId="6BCD3940" w14:textId="77777777" w:rsidTr="00FD157D">
        <w:trPr>
          <w:trHeight w:val="2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A5D411" w14:textId="77777777" w:rsidR="00FD157D" w:rsidRDefault="00FD157D">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C55E2E" w14:textId="77777777" w:rsidR="00FD157D" w:rsidRDefault="00FD157D">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BAC18E" w14:textId="77777777" w:rsidR="00FD157D" w:rsidRDefault="00FD157D">
            <w:pPr>
              <w:rPr>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EA0634A" w14:textId="77777777" w:rsidR="00FD157D" w:rsidRDefault="00FD157D">
            <w:pPr>
              <w:pStyle w:val="NormalWeb"/>
              <w:spacing w:before="0" w:beforeAutospacing="0" w:after="0" w:afterAutospacing="0"/>
            </w:pPr>
            <w:r>
              <w:rPr>
                <w:rFonts w:ascii="Calibri" w:hAnsi="Calibri" w:cs="Calibri"/>
                <w:b/>
                <w:bCs/>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A0DEDB7" w14:textId="77777777" w:rsidR="00FD157D" w:rsidRDefault="00FD157D">
            <w:pPr>
              <w:pStyle w:val="NormalWeb"/>
              <w:spacing w:before="0" w:beforeAutospacing="0" w:after="0" w:afterAutospacing="0"/>
            </w:pPr>
            <w:r>
              <w:rPr>
                <w:rFonts w:ascii="Calibri" w:hAnsi="Calibri" w:cs="Calibri"/>
                <w:b/>
                <w:bCs/>
                <w:color w:val="000000"/>
                <w:sz w:val="20"/>
                <w:szCs w:val="20"/>
              </w:rPr>
              <w:t>Data class</w:t>
            </w:r>
          </w:p>
        </w:tc>
        <w:tc>
          <w:tcPr>
            <w:tcW w:w="6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56B89" w14:textId="77777777" w:rsidR="00FD157D" w:rsidRDefault="00FD157D">
            <w:pPr>
              <w:pStyle w:val="NormalWeb"/>
              <w:numPr>
                <w:ilvl w:val="0"/>
                <w:numId w:val="29"/>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Macro economics</w:t>
            </w:r>
          </w:p>
          <w:p w14:paraId="34DB2962" w14:textId="77777777" w:rsidR="00FD157D" w:rsidRDefault="00FD157D">
            <w:pPr>
              <w:pStyle w:val="NormalWeb"/>
              <w:numPr>
                <w:ilvl w:val="0"/>
                <w:numId w:val="29"/>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Real estate</w:t>
            </w:r>
          </w:p>
          <w:p w14:paraId="56CF5A6F" w14:textId="77777777" w:rsidR="00FD157D" w:rsidRDefault="00FD157D">
            <w:pPr>
              <w:pStyle w:val="NormalWeb"/>
              <w:numPr>
                <w:ilvl w:val="0"/>
                <w:numId w:val="29"/>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Consumer finance </w:t>
            </w:r>
          </w:p>
        </w:tc>
      </w:tr>
      <w:tr w:rsidR="00FD157D" w14:paraId="7C02E533" w14:textId="77777777" w:rsidTr="00FD157D">
        <w:trPr>
          <w:trHeight w:val="2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1A3FCA" w14:textId="77777777" w:rsidR="00FD157D" w:rsidRDefault="00FD157D">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0E05D1" w14:textId="77777777" w:rsidR="00FD157D" w:rsidRDefault="00FD157D">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02102C" w14:textId="77777777" w:rsidR="00FD157D" w:rsidRDefault="00FD157D">
            <w:pPr>
              <w:rPr>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C333B88" w14:textId="77777777" w:rsidR="00FD157D" w:rsidRDefault="00FD157D">
            <w:pPr>
              <w:pStyle w:val="NormalWeb"/>
              <w:spacing w:before="0" w:beforeAutospacing="0" w:after="0" w:afterAutospacing="0"/>
            </w:pPr>
            <w:r>
              <w:rPr>
                <w:rFonts w:ascii="Calibri" w:hAnsi="Calibri" w:cs="Calibri"/>
                <w:b/>
                <w:bCs/>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47F9830" w14:textId="77777777" w:rsidR="00FD157D" w:rsidRDefault="00FD157D">
            <w:pPr>
              <w:pStyle w:val="NormalWeb"/>
              <w:spacing w:before="0" w:beforeAutospacing="0" w:after="0" w:afterAutospacing="0"/>
            </w:pPr>
            <w:r>
              <w:rPr>
                <w:rFonts w:ascii="Calibri" w:hAnsi="Calibri" w:cs="Calibri"/>
                <w:b/>
                <w:bCs/>
                <w:color w:val="000000"/>
                <w:sz w:val="20"/>
                <w:szCs w:val="20"/>
              </w:rPr>
              <w:t>Data source</w:t>
            </w:r>
          </w:p>
        </w:tc>
        <w:tc>
          <w:tcPr>
            <w:tcW w:w="6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E43B9" w14:textId="77777777" w:rsidR="00FD157D" w:rsidRDefault="00FD157D">
            <w:pPr>
              <w:pStyle w:val="NormalWeb"/>
              <w:numPr>
                <w:ilvl w:val="0"/>
                <w:numId w:val="30"/>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 xml:space="preserve">FRED </w:t>
            </w:r>
            <w:hyperlink r:id="rId8" w:history="1">
              <w:r>
                <w:rPr>
                  <w:rStyle w:val="Hyperlink"/>
                  <w:rFonts w:ascii="Calibri" w:hAnsi="Calibri" w:cs="Calibri"/>
                  <w:sz w:val="20"/>
                  <w:szCs w:val="20"/>
                </w:rPr>
                <w:t>https://stlouisfed.org/series/</w:t>
              </w:r>
            </w:hyperlink>
          </w:p>
          <w:p w14:paraId="4E790BB0" w14:textId="77777777" w:rsidR="00FD157D" w:rsidRDefault="00FD157D">
            <w:pPr>
              <w:pStyle w:val="NormalWeb"/>
              <w:numPr>
                <w:ilvl w:val="0"/>
                <w:numId w:val="30"/>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Mortgage lenders</w:t>
            </w:r>
          </w:p>
          <w:p w14:paraId="14C245F8" w14:textId="77777777" w:rsidR="00FD157D" w:rsidRDefault="00FD157D">
            <w:pPr>
              <w:pStyle w:val="NormalWeb"/>
              <w:numPr>
                <w:ilvl w:val="0"/>
                <w:numId w:val="30"/>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Real estate database</w:t>
            </w:r>
          </w:p>
        </w:tc>
      </w:tr>
      <w:tr w:rsidR="00FD157D" w14:paraId="7B462ABF" w14:textId="77777777" w:rsidTr="00FD157D">
        <w:trPr>
          <w:trHeight w:val="2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1FD8E1" w14:textId="77777777" w:rsidR="00FD157D" w:rsidRDefault="00FD157D">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CFF33F" w14:textId="77777777" w:rsidR="00FD157D" w:rsidRDefault="00FD157D">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B3AAF9" w14:textId="77777777" w:rsidR="00FD157D" w:rsidRDefault="00FD157D">
            <w:pPr>
              <w:rPr>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9B312AA" w14:textId="77777777" w:rsidR="00FD157D" w:rsidRDefault="00FD157D">
            <w:pPr>
              <w:pStyle w:val="NormalWeb"/>
              <w:spacing w:before="0" w:beforeAutospacing="0" w:after="0" w:afterAutospacing="0"/>
            </w:pPr>
            <w:r>
              <w:rPr>
                <w:rFonts w:ascii="Calibri" w:hAnsi="Calibri" w:cs="Calibri"/>
                <w:b/>
                <w:bCs/>
                <w:color w:val="000000"/>
                <w:sz w:val="20"/>
                <w:szCs w:val="20"/>
              </w:rPr>
              <w:t>6</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5DFAF11" w14:textId="77777777" w:rsidR="00FD157D" w:rsidRDefault="00FD157D">
            <w:pPr>
              <w:pStyle w:val="NormalWeb"/>
              <w:spacing w:before="0" w:beforeAutospacing="0" w:after="0" w:afterAutospacing="0"/>
            </w:pPr>
            <w:r>
              <w:rPr>
                <w:rFonts w:ascii="Calibri" w:hAnsi="Calibri" w:cs="Calibri"/>
                <w:b/>
                <w:bCs/>
                <w:color w:val="000000"/>
                <w:sz w:val="20"/>
                <w:szCs w:val="20"/>
              </w:rPr>
              <w:t>Data Variety</w:t>
            </w:r>
          </w:p>
        </w:tc>
        <w:tc>
          <w:tcPr>
            <w:tcW w:w="6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BF890" w14:textId="77777777" w:rsidR="00FD157D" w:rsidRDefault="00FD157D">
            <w:pPr>
              <w:pStyle w:val="NormalWeb"/>
              <w:numPr>
                <w:ilvl w:val="0"/>
                <w:numId w:val="31"/>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Estimated, unadjusted data</w:t>
            </w:r>
          </w:p>
          <w:p w14:paraId="3A8BA0E7" w14:textId="77777777" w:rsidR="00FD157D" w:rsidRDefault="00FD157D">
            <w:pPr>
              <w:pStyle w:val="NormalWeb"/>
              <w:numPr>
                <w:ilvl w:val="0"/>
                <w:numId w:val="31"/>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Housing markets indices</w:t>
            </w:r>
          </w:p>
          <w:p w14:paraId="19A889AC" w14:textId="77777777" w:rsidR="00FD157D" w:rsidRDefault="00FD157D">
            <w:pPr>
              <w:pStyle w:val="NormalWeb"/>
              <w:numPr>
                <w:ilvl w:val="0"/>
                <w:numId w:val="31"/>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Property valuers</w:t>
            </w:r>
          </w:p>
          <w:p w14:paraId="71B65775" w14:textId="77777777" w:rsidR="00FD157D" w:rsidRDefault="00FD157D">
            <w:pPr>
              <w:pStyle w:val="NormalWeb"/>
              <w:numPr>
                <w:ilvl w:val="0"/>
                <w:numId w:val="31"/>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rPr>
              <w:t>Loan to ratios</w:t>
            </w:r>
          </w:p>
        </w:tc>
      </w:tr>
    </w:tbl>
    <w:p w14:paraId="2A317327" w14:textId="77777777" w:rsidR="00FD157D" w:rsidRPr="00FD157D" w:rsidRDefault="00FD157D" w:rsidP="00FD157D">
      <w:pPr>
        <w:snapToGrid w:val="0"/>
        <w:spacing w:after="0" w:line="240" w:lineRule="auto"/>
        <w:rPr>
          <w:rFonts w:cstheme="minorHAnsi"/>
          <w:b/>
          <w:bCs/>
          <w:lang w:val="en-US"/>
        </w:rPr>
      </w:pPr>
    </w:p>
    <w:p w14:paraId="46D689C8" w14:textId="77777777" w:rsidR="00CC5F74" w:rsidRDefault="00CC5F74" w:rsidP="00CC5F74">
      <w:pPr>
        <w:snapToGrid w:val="0"/>
        <w:spacing w:after="0" w:line="240" w:lineRule="auto"/>
        <w:rPr>
          <w:rFonts w:cstheme="minorHAnsi"/>
          <w:lang w:val="en-US"/>
        </w:rPr>
      </w:pPr>
    </w:p>
    <w:p w14:paraId="735E6B79" w14:textId="77777777" w:rsidR="00FD157D" w:rsidRDefault="00FD157D" w:rsidP="00CC5F74">
      <w:pPr>
        <w:snapToGrid w:val="0"/>
        <w:spacing w:after="0" w:line="240" w:lineRule="auto"/>
        <w:rPr>
          <w:rFonts w:cstheme="minorHAnsi"/>
          <w:lang w:val="en-US"/>
        </w:rPr>
      </w:pPr>
    </w:p>
    <w:p w14:paraId="11FB8529" w14:textId="77777777" w:rsidR="00F15E43" w:rsidRDefault="00F15E43" w:rsidP="00CC5F74">
      <w:pPr>
        <w:snapToGrid w:val="0"/>
        <w:spacing w:after="0" w:line="240" w:lineRule="auto"/>
        <w:rPr>
          <w:rFonts w:cstheme="minorHAnsi"/>
          <w:lang w:val="en-US"/>
        </w:rPr>
      </w:pPr>
    </w:p>
    <w:p w14:paraId="4B368A93" w14:textId="77777777" w:rsidR="00F15E43" w:rsidRDefault="00F15E43" w:rsidP="00CC5F74">
      <w:pPr>
        <w:snapToGrid w:val="0"/>
        <w:spacing w:after="0" w:line="240" w:lineRule="auto"/>
        <w:rPr>
          <w:rFonts w:cstheme="minorHAnsi"/>
          <w:lang w:val="en-US"/>
        </w:rPr>
      </w:pPr>
    </w:p>
    <w:p w14:paraId="6D57A21F" w14:textId="77777777" w:rsidR="00F15E43" w:rsidRDefault="00F15E43" w:rsidP="00CC5F74">
      <w:pPr>
        <w:snapToGrid w:val="0"/>
        <w:spacing w:after="0" w:line="240" w:lineRule="auto"/>
        <w:rPr>
          <w:rFonts w:cstheme="minorHAnsi"/>
          <w:lang w:val="en-US"/>
        </w:rPr>
      </w:pPr>
    </w:p>
    <w:p w14:paraId="785416A6" w14:textId="77777777" w:rsidR="00F15E43" w:rsidRDefault="00F15E43" w:rsidP="00CC5F74">
      <w:pPr>
        <w:snapToGrid w:val="0"/>
        <w:spacing w:after="0" w:line="240" w:lineRule="auto"/>
        <w:rPr>
          <w:rFonts w:cstheme="minorHAnsi"/>
          <w:lang w:val="en-US"/>
        </w:rPr>
      </w:pPr>
    </w:p>
    <w:p w14:paraId="0DA866F3" w14:textId="77777777" w:rsidR="00F15E43" w:rsidRDefault="00F15E43" w:rsidP="00CC5F74">
      <w:pPr>
        <w:snapToGrid w:val="0"/>
        <w:spacing w:after="0" w:line="240" w:lineRule="auto"/>
        <w:rPr>
          <w:rFonts w:cstheme="minorHAnsi"/>
          <w:lang w:val="en-US"/>
        </w:rPr>
      </w:pPr>
    </w:p>
    <w:p w14:paraId="6AC194B5" w14:textId="77777777" w:rsidR="00F15E43" w:rsidRDefault="00F15E43" w:rsidP="00CC5F74">
      <w:pPr>
        <w:snapToGrid w:val="0"/>
        <w:spacing w:after="0" w:line="240" w:lineRule="auto"/>
        <w:rPr>
          <w:rFonts w:cstheme="minorHAnsi"/>
          <w:lang w:val="en-US"/>
        </w:rPr>
      </w:pPr>
    </w:p>
    <w:p w14:paraId="14D3E8DC" w14:textId="77777777" w:rsidR="00F15E43" w:rsidRDefault="00F15E43" w:rsidP="00CC5F74">
      <w:pPr>
        <w:snapToGrid w:val="0"/>
        <w:spacing w:after="0" w:line="240" w:lineRule="auto"/>
        <w:rPr>
          <w:rFonts w:cstheme="minorHAnsi"/>
          <w:lang w:val="en-US"/>
        </w:rPr>
      </w:pPr>
    </w:p>
    <w:p w14:paraId="02948B3A" w14:textId="77777777" w:rsidR="004453FB" w:rsidRDefault="004453FB" w:rsidP="00CC5F74">
      <w:pPr>
        <w:snapToGrid w:val="0"/>
        <w:spacing w:after="0" w:line="240" w:lineRule="auto"/>
        <w:rPr>
          <w:rFonts w:cstheme="minorHAnsi"/>
          <w:lang w:val="en-US"/>
        </w:rPr>
      </w:pPr>
    </w:p>
    <w:p w14:paraId="2A47D8FE" w14:textId="77777777" w:rsidR="00F15E43" w:rsidRDefault="00F15E43" w:rsidP="00CC5F74">
      <w:pPr>
        <w:snapToGrid w:val="0"/>
        <w:spacing w:after="0" w:line="240" w:lineRule="auto"/>
        <w:rPr>
          <w:rFonts w:cstheme="minorHAnsi"/>
          <w:lang w:val="en-US"/>
        </w:rPr>
      </w:pPr>
    </w:p>
    <w:p w14:paraId="7FCF9E62" w14:textId="77777777" w:rsidR="006C164C" w:rsidRDefault="006C164C" w:rsidP="00CC5F74">
      <w:pPr>
        <w:snapToGrid w:val="0"/>
        <w:spacing w:after="0" w:line="240" w:lineRule="auto"/>
        <w:rPr>
          <w:rFonts w:cstheme="minorHAnsi"/>
          <w:lang w:val="en-US"/>
        </w:rPr>
      </w:pPr>
    </w:p>
    <w:p w14:paraId="15C03BDC" w14:textId="77777777" w:rsidR="006C164C" w:rsidRDefault="006C164C" w:rsidP="00CC5F74">
      <w:pPr>
        <w:snapToGrid w:val="0"/>
        <w:spacing w:after="0" w:line="240" w:lineRule="auto"/>
        <w:rPr>
          <w:rFonts w:cstheme="minorHAnsi"/>
          <w:lang w:val="en-US"/>
        </w:rPr>
      </w:pPr>
    </w:p>
    <w:p w14:paraId="1D98CE4A" w14:textId="77777777" w:rsidR="006C164C" w:rsidRPr="0025710F" w:rsidRDefault="006C164C" w:rsidP="006C164C">
      <w:pPr>
        <w:snapToGrid w:val="0"/>
        <w:spacing w:after="0" w:line="240" w:lineRule="auto"/>
        <w:rPr>
          <w:rFonts w:cstheme="minorHAnsi"/>
          <w:sz w:val="24"/>
          <w:szCs w:val="24"/>
          <w:lang w:val="en-US"/>
        </w:rPr>
      </w:pPr>
    </w:p>
    <w:p w14:paraId="0A2EAA2E" w14:textId="77777777" w:rsidR="006C164C" w:rsidRPr="0025710F" w:rsidRDefault="006C164C" w:rsidP="006C164C">
      <w:pPr>
        <w:pStyle w:val="ListParagraph"/>
        <w:numPr>
          <w:ilvl w:val="1"/>
          <w:numId w:val="1"/>
        </w:numPr>
        <w:snapToGrid w:val="0"/>
        <w:spacing w:after="0" w:line="240" w:lineRule="auto"/>
        <w:contextualSpacing w:val="0"/>
        <w:rPr>
          <w:rFonts w:cstheme="minorHAnsi"/>
          <w:b/>
          <w:bCs/>
          <w:sz w:val="24"/>
          <w:szCs w:val="24"/>
          <w:lang w:val="en-US"/>
        </w:rPr>
      </w:pPr>
      <w:r w:rsidRPr="0025710F">
        <w:rPr>
          <w:rFonts w:cstheme="minorHAnsi"/>
          <w:b/>
          <w:bCs/>
          <w:sz w:val="24"/>
          <w:szCs w:val="24"/>
          <w:lang w:val="en-US"/>
        </w:rPr>
        <w:t>Student:</w:t>
      </w:r>
      <w:r w:rsidRPr="0025710F">
        <w:rPr>
          <w:rFonts w:cstheme="minorHAnsi"/>
          <w:b/>
          <w:bCs/>
          <w:sz w:val="24"/>
          <w:szCs w:val="24"/>
        </w:rPr>
        <w:t xml:space="preserve"> </w:t>
      </w:r>
      <w:r w:rsidRPr="0025710F">
        <w:rPr>
          <w:rFonts w:cstheme="minorHAnsi"/>
          <w:b/>
          <w:bCs/>
          <w:sz w:val="24"/>
          <w:szCs w:val="24"/>
          <w:lang w:val="en-US"/>
        </w:rPr>
        <w:t xml:space="preserve">Ebenezer - Construction Business loan at a fixed rate </w:t>
      </w:r>
    </w:p>
    <w:p w14:paraId="3B434A27" w14:textId="77777777" w:rsidR="006C164C" w:rsidRPr="00616AA8" w:rsidRDefault="006C164C" w:rsidP="006C164C">
      <w:pPr>
        <w:pStyle w:val="ListParagraph"/>
        <w:snapToGrid w:val="0"/>
        <w:spacing w:after="0" w:line="240" w:lineRule="auto"/>
        <w:ind w:left="936"/>
        <w:contextualSpacing w:val="0"/>
        <w:rPr>
          <w:rFonts w:cstheme="minorHAnsi"/>
          <w:b/>
          <w:bCs/>
          <w:lang w:val="en-US"/>
        </w:rPr>
      </w:pPr>
    </w:p>
    <w:tbl>
      <w:tblPr>
        <w:tblStyle w:val="TableGrid"/>
        <w:tblW w:w="0" w:type="auto"/>
        <w:tblLook w:val="04A0" w:firstRow="1" w:lastRow="0" w:firstColumn="1" w:lastColumn="0" w:noHBand="0" w:noVBand="1"/>
      </w:tblPr>
      <w:tblGrid>
        <w:gridCol w:w="473"/>
        <w:gridCol w:w="318"/>
        <w:gridCol w:w="1798"/>
        <w:gridCol w:w="318"/>
        <w:gridCol w:w="1434"/>
        <w:gridCol w:w="11047"/>
      </w:tblGrid>
      <w:tr w:rsidR="006C164C" w14:paraId="70B87325" w14:textId="77777777" w:rsidTr="00AA0FA4">
        <w:trPr>
          <w:trHeight w:val="374"/>
        </w:trPr>
        <w:tc>
          <w:tcPr>
            <w:tcW w:w="0" w:type="auto"/>
            <w:gridSpan w:val="3"/>
            <w:shd w:val="clear" w:color="auto" w:fill="F2F2F2" w:themeFill="background1" w:themeFillShade="F2"/>
            <w:vAlign w:val="center"/>
          </w:tcPr>
          <w:p w14:paraId="1F8090CA" w14:textId="77777777" w:rsidR="006C164C" w:rsidRPr="00071CD0" w:rsidRDefault="006C164C" w:rsidP="00AA0FA4">
            <w:pPr>
              <w:snapToGrid w:val="0"/>
              <w:jc w:val="center"/>
              <w:rPr>
                <w:rFonts w:cstheme="minorHAnsi"/>
                <w:b/>
                <w:bCs/>
                <w:sz w:val="20"/>
                <w:szCs w:val="20"/>
                <w:lang w:val="en-US"/>
              </w:rPr>
            </w:pPr>
            <w:r w:rsidRPr="00071CD0">
              <w:rPr>
                <w:rFonts w:cstheme="minorHAnsi"/>
                <w:b/>
                <w:bCs/>
                <w:sz w:val="20"/>
                <w:szCs w:val="20"/>
                <w:lang w:val="en-US"/>
              </w:rPr>
              <w:t>Table 3.</w:t>
            </w:r>
          </w:p>
        </w:tc>
        <w:tc>
          <w:tcPr>
            <w:tcW w:w="13171" w:type="dxa"/>
            <w:gridSpan w:val="3"/>
            <w:shd w:val="clear" w:color="auto" w:fill="F2F2F2" w:themeFill="background1" w:themeFillShade="F2"/>
            <w:vAlign w:val="center"/>
          </w:tcPr>
          <w:p w14:paraId="223F47F6" w14:textId="77777777" w:rsidR="006C164C" w:rsidRPr="00071CD0" w:rsidRDefault="006C164C" w:rsidP="00AA0FA4">
            <w:pPr>
              <w:pStyle w:val="ListParagraph"/>
              <w:snapToGrid w:val="0"/>
              <w:ind w:left="0"/>
              <w:contextualSpacing w:val="0"/>
              <w:jc w:val="center"/>
              <w:rPr>
                <w:rFonts w:cstheme="minorHAnsi"/>
                <w:b/>
                <w:bCs/>
                <w:sz w:val="20"/>
                <w:szCs w:val="20"/>
                <w:lang w:val="en-US"/>
              </w:rPr>
            </w:pPr>
            <w:r w:rsidRPr="00071CD0">
              <w:rPr>
                <w:rFonts w:cstheme="minorHAnsi"/>
                <w:b/>
                <w:bCs/>
                <w:sz w:val="20"/>
                <w:szCs w:val="20"/>
                <w:lang w:val="en-US"/>
              </w:rPr>
              <w:t>Data C</w:t>
            </w:r>
            <w:r>
              <w:rPr>
                <w:rFonts w:cstheme="minorHAnsi"/>
                <w:b/>
                <w:bCs/>
                <w:sz w:val="20"/>
                <w:szCs w:val="20"/>
                <w:lang w:val="en-US"/>
              </w:rPr>
              <w:t xml:space="preserve">haracteristics </w:t>
            </w:r>
            <w:r w:rsidRPr="00B32380">
              <w:rPr>
                <w:rFonts w:cstheme="minorHAnsi"/>
                <w:b/>
                <w:bCs/>
                <w:sz w:val="20"/>
                <w:szCs w:val="20"/>
                <w:lang w:val="en-US"/>
              </w:rPr>
              <w:t>Construction Business loan</w:t>
            </w:r>
          </w:p>
        </w:tc>
      </w:tr>
      <w:tr w:rsidR="006C164C" w14:paraId="007C6B5C" w14:textId="77777777" w:rsidTr="00AA0FA4">
        <w:trPr>
          <w:trHeight w:val="27"/>
        </w:trPr>
        <w:tc>
          <w:tcPr>
            <w:tcW w:w="0" w:type="auto"/>
            <w:vMerge w:val="restart"/>
            <w:shd w:val="clear" w:color="auto" w:fill="F2F2F2" w:themeFill="background1" w:themeFillShade="F2"/>
            <w:textDirection w:val="btLr"/>
            <w:vAlign w:val="center"/>
          </w:tcPr>
          <w:p w14:paraId="6F2636EB" w14:textId="77777777" w:rsidR="006C164C" w:rsidRPr="00071CD0" w:rsidRDefault="006C164C" w:rsidP="00AA0FA4">
            <w:pPr>
              <w:pStyle w:val="ListParagraph"/>
              <w:snapToGrid w:val="0"/>
              <w:ind w:left="113" w:right="113"/>
              <w:contextualSpacing w:val="0"/>
              <w:jc w:val="center"/>
              <w:rPr>
                <w:rFonts w:cstheme="minorHAnsi"/>
                <w:b/>
                <w:bCs/>
                <w:sz w:val="20"/>
                <w:szCs w:val="20"/>
                <w:lang w:val="en-US"/>
              </w:rPr>
            </w:pPr>
            <w:r w:rsidRPr="00071CD0">
              <w:rPr>
                <w:rFonts w:cstheme="minorHAnsi"/>
                <w:b/>
                <w:bCs/>
                <w:sz w:val="20"/>
                <w:szCs w:val="20"/>
                <w:lang w:val="en-US"/>
              </w:rPr>
              <w:t>Scenario</w:t>
            </w:r>
          </w:p>
        </w:tc>
        <w:tc>
          <w:tcPr>
            <w:tcW w:w="0" w:type="auto"/>
            <w:vMerge w:val="restart"/>
            <w:shd w:val="clear" w:color="auto" w:fill="F2F2F2" w:themeFill="background1" w:themeFillShade="F2"/>
            <w:vAlign w:val="center"/>
          </w:tcPr>
          <w:p w14:paraId="2815C58A" w14:textId="77777777" w:rsidR="006C164C" w:rsidRPr="00071CD0" w:rsidRDefault="006C164C" w:rsidP="00AA0FA4">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2</w:t>
            </w:r>
          </w:p>
        </w:tc>
        <w:tc>
          <w:tcPr>
            <w:tcW w:w="0" w:type="auto"/>
            <w:vMerge w:val="restart"/>
            <w:shd w:val="clear" w:color="auto" w:fill="F2F2F2" w:themeFill="background1" w:themeFillShade="F2"/>
            <w:vAlign w:val="center"/>
          </w:tcPr>
          <w:p w14:paraId="664815D3" w14:textId="77777777" w:rsidR="006C164C" w:rsidRPr="00071CD0" w:rsidRDefault="006C164C" w:rsidP="00AA0FA4">
            <w:pPr>
              <w:pStyle w:val="ListParagraph"/>
              <w:snapToGrid w:val="0"/>
              <w:ind w:left="0"/>
              <w:contextualSpacing w:val="0"/>
              <w:rPr>
                <w:rFonts w:cstheme="minorHAnsi"/>
                <w:b/>
                <w:bCs/>
                <w:sz w:val="20"/>
                <w:szCs w:val="20"/>
                <w:lang w:val="en-US"/>
              </w:rPr>
            </w:pPr>
            <w:r w:rsidRPr="00D80918">
              <w:rPr>
                <w:rFonts w:cstheme="minorHAnsi"/>
                <w:b/>
                <w:bCs/>
                <w:sz w:val="20"/>
                <w:szCs w:val="20"/>
                <w:lang w:val="en-US"/>
              </w:rPr>
              <w:t>Money at a fixed rate for a business for a construction loan</w:t>
            </w:r>
          </w:p>
        </w:tc>
        <w:tc>
          <w:tcPr>
            <w:tcW w:w="0" w:type="auto"/>
            <w:shd w:val="clear" w:color="auto" w:fill="F2F2F2" w:themeFill="background1" w:themeFillShade="F2"/>
          </w:tcPr>
          <w:p w14:paraId="767A1F8F"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1</w:t>
            </w:r>
          </w:p>
        </w:tc>
        <w:tc>
          <w:tcPr>
            <w:tcW w:w="0" w:type="auto"/>
            <w:shd w:val="clear" w:color="auto" w:fill="F2F2F2" w:themeFill="background1" w:themeFillShade="F2"/>
          </w:tcPr>
          <w:p w14:paraId="46199DF8"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type</w:t>
            </w:r>
          </w:p>
        </w:tc>
        <w:tc>
          <w:tcPr>
            <w:tcW w:w="11047" w:type="dxa"/>
            <w:shd w:val="clear" w:color="auto" w:fill="auto"/>
          </w:tcPr>
          <w:p w14:paraId="5FCE1805" w14:textId="77777777" w:rsidR="006C164C" w:rsidRPr="00F15E43" w:rsidRDefault="006C164C" w:rsidP="00AA0FA4">
            <w:pPr>
              <w:pStyle w:val="ListParagraph"/>
              <w:numPr>
                <w:ilvl w:val="0"/>
                <w:numId w:val="6"/>
              </w:numPr>
              <w:snapToGrid w:val="0"/>
              <w:contextualSpacing w:val="0"/>
              <w:rPr>
                <w:rFonts w:cstheme="minorHAnsi"/>
                <w:sz w:val="20"/>
                <w:szCs w:val="20"/>
                <w:lang w:val="en-US"/>
              </w:rPr>
            </w:pPr>
            <w:r>
              <w:rPr>
                <w:rStyle w:val="fontstyle01"/>
              </w:rPr>
              <w:t>Credit</w:t>
            </w:r>
          </w:p>
        </w:tc>
      </w:tr>
      <w:tr w:rsidR="006C164C" w14:paraId="05772046" w14:textId="77777777" w:rsidTr="00AA0FA4">
        <w:trPr>
          <w:trHeight w:val="23"/>
        </w:trPr>
        <w:tc>
          <w:tcPr>
            <w:tcW w:w="0" w:type="auto"/>
            <w:vMerge/>
            <w:shd w:val="clear" w:color="auto" w:fill="F2F2F2" w:themeFill="background1" w:themeFillShade="F2"/>
            <w:vAlign w:val="center"/>
          </w:tcPr>
          <w:p w14:paraId="402F5F58"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74699247"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111D94E6" w14:textId="77777777" w:rsidR="006C164C" w:rsidRPr="00071CD0" w:rsidRDefault="006C164C" w:rsidP="00AA0FA4">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36E5ECA2"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2</w:t>
            </w:r>
          </w:p>
        </w:tc>
        <w:tc>
          <w:tcPr>
            <w:tcW w:w="0" w:type="auto"/>
            <w:shd w:val="clear" w:color="auto" w:fill="F2F2F2" w:themeFill="background1" w:themeFillShade="F2"/>
          </w:tcPr>
          <w:p w14:paraId="2DB3DBB8" w14:textId="77777777" w:rsidR="006C164C" w:rsidRPr="00071CD0" w:rsidRDefault="006C164C" w:rsidP="00AA0FA4">
            <w:pPr>
              <w:snapToGrid w:val="0"/>
              <w:rPr>
                <w:rFonts w:cstheme="minorHAnsi"/>
                <w:b/>
                <w:bCs/>
                <w:sz w:val="20"/>
                <w:szCs w:val="20"/>
                <w:lang w:val="en-US"/>
              </w:rPr>
            </w:pPr>
            <w:r w:rsidRPr="00071CD0">
              <w:rPr>
                <w:rFonts w:cstheme="minorHAnsi"/>
                <w:b/>
                <w:bCs/>
                <w:sz w:val="20"/>
                <w:szCs w:val="20"/>
                <w:lang w:val="en-US"/>
              </w:rPr>
              <w:t>Data preprocessing</w:t>
            </w:r>
          </w:p>
        </w:tc>
        <w:tc>
          <w:tcPr>
            <w:tcW w:w="11047" w:type="dxa"/>
            <w:shd w:val="clear" w:color="auto" w:fill="auto"/>
          </w:tcPr>
          <w:p w14:paraId="6800E5A7" w14:textId="77777777" w:rsidR="006C164C" w:rsidRPr="00D80918" w:rsidRDefault="006C164C" w:rsidP="00AA0FA4">
            <w:pPr>
              <w:pStyle w:val="ListParagraph"/>
              <w:numPr>
                <w:ilvl w:val="0"/>
                <w:numId w:val="7"/>
              </w:numPr>
              <w:snapToGrid w:val="0"/>
              <w:contextualSpacing w:val="0"/>
              <w:rPr>
                <w:rFonts w:cstheme="minorHAnsi"/>
                <w:sz w:val="20"/>
                <w:szCs w:val="20"/>
                <w:lang w:val="en-US"/>
              </w:rPr>
            </w:pPr>
            <w:r>
              <w:rPr>
                <w:rStyle w:val="fontstyle01"/>
              </w:rPr>
              <w:t>Categories: credit rating</w:t>
            </w:r>
          </w:p>
        </w:tc>
      </w:tr>
      <w:tr w:rsidR="006C164C" w14:paraId="6F050497" w14:textId="77777777" w:rsidTr="00AA0FA4">
        <w:trPr>
          <w:trHeight w:val="23"/>
        </w:trPr>
        <w:tc>
          <w:tcPr>
            <w:tcW w:w="0" w:type="auto"/>
            <w:vMerge/>
            <w:shd w:val="clear" w:color="auto" w:fill="F2F2F2" w:themeFill="background1" w:themeFillShade="F2"/>
            <w:vAlign w:val="center"/>
          </w:tcPr>
          <w:p w14:paraId="461DC06C"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7E6BC267"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070DDB17" w14:textId="77777777" w:rsidR="006C164C" w:rsidRPr="00071CD0" w:rsidRDefault="006C164C" w:rsidP="00AA0FA4">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399AA399"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3</w:t>
            </w:r>
          </w:p>
        </w:tc>
        <w:tc>
          <w:tcPr>
            <w:tcW w:w="0" w:type="auto"/>
            <w:shd w:val="clear" w:color="auto" w:fill="F2F2F2" w:themeFill="background1" w:themeFillShade="F2"/>
          </w:tcPr>
          <w:p w14:paraId="7C82FECB"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frequency</w:t>
            </w:r>
          </w:p>
        </w:tc>
        <w:tc>
          <w:tcPr>
            <w:tcW w:w="11047" w:type="dxa"/>
            <w:shd w:val="clear" w:color="auto" w:fill="auto"/>
          </w:tcPr>
          <w:p w14:paraId="4875A642" w14:textId="77777777" w:rsidR="006C164C" w:rsidRDefault="006C164C" w:rsidP="00AA0FA4">
            <w:pPr>
              <w:pStyle w:val="ListParagraph"/>
              <w:numPr>
                <w:ilvl w:val="0"/>
                <w:numId w:val="8"/>
              </w:numPr>
              <w:snapToGrid w:val="0"/>
              <w:contextualSpacing w:val="0"/>
              <w:rPr>
                <w:rFonts w:cstheme="minorHAnsi"/>
                <w:sz w:val="20"/>
                <w:szCs w:val="20"/>
                <w:lang w:val="en-US"/>
              </w:rPr>
            </w:pPr>
            <w:r>
              <w:rPr>
                <w:rFonts w:cstheme="minorHAnsi"/>
                <w:sz w:val="20"/>
                <w:szCs w:val="20"/>
                <w:lang w:val="en-US"/>
              </w:rPr>
              <w:t>Quarterly</w:t>
            </w:r>
          </w:p>
          <w:p w14:paraId="64781D32" w14:textId="77777777" w:rsidR="006C164C" w:rsidRPr="00F15E43" w:rsidRDefault="006C164C" w:rsidP="00AA0FA4">
            <w:pPr>
              <w:pStyle w:val="ListParagraph"/>
              <w:numPr>
                <w:ilvl w:val="0"/>
                <w:numId w:val="8"/>
              </w:numPr>
              <w:snapToGrid w:val="0"/>
              <w:contextualSpacing w:val="0"/>
              <w:rPr>
                <w:rFonts w:cstheme="minorHAnsi"/>
                <w:sz w:val="20"/>
                <w:szCs w:val="20"/>
                <w:lang w:val="en-US"/>
              </w:rPr>
            </w:pPr>
            <w:r>
              <w:rPr>
                <w:rFonts w:cstheme="minorHAnsi"/>
                <w:sz w:val="20"/>
                <w:szCs w:val="20"/>
                <w:lang w:val="en-US"/>
              </w:rPr>
              <w:t>Semi-Annually</w:t>
            </w:r>
          </w:p>
        </w:tc>
      </w:tr>
      <w:tr w:rsidR="006C164C" w14:paraId="690D9060" w14:textId="77777777" w:rsidTr="00AA0FA4">
        <w:trPr>
          <w:trHeight w:val="23"/>
        </w:trPr>
        <w:tc>
          <w:tcPr>
            <w:tcW w:w="0" w:type="auto"/>
            <w:vMerge/>
            <w:shd w:val="clear" w:color="auto" w:fill="F2F2F2" w:themeFill="background1" w:themeFillShade="F2"/>
            <w:vAlign w:val="center"/>
          </w:tcPr>
          <w:p w14:paraId="2E8E179B"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1C2C6DCD"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6F7D18CD" w14:textId="77777777" w:rsidR="006C164C" w:rsidRPr="00071CD0" w:rsidRDefault="006C164C" w:rsidP="00AA0FA4">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2D2D6DAE"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4</w:t>
            </w:r>
          </w:p>
        </w:tc>
        <w:tc>
          <w:tcPr>
            <w:tcW w:w="0" w:type="auto"/>
            <w:shd w:val="clear" w:color="auto" w:fill="F2F2F2" w:themeFill="background1" w:themeFillShade="F2"/>
          </w:tcPr>
          <w:p w14:paraId="42D573C5"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class</w:t>
            </w:r>
          </w:p>
        </w:tc>
        <w:tc>
          <w:tcPr>
            <w:tcW w:w="11047" w:type="dxa"/>
            <w:shd w:val="clear" w:color="auto" w:fill="auto"/>
          </w:tcPr>
          <w:p w14:paraId="11C711F4" w14:textId="77777777" w:rsidR="006C164C" w:rsidRPr="00F15E43" w:rsidRDefault="006C164C" w:rsidP="00AA0FA4">
            <w:pPr>
              <w:pStyle w:val="ListParagraph"/>
              <w:numPr>
                <w:ilvl w:val="0"/>
                <w:numId w:val="35"/>
              </w:numPr>
              <w:snapToGrid w:val="0"/>
              <w:rPr>
                <w:rFonts w:cstheme="minorHAnsi"/>
                <w:sz w:val="20"/>
                <w:szCs w:val="20"/>
                <w:lang w:val="en-US"/>
              </w:rPr>
            </w:pPr>
            <w:r w:rsidRPr="00F15E43">
              <w:rPr>
                <w:rFonts w:cstheme="minorHAnsi"/>
                <w:sz w:val="20"/>
                <w:szCs w:val="20"/>
                <w:lang w:val="en-US"/>
              </w:rPr>
              <w:t>Renovation</w:t>
            </w:r>
          </w:p>
          <w:p w14:paraId="1D0878C3" w14:textId="77777777" w:rsidR="006C164C" w:rsidRPr="00F15E43" w:rsidRDefault="006C164C" w:rsidP="00AA0FA4">
            <w:pPr>
              <w:pStyle w:val="ListParagraph"/>
              <w:numPr>
                <w:ilvl w:val="0"/>
                <w:numId w:val="35"/>
              </w:numPr>
              <w:snapToGrid w:val="0"/>
              <w:rPr>
                <w:rFonts w:cstheme="minorHAnsi"/>
                <w:sz w:val="20"/>
                <w:szCs w:val="20"/>
                <w:lang w:val="en-US"/>
              </w:rPr>
            </w:pPr>
            <w:r w:rsidRPr="00F15E43">
              <w:rPr>
                <w:rFonts w:cstheme="minorHAnsi"/>
                <w:sz w:val="20"/>
                <w:szCs w:val="20"/>
                <w:lang w:val="en-US"/>
              </w:rPr>
              <w:t>Construction</w:t>
            </w:r>
          </w:p>
        </w:tc>
      </w:tr>
      <w:tr w:rsidR="006C164C" w14:paraId="0F65B030" w14:textId="77777777" w:rsidTr="00AA0FA4">
        <w:trPr>
          <w:trHeight w:val="23"/>
        </w:trPr>
        <w:tc>
          <w:tcPr>
            <w:tcW w:w="0" w:type="auto"/>
            <w:vMerge/>
            <w:shd w:val="clear" w:color="auto" w:fill="F2F2F2" w:themeFill="background1" w:themeFillShade="F2"/>
            <w:vAlign w:val="center"/>
          </w:tcPr>
          <w:p w14:paraId="4868B447"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73D8D5DE"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609189D3" w14:textId="77777777" w:rsidR="006C164C" w:rsidRPr="00071CD0" w:rsidRDefault="006C164C" w:rsidP="00AA0FA4">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4A615E4F"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5</w:t>
            </w:r>
          </w:p>
        </w:tc>
        <w:tc>
          <w:tcPr>
            <w:tcW w:w="0" w:type="auto"/>
            <w:shd w:val="clear" w:color="auto" w:fill="F2F2F2" w:themeFill="background1" w:themeFillShade="F2"/>
          </w:tcPr>
          <w:p w14:paraId="146BE3CE"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source</w:t>
            </w:r>
          </w:p>
        </w:tc>
        <w:tc>
          <w:tcPr>
            <w:tcW w:w="11047" w:type="dxa"/>
            <w:shd w:val="clear" w:color="auto" w:fill="auto"/>
          </w:tcPr>
          <w:p w14:paraId="0A0F06EB" w14:textId="77777777" w:rsidR="006C164C" w:rsidRDefault="006C164C" w:rsidP="00AA0FA4">
            <w:pPr>
              <w:pStyle w:val="ListParagraph"/>
              <w:numPr>
                <w:ilvl w:val="0"/>
                <w:numId w:val="15"/>
              </w:numPr>
              <w:snapToGrid w:val="0"/>
              <w:contextualSpacing w:val="0"/>
              <w:rPr>
                <w:rFonts w:cstheme="minorHAnsi"/>
                <w:sz w:val="20"/>
                <w:szCs w:val="20"/>
                <w:lang w:val="en-US"/>
              </w:rPr>
            </w:pPr>
            <w:r w:rsidRPr="00D80918">
              <w:rPr>
                <w:rFonts w:cstheme="minorHAnsi"/>
                <w:sz w:val="20"/>
                <w:szCs w:val="20"/>
                <w:lang w:val="en-US"/>
              </w:rPr>
              <w:t xml:space="preserve">Construction Companies </w:t>
            </w:r>
          </w:p>
          <w:p w14:paraId="7D8917DF" w14:textId="77777777" w:rsidR="006C164C" w:rsidRPr="006C7C1E" w:rsidRDefault="006C164C" w:rsidP="00AA0FA4">
            <w:pPr>
              <w:pStyle w:val="ListParagraph"/>
              <w:numPr>
                <w:ilvl w:val="0"/>
                <w:numId w:val="15"/>
              </w:numPr>
              <w:snapToGrid w:val="0"/>
              <w:contextualSpacing w:val="0"/>
              <w:rPr>
                <w:rFonts w:cstheme="minorHAnsi"/>
                <w:sz w:val="20"/>
                <w:szCs w:val="20"/>
                <w:lang w:val="en-US"/>
              </w:rPr>
            </w:pPr>
            <w:r>
              <w:rPr>
                <w:rFonts w:cstheme="minorHAnsi"/>
                <w:sz w:val="20"/>
                <w:szCs w:val="20"/>
                <w:lang w:val="en-US"/>
              </w:rPr>
              <w:t>Credit Agencies</w:t>
            </w:r>
          </w:p>
        </w:tc>
      </w:tr>
      <w:tr w:rsidR="006C164C" w14:paraId="770DD78E" w14:textId="77777777" w:rsidTr="00AA0FA4">
        <w:trPr>
          <w:trHeight w:val="23"/>
        </w:trPr>
        <w:tc>
          <w:tcPr>
            <w:tcW w:w="0" w:type="auto"/>
            <w:vMerge/>
            <w:shd w:val="clear" w:color="auto" w:fill="F2F2F2" w:themeFill="background1" w:themeFillShade="F2"/>
            <w:vAlign w:val="center"/>
          </w:tcPr>
          <w:p w14:paraId="4B24E3C0"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61420D12"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3DFC60F4" w14:textId="77777777" w:rsidR="006C164C" w:rsidRPr="00071CD0" w:rsidRDefault="006C164C" w:rsidP="00AA0FA4">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16203C52"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6</w:t>
            </w:r>
          </w:p>
        </w:tc>
        <w:tc>
          <w:tcPr>
            <w:tcW w:w="0" w:type="auto"/>
            <w:shd w:val="clear" w:color="auto" w:fill="F2F2F2" w:themeFill="background1" w:themeFillShade="F2"/>
          </w:tcPr>
          <w:p w14:paraId="6DB6DACC"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Variety</w:t>
            </w:r>
          </w:p>
        </w:tc>
        <w:tc>
          <w:tcPr>
            <w:tcW w:w="11047" w:type="dxa"/>
            <w:shd w:val="clear" w:color="auto" w:fill="auto"/>
          </w:tcPr>
          <w:p w14:paraId="1AF4A91E" w14:textId="77777777" w:rsidR="006C164C" w:rsidRDefault="006C164C" w:rsidP="00AA0FA4">
            <w:pPr>
              <w:pStyle w:val="ListParagraph"/>
              <w:numPr>
                <w:ilvl w:val="0"/>
                <w:numId w:val="9"/>
              </w:numPr>
              <w:snapToGrid w:val="0"/>
              <w:contextualSpacing w:val="0"/>
              <w:rPr>
                <w:rFonts w:cstheme="minorHAnsi"/>
                <w:sz w:val="20"/>
                <w:szCs w:val="20"/>
                <w:lang w:val="en-US"/>
              </w:rPr>
            </w:pPr>
            <w:r w:rsidRPr="00D80918">
              <w:rPr>
                <w:rFonts w:cstheme="minorHAnsi"/>
                <w:sz w:val="20"/>
                <w:szCs w:val="20"/>
                <w:lang w:val="en-US"/>
              </w:rPr>
              <w:t>Loan</w:t>
            </w:r>
          </w:p>
          <w:p w14:paraId="370891AE" w14:textId="77777777" w:rsidR="006C164C" w:rsidRDefault="006C164C" w:rsidP="00AA0FA4">
            <w:pPr>
              <w:pStyle w:val="ListParagraph"/>
              <w:numPr>
                <w:ilvl w:val="0"/>
                <w:numId w:val="9"/>
              </w:numPr>
              <w:snapToGrid w:val="0"/>
              <w:contextualSpacing w:val="0"/>
              <w:rPr>
                <w:rFonts w:cstheme="minorHAnsi"/>
                <w:sz w:val="20"/>
                <w:szCs w:val="20"/>
                <w:lang w:val="en-US"/>
              </w:rPr>
            </w:pPr>
            <w:r>
              <w:rPr>
                <w:rFonts w:cstheme="minorHAnsi"/>
                <w:sz w:val="20"/>
                <w:szCs w:val="20"/>
                <w:lang w:val="en-US"/>
              </w:rPr>
              <w:t>Duration</w:t>
            </w:r>
          </w:p>
          <w:p w14:paraId="5EC99960" w14:textId="77777777" w:rsidR="006C164C" w:rsidRPr="006C7C1E" w:rsidRDefault="006C164C" w:rsidP="00AA0FA4">
            <w:pPr>
              <w:pStyle w:val="ListParagraph"/>
              <w:numPr>
                <w:ilvl w:val="0"/>
                <w:numId w:val="9"/>
              </w:numPr>
              <w:snapToGrid w:val="0"/>
              <w:contextualSpacing w:val="0"/>
              <w:rPr>
                <w:rFonts w:cstheme="minorHAnsi"/>
                <w:sz w:val="20"/>
                <w:szCs w:val="20"/>
                <w:lang w:val="en-US"/>
              </w:rPr>
            </w:pPr>
            <w:r>
              <w:rPr>
                <w:rFonts w:cstheme="minorHAnsi"/>
                <w:sz w:val="20"/>
                <w:szCs w:val="20"/>
                <w:lang w:val="en-US"/>
              </w:rPr>
              <w:t>Ratings</w:t>
            </w:r>
          </w:p>
        </w:tc>
      </w:tr>
    </w:tbl>
    <w:p w14:paraId="69136110" w14:textId="77777777" w:rsidR="006C164C" w:rsidRPr="00616AA8" w:rsidRDefault="006C164C" w:rsidP="006C164C">
      <w:pPr>
        <w:pStyle w:val="ListParagraph"/>
        <w:snapToGrid w:val="0"/>
        <w:spacing w:after="0" w:line="240" w:lineRule="auto"/>
        <w:ind w:left="936"/>
        <w:contextualSpacing w:val="0"/>
        <w:rPr>
          <w:rFonts w:cstheme="minorHAnsi"/>
          <w:b/>
          <w:bCs/>
          <w:lang w:val="en-US"/>
        </w:rPr>
      </w:pPr>
    </w:p>
    <w:p w14:paraId="277F9408" w14:textId="77777777" w:rsidR="006C164C" w:rsidRPr="00616AA8" w:rsidRDefault="006C164C" w:rsidP="006C164C">
      <w:pPr>
        <w:pStyle w:val="ListParagraph"/>
        <w:snapToGrid w:val="0"/>
        <w:spacing w:after="0" w:line="240" w:lineRule="auto"/>
        <w:ind w:left="936"/>
        <w:contextualSpacing w:val="0"/>
        <w:rPr>
          <w:rFonts w:cstheme="minorHAnsi"/>
          <w:b/>
          <w:bCs/>
          <w:lang w:val="en-US"/>
        </w:rPr>
      </w:pPr>
    </w:p>
    <w:p w14:paraId="4747A494" w14:textId="77777777" w:rsidR="006C164C" w:rsidRDefault="006C164C" w:rsidP="00CC5F74">
      <w:pPr>
        <w:snapToGrid w:val="0"/>
        <w:spacing w:after="0" w:line="240" w:lineRule="auto"/>
        <w:rPr>
          <w:rFonts w:cstheme="minorHAnsi"/>
          <w:lang w:val="en-US"/>
        </w:rPr>
      </w:pPr>
    </w:p>
    <w:p w14:paraId="62802C5D" w14:textId="77777777" w:rsidR="006C164C" w:rsidRDefault="006C164C" w:rsidP="00CC5F74">
      <w:pPr>
        <w:snapToGrid w:val="0"/>
        <w:spacing w:after="0" w:line="240" w:lineRule="auto"/>
        <w:rPr>
          <w:rFonts w:cstheme="minorHAnsi"/>
          <w:lang w:val="en-US"/>
        </w:rPr>
      </w:pPr>
    </w:p>
    <w:p w14:paraId="3DB6C48A" w14:textId="77777777" w:rsidR="006C164C" w:rsidRDefault="006C164C" w:rsidP="00CC5F74">
      <w:pPr>
        <w:snapToGrid w:val="0"/>
        <w:spacing w:after="0" w:line="240" w:lineRule="auto"/>
        <w:rPr>
          <w:rFonts w:cstheme="minorHAnsi"/>
          <w:lang w:val="en-US"/>
        </w:rPr>
      </w:pPr>
    </w:p>
    <w:p w14:paraId="111C5FEF" w14:textId="77777777" w:rsidR="006C164C" w:rsidRDefault="006C164C" w:rsidP="00CC5F74">
      <w:pPr>
        <w:snapToGrid w:val="0"/>
        <w:spacing w:after="0" w:line="240" w:lineRule="auto"/>
        <w:rPr>
          <w:rFonts w:cstheme="minorHAnsi"/>
          <w:lang w:val="en-US"/>
        </w:rPr>
      </w:pPr>
    </w:p>
    <w:p w14:paraId="70021A6E" w14:textId="77777777" w:rsidR="006C164C" w:rsidRDefault="006C164C" w:rsidP="00CC5F74">
      <w:pPr>
        <w:snapToGrid w:val="0"/>
        <w:spacing w:after="0" w:line="240" w:lineRule="auto"/>
        <w:rPr>
          <w:rFonts w:cstheme="minorHAnsi"/>
          <w:lang w:val="en-US"/>
        </w:rPr>
      </w:pPr>
    </w:p>
    <w:p w14:paraId="36B99915" w14:textId="77777777" w:rsidR="006C164C" w:rsidRDefault="006C164C" w:rsidP="00CC5F74">
      <w:pPr>
        <w:snapToGrid w:val="0"/>
        <w:spacing w:after="0" w:line="240" w:lineRule="auto"/>
        <w:rPr>
          <w:rFonts w:cstheme="minorHAnsi"/>
          <w:lang w:val="en-US"/>
        </w:rPr>
      </w:pPr>
    </w:p>
    <w:p w14:paraId="729C469A" w14:textId="77777777" w:rsidR="006C164C" w:rsidRDefault="006C164C" w:rsidP="00CC5F74">
      <w:pPr>
        <w:snapToGrid w:val="0"/>
        <w:spacing w:after="0" w:line="240" w:lineRule="auto"/>
        <w:rPr>
          <w:rFonts w:cstheme="minorHAnsi"/>
          <w:lang w:val="en-US"/>
        </w:rPr>
      </w:pPr>
    </w:p>
    <w:p w14:paraId="66E0307C" w14:textId="77777777" w:rsidR="006C164C" w:rsidRDefault="006C164C" w:rsidP="00CC5F74">
      <w:pPr>
        <w:snapToGrid w:val="0"/>
        <w:spacing w:after="0" w:line="240" w:lineRule="auto"/>
        <w:rPr>
          <w:rFonts w:cstheme="minorHAnsi"/>
          <w:lang w:val="en-US"/>
        </w:rPr>
      </w:pPr>
    </w:p>
    <w:p w14:paraId="3DE14868" w14:textId="77777777" w:rsidR="006C164C" w:rsidRDefault="006C164C" w:rsidP="00CC5F74">
      <w:pPr>
        <w:snapToGrid w:val="0"/>
        <w:spacing w:after="0" w:line="240" w:lineRule="auto"/>
        <w:rPr>
          <w:rFonts w:cstheme="minorHAnsi"/>
          <w:lang w:val="en-US"/>
        </w:rPr>
      </w:pPr>
    </w:p>
    <w:p w14:paraId="4D193F24" w14:textId="77777777" w:rsidR="006C164C" w:rsidRDefault="006C164C" w:rsidP="00CC5F74">
      <w:pPr>
        <w:snapToGrid w:val="0"/>
        <w:spacing w:after="0" w:line="240" w:lineRule="auto"/>
        <w:rPr>
          <w:rFonts w:cstheme="minorHAnsi"/>
          <w:lang w:val="en-US"/>
        </w:rPr>
      </w:pPr>
    </w:p>
    <w:p w14:paraId="52DB8BBC" w14:textId="77777777" w:rsidR="006C164C" w:rsidRDefault="006C164C" w:rsidP="00CC5F74">
      <w:pPr>
        <w:snapToGrid w:val="0"/>
        <w:spacing w:after="0" w:line="240" w:lineRule="auto"/>
        <w:rPr>
          <w:rFonts w:cstheme="minorHAnsi"/>
          <w:lang w:val="en-US"/>
        </w:rPr>
      </w:pPr>
    </w:p>
    <w:p w14:paraId="6738B444" w14:textId="77777777" w:rsidR="006C164C" w:rsidRDefault="006C164C" w:rsidP="00CC5F74">
      <w:pPr>
        <w:snapToGrid w:val="0"/>
        <w:spacing w:after="0" w:line="240" w:lineRule="auto"/>
        <w:rPr>
          <w:rFonts w:cstheme="minorHAnsi"/>
          <w:lang w:val="en-US"/>
        </w:rPr>
      </w:pPr>
    </w:p>
    <w:p w14:paraId="16426FAF" w14:textId="77777777" w:rsidR="006C164C" w:rsidRDefault="006C164C" w:rsidP="00CC5F74">
      <w:pPr>
        <w:snapToGrid w:val="0"/>
        <w:spacing w:after="0" w:line="240" w:lineRule="auto"/>
        <w:rPr>
          <w:rFonts w:cstheme="minorHAnsi"/>
          <w:lang w:val="en-US"/>
        </w:rPr>
      </w:pPr>
    </w:p>
    <w:p w14:paraId="7E097F2D" w14:textId="77777777" w:rsidR="006C164C" w:rsidRDefault="006C164C" w:rsidP="00CC5F74">
      <w:pPr>
        <w:snapToGrid w:val="0"/>
        <w:spacing w:after="0" w:line="240" w:lineRule="auto"/>
        <w:rPr>
          <w:rFonts w:cstheme="minorHAnsi"/>
          <w:lang w:val="en-US"/>
        </w:rPr>
      </w:pPr>
    </w:p>
    <w:p w14:paraId="16B0C212" w14:textId="77777777" w:rsidR="006C164C" w:rsidRDefault="006C164C" w:rsidP="00CC5F74">
      <w:pPr>
        <w:snapToGrid w:val="0"/>
        <w:spacing w:after="0" w:line="240" w:lineRule="auto"/>
        <w:rPr>
          <w:rFonts w:cstheme="minorHAnsi"/>
          <w:lang w:val="en-US"/>
        </w:rPr>
      </w:pPr>
    </w:p>
    <w:p w14:paraId="471C4781" w14:textId="77777777" w:rsidR="006C164C" w:rsidRDefault="006C164C" w:rsidP="00CC5F74">
      <w:pPr>
        <w:snapToGrid w:val="0"/>
        <w:spacing w:after="0" w:line="240" w:lineRule="auto"/>
        <w:rPr>
          <w:rFonts w:cstheme="minorHAnsi"/>
          <w:lang w:val="en-US"/>
        </w:rPr>
      </w:pPr>
    </w:p>
    <w:p w14:paraId="6B2E815A" w14:textId="77777777" w:rsidR="006C164C" w:rsidRDefault="006C164C" w:rsidP="00CC5F74">
      <w:pPr>
        <w:snapToGrid w:val="0"/>
        <w:spacing w:after="0" w:line="240" w:lineRule="auto"/>
        <w:rPr>
          <w:rFonts w:cstheme="minorHAnsi"/>
          <w:lang w:val="en-US"/>
        </w:rPr>
      </w:pPr>
    </w:p>
    <w:p w14:paraId="1E529A2A" w14:textId="77777777" w:rsidR="006C164C" w:rsidRDefault="006C164C" w:rsidP="00CC5F74">
      <w:pPr>
        <w:snapToGrid w:val="0"/>
        <w:spacing w:after="0" w:line="240" w:lineRule="auto"/>
        <w:rPr>
          <w:rFonts w:cstheme="minorHAnsi"/>
          <w:lang w:val="en-US"/>
        </w:rPr>
      </w:pPr>
    </w:p>
    <w:p w14:paraId="7B6F3954" w14:textId="77777777" w:rsidR="00F15E43" w:rsidRDefault="00F15E43" w:rsidP="00CC5F74">
      <w:pPr>
        <w:snapToGrid w:val="0"/>
        <w:spacing w:after="0" w:line="240" w:lineRule="auto"/>
        <w:rPr>
          <w:rFonts w:cstheme="minorHAnsi"/>
          <w:lang w:val="en-US"/>
        </w:rPr>
      </w:pPr>
    </w:p>
    <w:p w14:paraId="2671812C" w14:textId="77777777" w:rsidR="00CC5F74" w:rsidRDefault="00000000" w:rsidP="00CC5F74">
      <w:pPr>
        <w:pStyle w:val="ListParagraph"/>
        <w:numPr>
          <w:ilvl w:val="1"/>
          <w:numId w:val="1"/>
        </w:numPr>
        <w:snapToGrid w:val="0"/>
        <w:spacing w:after="0" w:line="240" w:lineRule="auto"/>
        <w:contextualSpacing w:val="0"/>
        <w:rPr>
          <w:rFonts w:cstheme="minorHAnsi"/>
          <w:b/>
          <w:bCs/>
          <w:lang w:val="en-US"/>
        </w:rPr>
      </w:pPr>
      <w:r w:rsidRPr="0025710F">
        <w:rPr>
          <w:rFonts w:cstheme="minorHAnsi"/>
          <w:b/>
          <w:bCs/>
          <w:sz w:val="24"/>
          <w:szCs w:val="24"/>
          <w:lang w:val="en-US"/>
        </w:rPr>
        <w:t>Student Yhasreen for bond and equity</w:t>
      </w:r>
    </w:p>
    <w:p w14:paraId="14B36555" w14:textId="77777777" w:rsidR="008E61D0" w:rsidRPr="00616AA8" w:rsidRDefault="008E61D0" w:rsidP="008E61D0">
      <w:pPr>
        <w:pStyle w:val="ListParagraph"/>
        <w:snapToGrid w:val="0"/>
        <w:spacing w:after="0" w:line="240" w:lineRule="auto"/>
        <w:ind w:left="936"/>
        <w:contextualSpacing w:val="0"/>
        <w:rPr>
          <w:rFonts w:cstheme="minorHAnsi"/>
          <w:b/>
          <w:bCs/>
          <w:lang w:val="en-US"/>
        </w:rPr>
      </w:pPr>
    </w:p>
    <w:tbl>
      <w:tblPr>
        <w:tblStyle w:val="TableGrid"/>
        <w:tblW w:w="0" w:type="auto"/>
        <w:tblLook w:val="04A0" w:firstRow="1" w:lastRow="0" w:firstColumn="1" w:lastColumn="0" w:noHBand="0" w:noVBand="1"/>
      </w:tblPr>
      <w:tblGrid>
        <w:gridCol w:w="473"/>
        <w:gridCol w:w="318"/>
        <w:gridCol w:w="1153"/>
        <w:gridCol w:w="318"/>
        <w:gridCol w:w="1806"/>
        <w:gridCol w:w="11047"/>
      </w:tblGrid>
      <w:tr w:rsidR="00FC6126" w14:paraId="5C4797F5" w14:textId="77777777" w:rsidTr="00B14E20">
        <w:trPr>
          <w:trHeight w:val="374"/>
        </w:trPr>
        <w:tc>
          <w:tcPr>
            <w:tcW w:w="0" w:type="auto"/>
            <w:gridSpan w:val="3"/>
            <w:shd w:val="clear" w:color="auto" w:fill="F2F2F2" w:themeFill="background1" w:themeFillShade="F2"/>
            <w:vAlign w:val="center"/>
          </w:tcPr>
          <w:p w14:paraId="28C6D193" w14:textId="77777777" w:rsidR="00FC6126" w:rsidRPr="00071CD0" w:rsidRDefault="00FC6126" w:rsidP="00B14E20">
            <w:pPr>
              <w:snapToGrid w:val="0"/>
              <w:jc w:val="center"/>
              <w:rPr>
                <w:rFonts w:cstheme="minorHAnsi"/>
                <w:b/>
                <w:bCs/>
                <w:sz w:val="20"/>
                <w:szCs w:val="20"/>
                <w:lang w:val="en-US"/>
              </w:rPr>
            </w:pPr>
            <w:bookmarkStart w:id="0" w:name="_Hlk146194790"/>
            <w:r w:rsidRPr="00071CD0">
              <w:rPr>
                <w:rFonts w:cstheme="minorHAnsi"/>
                <w:b/>
                <w:bCs/>
                <w:sz w:val="20"/>
                <w:szCs w:val="20"/>
                <w:lang w:val="en-US"/>
              </w:rPr>
              <w:t xml:space="preserve">Table </w:t>
            </w:r>
            <w:r>
              <w:rPr>
                <w:rFonts w:cstheme="minorHAnsi"/>
                <w:b/>
                <w:bCs/>
                <w:sz w:val="20"/>
                <w:szCs w:val="20"/>
                <w:lang w:val="en-US"/>
              </w:rPr>
              <w:t>2</w:t>
            </w:r>
            <w:r w:rsidRPr="00071CD0">
              <w:rPr>
                <w:rFonts w:cstheme="minorHAnsi"/>
                <w:b/>
                <w:bCs/>
                <w:sz w:val="20"/>
                <w:szCs w:val="20"/>
                <w:lang w:val="en-US"/>
              </w:rPr>
              <w:t>.</w:t>
            </w:r>
          </w:p>
        </w:tc>
        <w:tc>
          <w:tcPr>
            <w:tcW w:w="13171" w:type="dxa"/>
            <w:gridSpan w:val="3"/>
            <w:shd w:val="clear" w:color="auto" w:fill="F2F2F2" w:themeFill="background1" w:themeFillShade="F2"/>
            <w:vAlign w:val="center"/>
          </w:tcPr>
          <w:p w14:paraId="6E62B85C" w14:textId="77777777" w:rsidR="00FC6126" w:rsidRPr="00644C67" w:rsidRDefault="00FC6126" w:rsidP="00B14E20">
            <w:pPr>
              <w:pStyle w:val="ListParagraph"/>
              <w:snapToGrid w:val="0"/>
              <w:ind w:left="0"/>
              <w:contextualSpacing w:val="0"/>
              <w:jc w:val="center"/>
              <w:rPr>
                <w:rFonts w:cstheme="minorHAnsi"/>
                <w:b/>
                <w:bCs/>
                <w:sz w:val="24"/>
                <w:szCs w:val="24"/>
                <w:lang w:val="en-US"/>
              </w:rPr>
            </w:pPr>
            <w:r w:rsidRPr="00644C67">
              <w:rPr>
                <w:rFonts w:cstheme="minorHAnsi"/>
                <w:b/>
                <w:bCs/>
                <w:sz w:val="24"/>
                <w:szCs w:val="24"/>
                <w:lang w:val="en-US"/>
              </w:rPr>
              <w:t>Data Characteristics</w:t>
            </w:r>
            <w:r>
              <w:rPr>
                <w:rFonts w:cstheme="minorHAnsi"/>
                <w:b/>
                <w:bCs/>
                <w:sz w:val="24"/>
                <w:szCs w:val="24"/>
                <w:lang w:val="en-US"/>
              </w:rPr>
              <w:t>/ Collection</w:t>
            </w:r>
            <w:r w:rsidRPr="00644C67">
              <w:rPr>
                <w:rFonts w:cstheme="minorHAnsi"/>
                <w:b/>
                <w:bCs/>
                <w:sz w:val="24"/>
                <w:szCs w:val="24"/>
                <w:lang w:val="en-US"/>
              </w:rPr>
              <w:t xml:space="preserve"> for Equity</w:t>
            </w:r>
          </w:p>
        </w:tc>
      </w:tr>
      <w:tr w:rsidR="00FC6126" w14:paraId="1FC1A1D7" w14:textId="77777777" w:rsidTr="00B14E20">
        <w:trPr>
          <w:trHeight w:val="27"/>
        </w:trPr>
        <w:tc>
          <w:tcPr>
            <w:tcW w:w="0" w:type="auto"/>
            <w:vMerge w:val="restart"/>
            <w:shd w:val="clear" w:color="auto" w:fill="F2F2F2" w:themeFill="background1" w:themeFillShade="F2"/>
            <w:textDirection w:val="btLr"/>
            <w:vAlign w:val="center"/>
          </w:tcPr>
          <w:p w14:paraId="419D79A1" w14:textId="77777777" w:rsidR="00FC6126" w:rsidRPr="00071CD0" w:rsidRDefault="00FC6126" w:rsidP="00B14E20">
            <w:pPr>
              <w:pStyle w:val="ListParagraph"/>
              <w:snapToGrid w:val="0"/>
              <w:ind w:left="113" w:right="113"/>
              <w:contextualSpacing w:val="0"/>
              <w:jc w:val="center"/>
              <w:rPr>
                <w:rFonts w:cstheme="minorHAnsi"/>
                <w:b/>
                <w:bCs/>
                <w:sz w:val="20"/>
                <w:szCs w:val="20"/>
                <w:lang w:val="en-US"/>
              </w:rPr>
            </w:pPr>
            <w:r w:rsidRPr="00071CD0">
              <w:rPr>
                <w:rFonts w:cstheme="minorHAnsi"/>
                <w:b/>
                <w:bCs/>
                <w:sz w:val="20"/>
                <w:szCs w:val="20"/>
                <w:lang w:val="en-US"/>
              </w:rPr>
              <w:t>Security Lending Scenarios</w:t>
            </w:r>
          </w:p>
        </w:tc>
        <w:tc>
          <w:tcPr>
            <w:tcW w:w="0" w:type="auto"/>
            <w:vMerge w:val="restart"/>
            <w:shd w:val="clear" w:color="auto" w:fill="F2F2F2" w:themeFill="background1" w:themeFillShade="F2"/>
            <w:vAlign w:val="center"/>
          </w:tcPr>
          <w:p w14:paraId="514FF758" w14:textId="77777777" w:rsidR="00FC6126" w:rsidRPr="00071CD0" w:rsidRDefault="00FC6126" w:rsidP="00B14E20">
            <w:pPr>
              <w:pStyle w:val="ListParagraph"/>
              <w:snapToGrid w:val="0"/>
              <w:ind w:left="0"/>
              <w:contextualSpacing w:val="0"/>
              <w:jc w:val="center"/>
              <w:rPr>
                <w:rFonts w:cstheme="minorHAnsi"/>
                <w:b/>
                <w:bCs/>
                <w:sz w:val="20"/>
                <w:szCs w:val="20"/>
                <w:lang w:val="en-US"/>
              </w:rPr>
            </w:pPr>
            <w:r w:rsidRPr="00071CD0">
              <w:rPr>
                <w:rFonts w:cstheme="minorHAnsi"/>
                <w:b/>
                <w:bCs/>
                <w:sz w:val="20"/>
                <w:szCs w:val="20"/>
                <w:lang w:val="en-US"/>
              </w:rPr>
              <w:t>4</w:t>
            </w:r>
          </w:p>
        </w:tc>
        <w:tc>
          <w:tcPr>
            <w:tcW w:w="0" w:type="auto"/>
            <w:vMerge w:val="restart"/>
            <w:shd w:val="clear" w:color="auto" w:fill="F2F2F2" w:themeFill="background1" w:themeFillShade="F2"/>
            <w:vAlign w:val="center"/>
          </w:tcPr>
          <w:p w14:paraId="03D0CD5B" w14:textId="77777777" w:rsidR="00FC6126"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AAPL</w:t>
            </w:r>
          </w:p>
          <w:p w14:paraId="7C62BC20" w14:textId="77777777" w:rsidR="00FC6126"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 xml:space="preserve">Equity </w:t>
            </w:r>
          </w:p>
          <w:p w14:paraId="72D80DEF"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Investment</w:t>
            </w:r>
          </w:p>
        </w:tc>
        <w:tc>
          <w:tcPr>
            <w:tcW w:w="0" w:type="auto"/>
            <w:shd w:val="clear" w:color="auto" w:fill="F2F2F2" w:themeFill="background1" w:themeFillShade="F2"/>
          </w:tcPr>
          <w:p w14:paraId="659B82D5"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1</w:t>
            </w:r>
          </w:p>
        </w:tc>
        <w:tc>
          <w:tcPr>
            <w:tcW w:w="0" w:type="auto"/>
            <w:shd w:val="clear" w:color="auto" w:fill="F2F2F2" w:themeFill="background1" w:themeFillShade="F2"/>
          </w:tcPr>
          <w:p w14:paraId="19F70CB5"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type</w:t>
            </w:r>
          </w:p>
        </w:tc>
        <w:tc>
          <w:tcPr>
            <w:tcW w:w="11047" w:type="dxa"/>
            <w:shd w:val="clear" w:color="auto" w:fill="auto"/>
          </w:tcPr>
          <w:p w14:paraId="35AF41BD" w14:textId="77777777" w:rsidR="00FC6126" w:rsidRPr="00E33634" w:rsidRDefault="00FC6126">
            <w:pPr>
              <w:pStyle w:val="ListParagraph"/>
              <w:numPr>
                <w:ilvl w:val="0"/>
                <w:numId w:val="38"/>
              </w:numPr>
              <w:snapToGrid w:val="0"/>
              <w:rPr>
                <w:rFonts w:cstheme="minorHAnsi"/>
                <w:sz w:val="20"/>
                <w:szCs w:val="20"/>
                <w:lang w:val="en-US"/>
              </w:rPr>
            </w:pPr>
            <w:r w:rsidRPr="00E33634">
              <w:rPr>
                <w:rFonts w:cstheme="minorHAnsi"/>
                <w:sz w:val="20"/>
                <w:szCs w:val="20"/>
                <w:lang w:val="en-US"/>
              </w:rPr>
              <w:t>Numerical: Interest rates, inflation rates, GDP growth, consumer confidence index, employment rates.</w:t>
            </w:r>
          </w:p>
          <w:p w14:paraId="1F79BC2A" w14:textId="77777777" w:rsidR="00FC6126" w:rsidRPr="00E33634" w:rsidRDefault="00FC6126">
            <w:pPr>
              <w:pStyle w:val="ListParagraph"/>
              <w:numPr>
                <w:ilvl w:val="0"/>
                <w:numId w:val="38"/>
              </w:numPr>
              <w:snapToGrid w:val="0"/>
              <w:rPr>
                <w:rFonts w:cstheme="minorHAnsi"/>
                <w:sz w:val="20"/>
                <w:szCs w:val="20"/>
                <w:lang w:val="en-US"/>
              </w:rPr>
            </w:pPr>
            <w:r w:rsidRPr="00E33634">
              <w:rPr>
                <w:rFonts w:cstheme="minorHAnsi"/>
                <w:sz w:val="20"/>
                <w:szCs w:val="20"/>
                <w:lang w:val="en-US"/>
              </w:rPr>
              <w:t>Categorical: Regulatory changes, credit ratings, market sectors.</w:t>
            </w:r>
          </w:p>
          <w:p w14:paraId="1C345C32" w14:textId="77777777" w:rsidR="00FC6126" w:rsidRPr="00E33634" w:rsidRDefault="00FC6126">
            <w:pPr>
              <w:pStyle w:val="ListParagraph"/>
              <w:numPr>
                <w:ilvl w:val="0"/>
                <w:numId w:val="38"/>
              </w:numPr>
              <w:snapToGrid w:val="0"/>
              <w:rPr>
                <w:rFonts w:cstheme="minorHAnsi"/>
                <w:sz w:val="20"/>
                <w:szCs w:val="20"/>
                <w:lang w:val="en-US"/>
              </w:rPr>
            </w:pPr>
            <w:r w:rsidRPr="00E33634">
              <w:rPr>
                <w:rFonts w:cstheme="minorHAnsi"/>
                <w:sz w:val="20"/>
                <w:szCs w:val="20"/>
                <w:lang w:val="en-US"/>
              </w:rPr>
              <w:t>Temporal: Time series data related to interest rates, market indices, and economic cycles.</w:t>
            </w:r>
          </w:p>
        </w:tc>
      </w:tr>
      <w:tr w:rsidR="00FC6126" w14:paraId="144B1773" w14:textId="77777777" w:rsidTr="00B14E20">
        <w:trPr>
          <w:trHeight w:val="23"/>
        </w:trPr>
        <w:tc>
          <w:tcPr>
            <w:tcW w:w="0" w:type="auto"/>
            <w:vMerge/>
            <w:shd w:val="clear" w:color="auto" w:fill="F2F2F2" w:themeFill="background1" w:themeFillShade="F2"/>
            <w:vAlign w:val="center"/>
          </w:tcPr>
          <w:p w14:paraId="626A6702" w14:textId="77777777" w:rsidR="00FC6126" w:rsidRPr="00071CD0" w:rsidRDefault="00FC6126" w:rsidP="00B14E20">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26FE9085" w14:textId="77777777" w:rsidR="00FC6126" w:rsidRPr="00071CD0" w:rsidRDefault="00FC6126" w:rsidP="00B14E20">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0EFAFB29" w14:textId="77777777" w:rsidR="00FC6126" w:rsidRPr="00071CD0" w:rsidRDefault="00FC6126" w:rsidP="00B14E20">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4D821A40"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2</w:t>
            </w:r>
          </w:p>
        </w:tc>
        <w:tc>
          <w:tcPr>
            <w:tcW w:w="0" w:type="auto"/>
            <w:shd w:val="clear" w:color="auto" w:fill="F2F2F2" w:themeFill="background1" w:themeFillShade="F2"/>
          </w:tcPr>
          <w:p w14:paraId="1335F899" w14:textId="77777777" w:rsidR="00FC6126" w:rsidRPr="00071CD0" w:rsidRDefault="00FC6126" w:rsidP="00B14E20">
            <w:pPr>
              <w:snapToGrid w:val="0"/>
              <w:rPr>
                <w:rFonts w:cstheme="minorHAnsi"/>
                <w:b/>
                <w:bCs/>
                <w:sz w:val="20"/>
                <w:szCs w:val="20"/>
                <w:lang w:val="en-US"/>
              </w:rPr>
            </w:pPr>
            <w:r w:rsidRPr="00071CD0">
              <w:rPr>
                <w:rFonts w:cstheme="minorHAnsi"/>
                <w:b/>
                <w:bCs/>
                <w:sz w:val="20"/>
                <w:szCs w:val="20"/>
                <w:lang w:val="en-US"/>
              </w:rPr>
              <w:t>Data preprocessing</w:t>
            </w:r>
          </w:p>
        </w:tc>
        <w:tc>
          <w:tcPr>
            <w:tcW w:w="11047" w:type="dxa"/>
            <w:shd w:val="clear" w:color="auto" w:fill="auto"/>
          </w:tcPr>
          <w:p w14:paraId="188EB5EA" w14:textId="77777777" w:rsidR="00FC6126" w:rsidRPr="00E33634" w:rsidRDefault="00FC6126">
            <w:pPr>
              <w:pStyle w:val="ListParagraph"/>
              <w:numPr>
                <w:ilvl w:val="0"/>
                <w:numId w:val="39"/>
              </w:numPr>
              <w:snapToGrid w:val="0"/>
              <w:rPr>
                <w:rFonts w:cstheme="minorHAnsi"/>
                <w:sz w:val="20"/>
                <w:szCs w:val="20"/>
                <w:lang w:val="en-US"/>
              </w:rPr>
            </w:pPr>
            <w:r w:rsidRPr="00E33634">
              <w:rPr>
                <w:rFonts w:cstheme="minorHAnsi"/>
                <w:sz w:val="20"/>
                <w:szCs w:val="20"/>
                <w:lang w:val="en-US"/>
              </w:rPr>
              <w:t>Normalization: Adjusting all variables to a common scale.</w:t>
            </w:r>
          </w:p>
          <w:p w14:paraId="35E58B8E" w14:textId="77777777" w:rsidR="00FC6126" w:rsidRPr="00E33634" w:rsidRDefault="00FC6126">
            <w:pPr>
              <w:pStyle w:val="ListParagraph"/>
              <w:numPr>
                <w:ilvl w:val="0"/>
                <w:numId w:val="39"/>
              </w:numPr>
              <w:snapToGrid w:val="0"/>
              <w:rPr>
                <w:rFonts w:cstheme="minorHAnsi"/>
                <w:sz w:val="20"/>
                <w:szCs w:val="20"/>
                <w:lang w:val="en-US"/>
              </w:rPr>
            </w:pPr>
            <w:r w:rsidRPr="00E33634">
              <w:rPr>
                <w:rFonts w:cstheme="minorHAnsi"/>
                <w:sz w:val="20"/>
                <w:szCs w:val="20"/>
                <w:lang w:val="en-US"/>
              </w:rPr>
              <w:t>Imputation: Filling missing values using statistical techniques.</w:t>
            </w:r>
          </w:p>
          <w:p w14:paraId="42278D3E" w14:textId="77777777" w:rsidR="00FC6126" w:rsidRPr="00E33634" w:rsidRDefault="00FC6126">
            <w:pPr>
              <w:pStyle w:val="ListParagraph"/>
              <w:numPr>
                <w:ilvl w:val="0"/>
                <w:numId w:val="39"/>
              </w:numPr>
              <w:snapToGrid w:val="0"/>
              <w:rPr>
                <w:rFonts w:cstheme="minorHAnsi"/>
                <w:sz w:val="20"/>
                <w:szCs w:val="20"/>
                <w:lang w:val="en-US"/>
              </w:rPr>
            </w:pPr>
            <w:r w:rsidRPr="00E33634">
              <w:rPr>
                <w:rFonts w:cstheme="minorHAnsi"/>
                <w:sz w:val="20"/>
                <w:szCs w:val="20"/>
                <w:lang w:val="en-US"/>
              </w:rPr>
              <w:t>Transformation: Log or square root transformations to handle skewed data.</w:t>
            </w:r>
          </w:p>
          <w:p w14:paraId="02626862" w14:textId="77777777" w:rsidR="00FC6126" w:rsidRPr="00E33634" w:rsidRDefault="00FC6126">
            <w:pPr>
              <w:pStyle w:val="ListParagraph"/>
              <w:numPr>
                <w:ilvl w:val="0"/>
                <w:numId w:val="39"/>
              </w:numPr>
              <w:snapToGrid w:val="0"/>
              <w:rPr>
                <w:rFonts w:cstheme="minorHAnsi"/>
                <w:sz w:val="20"/>
                <w:szCs w:val="20"/>
                <w:lang w:val="en-US"/>
              </w:rPr>
            </w:pPr>
            <w:r w:rsidRPr="00E33634">
              <w:rPr>
                <w:rFonts w:cstheme="minorHAnsi"/>
                <w:sz w:val="20"/>
                <w:szCs w:val="20"/>
                <w:lang w:val="en-US"/>
              </w:rPr>
              <w:t>Seasonal Adjustment: For metrics like employment data or quarterly GDP figures.</w:t>
            </w:r>
          </w:p>
        </w:tc>
      </w:tr>
      <w:tr w:rsidR="00FC6126" w14:paraId="59BAE22B" w14:textId="77777777" w:rsidTr="00B14E20">
        <w:trPr>
          <w:trHeight w:val="23"/>
        </w:trPr>
        <w:tc>
          <w:tcPr>
            <w:tcW w:w="0" w:type="auto"/>
            <w:vMerge/>
            <w:shd w:val="clear" w:color="auto" w:fill="F2F2F2" w:themeFill="background1" w:themeFillShade="F2"/>
            <w:vAlign w:val="center"/>
          </w:tcPr>
          <w:p w14:paraId="1FCF51D3" w14:textId="77777777" w:rsidR="00FC6126" w:rsidRPr="00071CD0" w:rsidRDefault="00FC6126" w:rsidP="00B14E20">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6F82DB39" w14:textId="77777777" w:rsidR="00FC6126" w:rsidRPr="00071CD0" w:rsidRDefault="00FC6126" w:rsidP="00B14E20">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0A21162B" w14:textId="77777777" w:rsidR="00FC6126" w:rsidRPr="00071CD0" w:rsidRDefault="00FC6126" w:rsidP="00B14E20">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325C17DC"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3</w:t>
            </w:r>
          </w:p>
        </w:tc>
        <w:tc>
          <w:tcPr>
            <w:tcW w:w="0" w:type="auto"/>
            <w:shd w:val="clear" w:color="auto" w:fill="F2F2F2" w:themeFill="background1" w:themeFillShade="F2"/>
          </w:tcPr>
          <w:p w14:paraId="120C1B28"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frequency</w:t>
            </w:r>
          </w:p>
        </w:tc>
        <w:tc>
          <w:tcPr>
            <w:tcW w:w="11047" w:type="dxa"/>
            <w:shd w:val="clear" w:color="auto" w:fill="auto"/>
          </w:tcPr>
          <w:p w14:paraId="757A84E6" w14:textId="77777777" w:rsidR="00FC6126" w:rsidRPr="00290422" w:rsidRDefault="00FC6126">
            <w:pPr>
              <w:pStyle w:val="ListParagraph"/>
              <w:numPr>
                <w:ilvl w:val="0"/>
                <w:numId w:val="40"/>
              </w:numPr>
              <w:snapToGrid w:val="0"/>
              <w:rPr>
                <w:rFonts w:cstheme="minorHAnsi"/>
                <w:sz w:val="20"/>
                <w:szCs w:val="20"/>
                <w:lang w:val="en-US"/>
              </w:rPr>
            </w:pPr>
            <w:r w:rsidRPr="00290422">
              <w:rPr>
                <w:rFonts w:cstheme="minorHAnsi"/>
                <w:sz w:val="20"/>
                <w:szCs w:val="20"/>
                <w:lang w:val="en-US"/>
              </w:rPr>
              <w:t>High Frequency: Intraday stock prices for equity investments.</w:t>
            </w:r>
          </w:p>
          <w:p w14:paraId="784974AC" w14:textId="77777777" w:rsidR="00FC6126" w:rsidRPr="00290422" w:rsidRDefault="00FC6126">
            <w:pPr>
              <w:pStyle w:val="ListParagraph"/>
              <w:numPr>
                <w:ilvl w:val="0"/>
                <w:numId w:val="40"/>
              </w:numPr>
              <w:snapToGrid w:val="0"/>
              <w:rPr>
                <w:rFonts w:cstheme="minorHAnsi"/>
                <w:sz w:val="20"/>
                <w:szCs w:val="20"/>
                <w:lang w:val="en-US"/>
              </w:rPr>
            </w:pPr>
            <w:r w:rsidRPr="00290422">
              <w:rPr>
                <w:rFonts w:cstheme="minorHAnsi"/>
                <w:sz w:val="20"/>
                <w:szCs w:val="20"/>
                <w:lang w:val="en-US"/>
              </w:rPr>
              <w:t>Monthly: Consumer credit data, interest rates.</w:t>
            </w:r>
          </w:p>
          <w:p w14:paraId="350DD3E9" w14:textId="77777777" w:rsidR="00FC6126" w:rsidRPr="00290422" w:rsidRDefault="00FC6126">
            <w:pPr>
              <w:pStyle w:val="ListParagraph"/>
              <w:numPr>
                <w:ilvl w:val="0"/>
                <w:numId w:val="40"/>
              </w:numPr>
              <w:snapToGrid w:val="0"/>
              <w:rPr>
                <w:rFonts w:cstheme="minorHAnsi"/>
                <w:sz w:val="20"/>
                <w:szCs w:val="20"/>
                <w:lang w:val="en-US"/>
              </w:rPr>
            </w:pPr>
            <w:r w:rsidRPr="00290422">
              <w:rPr>
                <w:rFonts w:cstheme="minorHAnsi"/>
                <w:sz w:val="20"/>
                <w:szCs w:val="20"/>
                <w:lang w:val="en-US"/>
              </w:rPr>
              <w:t>Quarterly: GDP growth, corporate earnings.</w:t>
            </w:r>
          </w:p>
          <w:p w14:paraId="6E875AFF" w14:textId="77777777" w:rsidR="00FC6126" w:rsidRPr="00290422" w:rsidRDefault="00FC6126">
            <w:pPr>
              <w:pStyle w:val="ListParagraph"/>
              <w:numPr>
                <w:ilvl w:val="0"/>
                <w:numId w:val="40"/>
              </w:numPr>
              <w:snapToGrid w:val="0"/>
              <w:rPr>
                <w:rFonts w:cstheme="minorHAnsi"/>
                <w:sz w:val="20"/>
                <w:szCs w:val="20"/>
                <w:lang w:val="en-US"/>
              </w:rPr>
            </w:pPr>
            <w:r w:rsidRPr="00290422">
              <w:rPr>
                <w:rFonts w:cstheme="minorHAnsi"/>
                <w:sz w:val="20"/>
                <w:szCs w:val="20"/>
                <w:lang w:val="en-US"/>
              </w:rPr>
              <w:t>Annually: Regulatory changes, inflation rate, employment data.</w:t>
            </w:r>
          </w:p>
        </w:tc>
      </w:tr>
      <w:tr w:rsidR="00FC6126" w14:paraId="2CE43374" w14:textId="77777777" w:rsidTr="00B14E20">
        <w:trPr>
          <w:trHeight w:val="23"/>
        </w:trPr>
        <w:tc>
          <w:tcPr>
            <w:tcW w:w="0" w:type="auto"/>
            <w:vMerge/>
            <w:shd w:val="clear" w:color="auto" w:fill="F2F2F2" w:themeFill="background1" w:themeFillShade="F2"/>
            <w:vAlign w:val="center"/>
          </w:tcPr>
          <w:p w14:paraId="71837D6F" w14:textId="77777777" w:rsidR="00FC6126" w:rsidRPr="00071CD0" w:rsidRDefault="00FC6126" w:rsidP="00B14E20">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5C700827" w14:textId="77777777" w:rsidR="00FC6126" w:rsidRPr="00071CD0" w:rsidRDefault="00FC6126" w:rsidP="00B14E20">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50F5B1AF" w14:textId="77777777" w:rsidR="00FC6126" w:rsidRPr="00071CD0" w:rsidRDefault="00FC6126" w:rsidP="00B14E20">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7CAE6787"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4</w:t>
            </w:r>
          </w:p>
        </w:tc>
        <w:tc>
          <w:tcPr>
            <w:tcW w:w="0" w:type="auto"/>
            <w:shd w:val="clear" w:color="auto" w:fill="F2F2F2" w:themeFill="background1" w:themeFillShade="F2"/>
          </w:tcPr>
          <w:p w14:paraId="49C6A7E5"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class</w:t>
            </w:r>
          </w:p>
        </w:tc>
        <w:tc>
          <w:tcPr>
            <w:tcW w:w="11047" w:type="dxa"/>
            <w:shd w:val="clear" w:color="auto" w:fill="auto"/>
          </w:tcPr>
          <w:p w14:paraId="6523CDC9" w14:textId="77777777" w:rsidR="00FC6126" w:rsidRPr="00E33634" w:rsidRDefault="00FC6126">
            <w:pPr>
              <w:pStyle w:val="ListParagraph"/>
              <w:numPr>
                <w:ilvl w:val="0"/>
                <w:numId w:val="37"/>
              </w:numPr>
              <w:snapToGrid w:val="0"/>
              <w:rPr>
                <w:rFonts w:cstheme="minorHAnsi"/>
                <w:sz w:val="20"/>
                <w:szCs w:val="20"/>
                <w:lang w:val="en-US"/>
              </w:rPr>
            </w:pPr>
            <w:r w:rsidRPr="00E33634">
              <w:rPr>
                <w:rFonts w:cstheme="minorHAnsi"/>
                <w:sz w:val="20"/>
                <w:szCs w:val="20"/>
                <w:lang w:val="en-US"/>
              </w:rPr>
              <w:t>Structured: Standardized numerical data such as yields and interest rates.</w:t>
            </w:r>
          </w:p>
          <w:p w14:paraId="299A90CE" w14:textId="77777777" w:rsidR="00FC6126" w:rsidRPr="00E33634" w:rsidRDefault="00FC6126">
            <w:pPr>
              <w:pStyle w:val="ListParagraph"/>
              <w:numPr>
                <w:ilvl w:val="0"/>
                <w:numId w:val="37"/>
              </w:numPr>
              <w:snapToGrid w:val="0"/>
              <w:rPr>
                <w:rFonts w:cstheme="minorHAnsi"/>
                <w:sz w:val="20"/>
                <w:szCs w:val="20"/>
                <w:lang w:val="en-US"/>
              </w:rPr>
            </w:pPr>
            <w:r w:rsidRPr="00E33634">
              <w:rPr>
                <w:rFonts w:cstheme="minorHAnsi"/>
                <w:sz w:val="20"/>
                <w:szCs w:val="20"/>
                <w:lang w:val="en-US"/>
              </w:rPr>
              <w:t>Unstructured: Textual data like news articles or Federal Reserve minutes.</w:t>
            </w:r>
          </w:p>
          <w:p w14:paraId="29B2012F" w14:textId="77777777" w:rsidR="00FC6126" w:rsidRPr="00E33634" w:rsidRDefault="00FC6126">
            <w:pPr>
              <w:pStyle w:val="ListParagraph"/>
              <w:numPr>
                <w:ilvl w:val="0"/>
                <w:numId w:val="37"/>
              </w:numPr>
              <w:snapToGrid w:val="0"/>
              <w:rPr>
                <w:rFonts w:cstheme="minorHAnsi"/>
                <w:sz w:val="20"/>
                <w:szCs w:val="20"/>
                <w:lang w:val="en-US"/>
              </w:rPr>
            </w:pPr>
            <w:r w:rsidRPr="00E33634">
              <w:rPr>
                <w:rFonts w:cstheme="minorHAnsi"/>
                <w:sz w:val="20"/>
                <w:szCs w:val="20"/>
                <w:lang w:val="en-US"/>
              </w:rPr>
              <w:t>Time-Series: Chronologically ordered data like bond yields and interest rates over time.</w:t>
            </w:r>
          </w:p>
        </w:tc>
      </w:tr>
      <w:tr w:rsidR="00FC6126" w14:paraId="3A53C185" w14:textId="77777777" w:rsidTr="00B14E20">
        <w:trPr>
          <w:trHeight w:val="23"/>
        </w:trPr>
        <w:tc>
          <w:tcPr>
            <w:tcW w:w="0" w:type="auto"/>
            <w:vMerge/>
            <w:shd w:val="clear" w:color="auto" w:fill="F2F2F2" w:themeFill="background1" w:themeFillShade="F2"/>
            <w:vAlign w:val="center"/>
          </w:tcPr>
          <w:p w14:paraId="4996B8A4" w14:textId="77777777" w:rsidR="00FC6126" w:rsidRPr="00071CD0" w:rsidRDefault="00FC6126" w:rsidP="00B14E20">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36363AB4" w14:textId="77777777" w:rsidR="00FC6126" w:rsidRPr="00071CD0" w:rsidRDefault="00FC6126" w:rsidP="00B14E20">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5976DE09" w14:textId="77777777" w:rsidR="00FC6126" w:rsidRPr="00071CD0" w:rsidRDefault="00FC6126" w:rsidP="00B14E20">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4030E685"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5</w:t>
            </w:r>
          </w:p>
        </w:tc>
        <w:tc>
          <w:tcPr>
            <w:tcW w:w="0" w:type="auto"/>
            <w:shd w:val="clear" w:color="auto" w:fill="F2F2F2" w:themeFill="background1" w:themeFillShade="F2"/>
          </w:tcPr>
          <w:p w14:paraId="2F0861B2"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source</w:t>
            </w:r>
          </w:p>
        </w:tc>
        <w:tc>
          <w:tcPr>
            <w:tcW w:w="11047" w:type="dxa"/>
            <w:shd w:val="clear" w:color="auto" w:fill="auto"/>
          </w:tcPr>
          <w:p w14:paraId="6F98BA49" w14:textId="77777777" w:rsidR="00FC6126" w:rsidRPr="00380B16" w:rsidRDefault="00FC6126">
            <w:pPr>
              <w:pStyle w:val="ListParagraph"/>
              <w:numPr>
                <w:ilvl w:val="0"/>
                <w:numId w:val="15"/>
              </w:numPr>
              <w:snapToGrid w:val="0"/>
              <w:rPr>
                <w:rFonts w:cstheme="minorHAnsi"/>
                <w:sz w:val="20"/>
                <w:szCs w:val="20"/>
                <w:lang w:val="en-US"/>
              </w:rPr>
            </w:pPr>
            <w:r w:rsidRPr="00380B16">
              <w:rPr>
                <w:rFonts w:cstheme="minorHAnsi"/>
                <w:sz w:val="20"/>
                <w:szCs w:val="20"/>
                <w:lang w:val="en-US"/>
              </w:rPr>
              <w:t>Government Publications: Data from the Federal Reserve, Bureau of Labor Statistics, U.S. Treasury.</w:t>
            </w:r>
          </w:p>
          <w:p w14:paraId="512F6D71" w14:textId="77777777" w:rsidR="00FC6126" w:rsidRPr="00380B16" w:rsidRDefault="00FC6126">
            <w:pPr>
              <w:pStyle w:val="ListParagraph"/>
              <w:numPr>
                <w:ilvl w:val="0"/>
                <w:numId w:val="41"/>
              </w:numPr>
              <w:snapToGrid w:val="0"/>
              <w:rPr>
                <w:rFonts w:cstheme="minorHAnsi"/>
                <w:sz w:val="20"/>
                <w:szCs w:val="20"/>
                <w:lang w:val="en-US"/>
              </w:rPr>
            </w:pPr>
            <w:r w:rsidRPr="00380B16">
              <w:rPr>
                <w:rFonts w:cstheme="minorHAnsi"/>
                <w:sz w:val="20"/>
                <w:szCs w:val="20"/>
                <w:lang w:val="en-US"/>
              </w:rPr>
              <w:t>Financial Exchanges: Data from stock exchanges like NYSE or NASDAQ.</w:t>
            </w:r>
          </w:p>
          <w:p w14:paraId="238669AF" w14:textId="77777777" w:rsidR="00FC6126" w:rsidRPr="00380B16" w:rsidRDefault="00FC6126">
            <w:pPr>
              <w:pStyle w:val="ListParagraph"/>
              <w:numPr>
                <w:ilvl w:val="0"/>
                <w:numId w:val="41"/>
              </w:numPr>
              <w:snapToGrid w:val="0"/>
              <w:rPr>
                <w:rFonts w:cstheme="minorHAnsi"/>
                <w:sz w:val="20"/>
                <w:szCs w:val="20"/>
                <w:lang w:val="en-US"/>
              </w:rPr>
            </w:pPr>
            <w:r w:rsidRPr="00380B16">
              <w:rPr>
                <w:rFonts w:cstheme="minorHAnsi"/>
                <w:sz w:val="20"/>
                <w:szCs w:val="20"/>
                <w:lang w:val="en-US"/>
              </w:rPr>
              <w:t>Credit Bureaus: For credit ratings and default rates.</w:t>
            </w:r>
          </w:p>
          <w:p w14:paraId="76912C0C" w14:textId="77777777" w:rsidR="00FC6126" w:rsidRPr="00380B16" w:rsidRDefault="00FC6126">
            <w:pPr>
              <w:pStyle w:val="ListParagraph"/>
              <w:numPr>
                <w:ilvl w:val="0"/>
                <w:numId w:val="41"/>
              </w:numPr>
              <w:snapToGrid w:val="0"/>
              <w:rPr>
                <w:rFonts w:cstheme="minorHAnsi"/>
                <w:sz w:val="20"/>
                <w:szCs w:val="20"/>
                <w:lang w:val="en-US"/>
              </w:rPr>
            </w:pPr>
            <w:r w:rsidRPr="00380B16">
              <w:rPr>
                <w:rFonts w:cstheme="minorHAnsi"/>
                <w:sz w:val="20"/>
                <w:szCs w:val="20"/>
                <w:lang w:val="en-US"/>
              </w:rPr>
              <w:t>Market Research Firms: Consumer confidence index, market sentiment indicators.</w:t>
            </w:r>
          </w:p>
        </w:tc>
      </w:tr>
      <w:tr w:rsidR="00FC6126" w14:paraId="0FF71BF4" w14:textId="77777777" w:rsidTr="00B14E20">
        <w:trPr>
          <w:trHeight w:val="23"/>
        </w:trPr>
        <w:tc>
          <w:tcPr>
            <w:tcW w:w="0" w:type="auto"/>
            <w:vMerge/>
            <w:shd w:val="clear" w:color="auto" w:fill="F2F2F2" w:themeFill="background1" w:themeFillShade="F2"/>
            <w:vAlign w:val="center"/>
          </w:tcPr>
          <w:p w14:paraId="3A33DA37" w14:textId="77777777" w:rsidR="00FC6126" w:rsidRPr="00071CD0" w:rsidRDefault="00FC6126" w:rsidP="00B14E20">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72475415" w14:textId="77777777" w:rsidR="00FC6126" w:rsidRPr="00071CD0" w:rsidRDefault="00FC6126" w:rsidP="00B14E20">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35719D3F" w14:textId="77777777" w:rsidR="00FC6126" w:rsidRPr="00071CD0" w:rsidRDefault="00FC6126" w:rsidP="00B14E20">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62AA37DA"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6</w:t>
            </w:r>
          </w:p>
        </w:tc>
        <w:tc>
          <w:tcPr>
            <w:tcW w:w="0" w:type="auto"/>
            <w:shd w:val="clear" w:color="auto" w:fill="F2F2F2" w:themeFill="background1" w:themeFillShade="F2"/>
          </w:tcPr>
          <w:p w14:paraId="372D885A"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 xml:space="preserve">Data </w:t>
            </w:r>
            <w:r>
              <w:rPr>
                <w:rFonts w:cstheme="minorHAnsi"/>
                <w:b/>
                <w:bCs/>
                <w:sz w:val="20"/>
                <w:szCs w:val="20"/>
                <w:lang w:val="en-US"/>
              </w:rPr>
              <w:t>v</w:t>
            </w:r>
            <w:r w:rsidRPr="00071CD0">
              <w:rPr>
                <w:rFonts w:cstheme="minorHAnsi"/>
                <w:b/>
                <w:bCs/>
                <w:sz w:val="20"/>
                <w:szCs w:val="20"/>
                <w:lang w:val="en-US"/>
              </w:rPr>
              <w:t>ariety</w:t>
            </w:r>
          </w:p>
        </w:tc>
        <w:tc>
          <w:tcPr>
            <w:tcW w:w="11047" w:type="dxa"/>
            <w:shd w:val="clear" w:color="auto" w:fill="auto"/>
          </w:tcPr>
          <w:p w14:paraId="68D4BC96" w14:textId="77777777" w:rsidR="00FC6126" w:rsidRDefault="00FC6126">
            <w:pPr>
              <w:pStyle w:val="ListParagraph"/>
              <w:numPr>
                <w:ilvl w:val="0"/>
                <w:numId w:val="42"/>
              </w:numPr>
              <w:snapToGrid w:val="0"/>
              <w:rPr>
                <w:rFonts w:cstheme="minorHAnsi"/>
                <w:sz w:val="20"/>
                <w:szCs w:val="20"/>
                <w:lang w:val="en-US"/>
              </w:rPr>
            </w:pPr>
            <w:r w:rsidRPr="00380B16">
              <w:rPr>
                <w:rFonts w:cstheme="minorHAnsi"/>
                <w:sz w:val="20"/>
                <w:szCs w:val="20"/>
                <w:lang w:val="en-US"/>
              </w:rPr>
              <w:t xml:space="preserve">Cross-sectional Data: Data captured at a single point in time, </w:t>
            </w:r>
          </w:p>
          <w:p w14:paraId="4453A2CE" w14:textId="77777777" w:rsidR="00FC6126" w:rsidRPr="00380B16" w:rsidRDefault="00FC6126" w:rsidP="00B14E20">
            <w:pPr>
              <w:pStyle w:val="ListParagraph"/>
              <w:snapToGrid w:val="0"/>
              <w:ind w:left="360"/>
              <w:rPr>
                <w:rFonts w:cstheme="minorHAnsi"/>
                <w:sz w:val="20"/>
                <w:szCs w:val="20"/>
                <w:lang w:val="en-US"/>
              </w:rPr>
            </w:pPr>
            <w:r w:rsidRPr="00380B16">
              <w:rPr>
                <w:rFonts w:cstheme="minorHAnsi"/>
                <w:sz w:val="20"/>
                <w:szCs w:val="20"/>
                <w:lang w:val="en-US"/>
              </w:rPr>
              <w:t>useful for snapshots of credit card default rates or market capitalization.</w:t>
            </w:r>
          </w:p>
          <w:p w14:paraId="57998A48" w14:textId="77777777" w:rsidR="00FC6126" w:rsidRPr="00380B16" w:rsidRDefault="00FC6126">
            <w:pPr>
              <w:pStyle w:val="ListParagraph"/>
              <w:numPr>
                <w:ilvl w:val="0"/>
                <w:numId w:val="42"/>
              </w:numPr>
              <w:snapToGrid w:val="0"/>
              <w:rPr>
                <w:rFonts w:cstheme="minorHAnsi"/>
                <w:sz w:val="20"/>
                <w:szCs w:val="20"/>
                <w:lang w:val="en-US"/>
              </w:rPr>
            </w:pPr>
            <w:r w:rsidRPr="00380B16">
              <w:rPr>
                <w:rFonts w:cstheme="minorHAnsi"/>
                <w:sz w:val="20"/>
                <w:szCs w:val="20"/>
                <w:lang w:val="en-US"/>
              </w:rPr>
              <w:t>Longitudinal Data: Data collected over multiple time points, useful for analyzing trends in interest rates or stock prices.</w:t>
            </w:r>
          </w:p>
          <w:p w14:paraId="385AD701" w14:textId="77777777" w:rsidR="00FC6126" w:rsidRPr="00380B16" w:rsidRDefault="00FC6126">
            <w:pPr>
              <w:pStyle w:val="ListParagraph"/>
              <w:numPr>
                <w:ilvl w:val="0"/>
                <w:numId w:val="42"/>
              </w:numPr>
              <w:snapToGrid w:val="0"/>
              <w:rPr>
                <w:rFonts w:cstheme="minorHAnsi"/>
                <w:sz w:val="20"/>
                <w:szCs w:val="20"/>
                <w:lang w:val="en-US"/>
              </w:rPr>
            </w:pPr>
            <w:r w:rsidRPr="00380B16">
              <w:rPr>
                <w:rFonts w:cstheme="minorHAnsi"/>
                <w:sz w:val="20"/>
                <w:szCs w:val="20"/>
                <w:lang w:val="en-US"/>
              </w:rPr>
              <w:t>Big Data: Large volumes of transactional data for credit card usage or trade volumes in equities.</w:t>
            </w:r>
          </w:p>
        </w:tc>
      </w:tr>
      <w:bookmarkEnd w:id="0"/>
    </w:tbl>
    <w:p w14:paraId="4E154D13" w14:textId="77777777" w:rsidR="006745FD" w:rsidRPr="00FC6126" w:rsidRDefault="006745FD" w:rsidP="006745FD">
      <w:pPr>
        <w:pStyle w:val="ListParagraph"/>
        <w:snapToGrid w:val="0"/>
        <w:spacing w:after="0" w:line="240" w:lineRule="auto"/>
        <w:ind w:left="936"/>
        <w:contextualSpacing w:val="0"/>
        <w:rPr>
          <w:rFonts w:cstheme="minorHAnsi"/>
          <w:sz w:val="20"/>
          <w:szCs w:val="20"/>
        </w:rPr>
      </w:pPr>
    </w:p>
    <w:p w14:paraId="223AAB12" w14:textId="77777777" w:rsidR="006745FD" w:rsidRPr="006B11C6" w:rsidRDefault="006745FD" w:rsidP="006B11C6">
      <w:pPr>
        <w:snapToGrid w:val="0"/>
        <w:spacing w:after="0" w:line="240" w:lineRule="auto"/>
        <w:rPr>
          <w:rFonts w:cstheme="minorHAnsi"/>
          <w:b/>
          <w:bCs/>
          <w:color w:val="FFFFFF" w:themeColor="background1"/>
          <w:sz w:val="20"/>
          <w:szCs w:val="20"/>
          <w:lang w:val="en-US"/>
        </w:rPr>
      </w:pPr>
    </w:p>
    <w:p w14:paraId="3FC18ADC" w14:textId="77777777" w:rsidR="006B11C6" w:rsidRPr="006B11C6" w:rsidRDefault="006B11C6" w:rsidP="006B11C6">
      <w:pPr>
        <w:snapToGrid w:val="0"/>
        <w:spacing w:after="0" w:line="240" w:lineRule="auto"/>
        <w:rPr>
          <w:rFonts w:cstheme="minorHAnsi"/>
          <w:b/>
          <w:bCs/>
          <w:color w:val="FFFFFF" w:themeColor="background1"/>
          <w:sz w:val="20"/>
          <w:szCs w:val="20"/>
          <w:lang w:val="en-US"/>
        </w:rPr>
      </w:pPr>
    </w:p>
    <w:p w14:paraId="7EF8F209" w14:textId="77777777" w:rsidR="006745FD" w:rsidRDefault="006745FD" w:rsidP="006745FD">
      <w:pPr>
        <w:pStyle w:val="ListParagraph"/>
        <w:snapToGrid w:val="0"/>
        <w:spacing w:after="0" w:line="240" w:lineRule="auto"/>
        <w:ind w:left="936"/>
        <w:contextualSpacing w:val="0"/>
        <w:rPr>
          <w:rFonts w:cstheme="minorHAnsi"/>
          <w:b/>
          <w:bCs/>
          <w:sz w:val="20"/>
          <w:szCs w:val="20"/>
          <w:lang w:val="en-US"/>
        </w:rPr>
      </w:pPr>
    </w:p>
    <w:p w14:paraId="2F6A347D" w14:textId="77777777" w:rsidR="006745FD" w:rsidRDefault="006745FD" w:rsidP="006745FD">
      <w:pPr>
        <w:pStyle w:val="ListParagraph"/>
        <w:snapToGrid w:val="0"/>
        <w:spacing w:after="0" w:line="240" w:lineRule="auto"/>
        <w:ind w:left="936"/>
        <w:contextualSpacing w:val="0"/>
        <w:rPr>
          <w:rFonts w:cstheme="minorHAnsi"/>
          <w:b/>
          <w:bCs/>
          <w:sz w:val="20"/>
          <w:szCs w:val="20"/>
          <w:lang w:val="en-US"/>
        </w:rPr>
      </w:pPr>
    </w:p>
    <w:p w14:paraId="186C6492" w14:textId="77777777" w:rsidR="006D6DC6" w:rsidRDefault="006D6DC6" w:rsidP="006745FD">
      <w:pPr>
        <w:pStyle w:val="ListParagraph"/>
        <w:snapToGrid w:val="0"/>
        <w:spacing w:after="0" w:line="240" w:lineRule="auto"/>
        <w:ind w:left="936"/>
        <w:contextualSpacing w:val="0"/>
        <w:rPr>
          <w:rFonts w:cstheme="minorHAnsi"/>
          <w:b/>
          <w:bCs/>
          <w:sz w:val="20"/>
          <w:szCs w:val="20"/>
          <w:lang w:val="en-US"/>
        </w:rPr>
      </w:pPr>
    </w:p>
    <w:p w14:paraId="115B019E" w14:textId="77777777" w:rsidR="006D6DC6" w:rsidRDefault="006D6DC6" w:rsidP="006745FD">
      <w:pPr>
        <w:pStyle w:val="ListParagraph"/>
        <w:snapToGrid w:val="0"/>
        <w:spacing w:after="0" w:line="240" w:lineRule="auto"/>
        <w:ind w:left="936"/>
        <w:contextualSpacing w:val="0"/>
        <w:rPr>
          <w:rFonts w:cstheme="minorHAnsi"/>
          <w:b/>
          <w:bCs/>
          <w:sz w:val="20"/>
          <w:szCs w:val="20"/>
          <w:lang w:val="en-US"/>
        </w:rPr>
      </w:pPr>
    </w:p>
    <w:p w14:paraId="6B59D64C" w14:textId="77777777" w:rsidR="006D6DC6" w:rsidRDefault="006D6DC6" w:rsidP="006745FD">
      <w:pPr>
        <w:pStyle w:val="ListParagraph"/>
        <w:snapToGrid w:val="0"/>
        <w:spacing w:after="0" w:line="240" w:lineRule="auto"/>
        <w:ind w:left="936"/>
        <w:contextualSpacing w:val="0"/>
        <w:rPr>
          <w:rFonts w:cstheme="minorHAnsi"/>
          <w:b/>
          <w:bCs/>
          <w:sz w:val="20"/>
          <w:szCs w:val="20"/>
          <w:lang w:val="en-US"/>
        </w:rPr>
      </w:pPr>
    </w:p>
    <w:p w14:paraId="707F21E2" w14:textId="77777777" w:rsidR="006D6DC6" w:rsidRDefault="006D6DC6" w:rsidP="006745FD">
      <w:pPr>
        <w:pStyle w:val="ListParagraph"/>
        <w:snapToGrid w:val="0"/>
        <w:spacing w:after="0" w:line="240" w:lineRule="auto"/>
        <w:ind w:left="936"/>
        <w:contextualSpacing w:val="0"/>
        <w:rPr>
          <w:rFonts w:cstheme="minorHAnsi"/>
          <w:b/>
          <w:bCs/>
          <w:sz w:val="20"/>
          <w:szCs w:val="20"/>
          <w:lang w:val="en-US"/>
        </w:rPr>
      </w:pPr>
    </w:p>
    <w:p w14:paraId="5843DA1B" w14:textId="77777777" w:rsidR="006D6DC6" w:rsidRDefault="006D6DC6" w:rsidP="006745FD">
      <w:pPr>
        <w:pStyle w:val="ListParagraph"/>
        <w:snapToGrid w:val="0"/>
        <w:spacing w:after="0" w:line="240" w:lineRule="auto"/>
        <w:ind w:left="936"/>
        <w:contextualSpacing w:val="0"/>
        <w:rPr>
          <w:rFonts w:cstheme="minorHAnsi"/>
          <w:b/>
          <w:bCs/>
          <w:sz w:val="20"/>
          <w:szCs w:val="20"/>
          <w:lang w:val="en-US"/>
        </w:rPr>
      </w:pPr>
    </w:p>
    <w:p w14:paraId="3E131327" w14:textId="77777777" w:rsidR="006D6DC6" w:rsidRDefault="006D6DC6" w:rsidP="006745FD">
      <w:pPr>
        <w:pStyle w:val="ListParagraph"/>
        <w:snapToGrid w:val="0"/>
        <w:spacing w:after="0" w:line="240" w:lineRule="auto"/>
        <w:ind w:left="936"/>
        <w:contextualSpacing w:val="0"/>
        <w:rPr>
          <w:rFonts w:cstheme="minorHAnsi"/>
          <w:b/>
          <w:bCs/>
          <w:sz w:val="20"/>
          <w:szCs w:val="20"/>
          <w:lang w:val="en-US"/>
        </w:rPr>
      </w:pPr>
    </w:p>
    <w:p w14:paraId="7CD294BC" w14:textId="77777777" w:rsidR="006D6DC6" w:rsidRDefault="006D6DC6" w:rsidP="006745FD">
      <w:pPr>
        <w:pStyle w:val="ListParagraph"/>
        <w:snapToGrid w:val="0"/>
        <w:spacing w:after="0" w:line="240" w:lineRule="auto"/>
        <w:ind w:left="936"/>
        <w:contextualSpacing w:val="0"/>
        <w:rPr>
          <w:rFonts w:cstheme="minorHAnsi"/>
          <w:b/>
          <w:bCs/>
          <w:sz w:val="20"/>
          <w:szCs w:val="20"/>
          <w:lang w:val="en-US"/>
        </w:rPr>
      </w:pPr>
    </w:p>
    <w:p w14:paraId="35A0DAC5" w14:textId="77777777" w:rsidR="006D6DC6" w:rsidRPr="00AA5AEA" w:rsidRDefault="006D6DC6" w:rsidP="00AA5AEA">
      <w:pPr>
        <w:snapToGrid w:val="0"/>
        <w:spacing w:after="0" w:line="240" w:lineRule="auto"/>
        <w:rPr>
          <w:rFonts w:cstheme="minorHAnsi"/>
          <w:b/>
          <w:bCs/>
          <w:sz w:val="20"/>
          <w:szCs w:val="20"/>
          <w:lang w:val="en-US"/>
        </w:rPr>
      </w:pPr>
    </w:p>
    <w:p w14:paraId="79571AEE" w14:textId="77777777" w:rsidR="00CC5F74" w:rsidRPr="0025710F" w:rsidRDefault="00000000" w:rsidP="00CC5F74">
      <w:pPr>
        <w:pStyle w:val="ListParagraph"/>
        <w:numPr>
          <w:ilvl w:val="1"/>
          <w:numId w:val="1"/>
        </w:numPr>
        <w:snapToGrid w:val="0"/>
        <w:spacing w:after="0" w:line="240" w:lineRule="auto"/>
        <w:contextualSpacing w:val="0"/>
        <w:rPr>
          <w:rFonts w:cstheme="minorHAnsi"/>
          <w:b/>
          <w:bCs/>
          <w:sz w:val="24"/>
          <w:szCs w:val="24"/>
          <w:lang w:val="en-US"/>
        </w:rPr>
      </w:pPr>
      <w:r w:rsidRPr="0025710F">
        <w:rPr>
          <w:rFonts w:cstheme="minorHAnsi"/>
          <w:b/>
          <w:bCs/>
          <w:sz w:val="24"/>
          <w:szCs w:val="24"/>
          <w:lang w:val="en-US"/>
        </w:rPr>
        <w:t>Student Yhasreen for bond and equity</w:t>
      </w:r>
    </w:p>
    <w:p w14:paraId="54D348FB" w14:textId="77777777" w:rsidR="006745FD" w:rsidRDefault="006745FD" w:rsidP="006745FD">
      <w:pPr>
        <w:pStyle w:val="ListParagraph"/>
        <w:snapToGrid w:val="0"/>
        <w:spacing w:after="0" w:line="240" w:lineRule="auto"/>
        <w:ind w:left="936"/>
        <w:contextualSpacing w:val="0"/>
        <w:rPr>
          <w:rFonts w:cstheme="minorHAnsi"/>
          <w:b/>
          <w:bCs/>
          <w:sz w:val="20"/>
          <w:szCs w:val="20"/>
          <w:lang w:val="en-US"/>
        </w:rPr>
      </w:pPr>
    </w:p>
    <w:tbl>
      <w:tblPr>
        <w:tblStyle w:val="TableGrid"/>
        <w:tblW w:w="0" w:type="auto"/>
        <w:tblLook w:val="04A0" w:firstRow="1" w:lastRow="0" w:firstColumn="1" w:lastColumn="0" w:noHBand="0" w:noVBand="1"/>
      </w:tblPr>
      <w:tblGrid>
        <w:gridCol w:w="473"/>
        <w:gridCol w:w="318"/>
        <w:gridCol w:w="1153"/>
        <w:gridCol w:w="318"/>
        <w:gridCol w:w="1806"/>
        <w:gridCol w:w="11047"/>
      </w:tblGrid>
      <w:tr w:rsidR="00FC6126" w14:paraId="388884D1" w14:textId="77777777" w:rsidTr="00B14E20">
        <w:trPr>
          <w:trHeight w:val="374"/>
        </w:trPr>
        <w:tc>
          <w:tcPr>
            <w:tcW w:w="0" w:type="auto"/>
            <w:gridSpan w:val="3"/>
            <w:shd w:val="clear" w:color="auto" w:fill="F2F2F2" w:themeFill="background1" w:themeFillShade="F2"/>
            <w:vAlign w:val="center"/>
          </w:tcPr>
          <w:p w14:paraId="657F7CE1" w14:textId="77777777" w:rsidR="00FC6126" w:rsidRPr="00071CD0" w:rsidRDefault="00FC6126" w:rsidP="00B14E20">
            <w:pPr>
              <w:snapToGrid w:val="0"/>
              <w:jc w:val="center"/>
              <w:rPr>
                <w:rFonts w:cstheme="minorHAnsi"/>
                <w:b/>
                <w:bCs/>
                <w:sz w:val="20"/>
                <w:szCs w:val="20"/>
                <w:lang w:val="en-US"/>
              </w:rPr>
            </w:pPr>
            <w:r w:rsidRPr="00071CD0">
              <w:rPr>
                <w:rFonts w:cstheme="minorHAnsi"/>
                <w:b/>
                <w:bCs/>
                <w:sz w:val="20"/>
                <w:szCs w:val="20"/>
                <w:lang w:val="en-US"/>
              </w:rPr>
              <w:t xml:space="preserve">Table </w:t>
            </w:r>
            <w:r>
              <w:rPr>
                <w:rFonts w:cstheme="minorHAnsi"/>
                <w:b/>
                <w:bCs/>
                <w:sz w:val="20"/>
                <w:szCs w:val="20"/>
                <w:lang w:val="en-US"/>
              </w:rPr>
              <w:t>2</w:t>
            </w:r>
            <w:r w:rsidRPr="00071CD0">
              <w:rPr>
                <w:rFonts w:cstheme="minorHAnsi"/>
                <w:b/>
                <w:bCs/>
                <w:sz w:val="20"/>
                <w:szCs w:val="20"/>
                <w:lang w:val="en-US"/>
              </w:rPr>
              <w:t>.</w:t>
            </w:r>
          </w:p>
        </w:tc>
        <w:tc>
          <w:tcPr>
            <w:tcW w:w="13171" w:type="dxa"/>
            <w:gridSpan w:val="3"/>
            <w:shd w:val="clear" w:color="auto" w:fill="F2F2F2" w:themeFill="background1" w:themeFillShade="F2"/>
            <w:vAlign w:val="center"/>
          </w:tcPr>
          <w:p w14:paraId="66E69FAC" w14:textId="77777777" w:rsidR="00FC6126" w:rsidRPr="00071CD0" w:rsidRDefault="00FC6126" w:rsidP="00B14E20">
            <w:pPr>
              <w:pStyle w:val="ListParagraph"/>
              <w:snapToGrid w:val="0"/>
              <w:ind w:left="0"/>
              <w:contextualSpacing w:val="0"/>
              <w:jc w:val="center"/>
              <w:rPr>
                <w:rFonts w:cstheme="minorHAnsi"/>
                <w:b/>
                <w:bCs/>
                <w:sz w:val="20"/>
                <w:szCs w:val="20"/>
                <w:lang w:val="en-US"/>
              </w:rPr>
            </w:pPr>
            <w:r w:rsidRPr="00AA2150">
              <w:rPr>
                <w:rFonts w:cstheme="minorHAnsi"/>
                <w:b/>
                <w:bCs/>
                <w:sz w:val="24"/>
                <w:szCs w:val="24"/>
                <w:lang w:val="en-US"/>
              </w:rPr>
              <w:t>Data Characteristics</w:t>
            </w:r>
            <w:r>
              <w:rPr>
                <w:rFonts w:cstheme="minorHAnsi"/>
                <w:b/>
                <w:bCs/>
                <w:sz w:val="24"/>
                <w:szCs w:val="24"/>
                <w:lang w:val="en-US"/>
              </w:rPr>
              <w:t>/</w:t>
            </w:r>
            <w:r w:rsidRPr="00AA2150">
              <w:rPr>
                <w:rFonts w:cstheme="minorHAnsi"/>
                <w:b/>
                <w:bCs/>
                <w:sz w:val="24"/>
                <w:szCs w:val="24"/>
                <w:lang w:val="en-US"/>
              </w:rPr>
              <w:t xml:space="preserve"> Collection for Bond</w:t>
            </w:r>
          </w:p>
        </w:tc>
      </w:tr>
      <w:tr w:rsidR="00FC6126" w14:paraId="50AD78EC" w14:textId="77777777" w:rsidTr="00B14E20">
        <w:trPr>
          <w:trHeight w:val="49"/>
        </w:trPr>
        <w:tc>
          <w:tcPr>
            <w:tcW w:w="0" w:type="auto"/>
            <w:vMerge w:val="restart"/>
            <w:shd w:val="clear" w:color="auto" w:fill="F2F2F2" w:themeFill="background1" w:themeFillShade="F2"/>
            <w:textDirection w:val="btLr"/>
            <w:vAlign w:val="center"/>
          </w:tcPr>
          <w:p w14:paraId="685C1F03" w14:textId="77777777" w:rsidR="00FC6126" w:rsidRPr="00071CD0" w:rsidRDefault="00FC6126" w:rsidP="00B14E20">
            <w:pPr>
              <w:pStyle w:val="ListParagraph"/>
              <w:snapToGrid w:val="0"/>
              <w:ind w:left="113" w:right="113"/>
              <w:contextualSpacing w:val="0"/>
              <w:jc w:val="center"/>
              <w:rPr>
                <w:rFonts w:cstheme="minorHAnsi"/>
                <w:b/>
                <w:bCs/>
                <w:sz w:val="20"/>
                <w:szCs w:val="20"/>
                <w:lang w:val="en-US"/>
              </w:rPr>
            </w:pPr>
            <w:r w:rsidRPr="00071CD0">
              <w:rPr>
                <w:rFonts w:cstheme="minorHAnsi"/>
                <w:b/>
                <w:bCs/>
                <w:sz w:val="20"/>
                <w:szCs w:val="20"/>
                <w:lang w:val="en-US"/>
              </w:rPr>
              <w:t>Security Lending Scenarios</w:t>
            </w:r>
          </w:p>
        </w:tc>
        <w:tc>
          <w:tcPr>
            <w:tcW w:w="0" w:type="auto"/>
            <w:vMerge w:val="restart"/>
            <w:shd w:val="clear" w:color="auto" w:fill="F2F2F2" w:themeFill="background1" w:themeFillShade="F2"/>
            <w:vAlign w:val="center"/>
          </w:tcPr>
          <w:p w14:paraId="311EB52B" w14:textId="77777777" w:rsidR="00FC6126" w:rsidRPr="00071CD0" w:rsidRDefault="00FC6126" w:rsidP="00B14E20">
            <w:pPr>
              <w:pStyle w:val="ListParagraph"/>
              <w:snapToGrid w:val="0"/>
              <w:ind w:left="0"/>
              <w:contextualSpacing w:val="0"/>
              <w:jc w:val="center"/>
              <w:rPr>
                <w:rFonts w:cstheme="minorHAnsi"/>
                <w:b/>
                <w:bCs/>
                <w:sz w:val="20"/>
                <w:szCs w:val="20"/>
                <w:lang w:val="en-US"/>
              </w:rPr>
            </w:pPr>
            <w:r w:rsidRPr="00071CD0">
              <w:rPr>
                <w:rFonts w:cstheme="minorHAnsi"/>
                <w:b/>
                <w:bCs/>
                <w:sz w:val="20"/>
                <w:szCs w:val="20"/>
                <w:lang w:val="en-US"/>
              </w:rPr>
              <w:t>5</w:t>
            </w:r>
          </w:p>
        </w:tc>
        <w:tc>
          <w:tcPr>
            <w:tcW w:w="0" w:type="auto"/>
            <w:vMerge w:val="restart"/>
            <w:shd w:val="clear" w:color="auto" w:fill="F2F2F2" w:themeFill="background1" w:themeFillShade="F2"/>
            <w:vAlign w:val="center"/>
          </w:tcPr>
          <w:p w14:paraId="02190EDD" w14:textId="77777777" w:rsidR="00FC6126"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 xml:space="preserve">2-year </w:t>
            </w:r>
          </w:p>
          <w:p w14:paraId="165BD867"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 xml:space="preserve">Treasury </w:t>
            </w:r>
          </w:p>
          <w:p w14:paraId="5C89B006" w14:textId="77777777" w:rsidR="00FC6126"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 xml:space="preserve">Bond </w:t>
            </w:r>
          </w:p>
          <w:p w14:paraId="2932C766"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Investment</w:t>
            </w:r>
          </w:p>
        </w:tc>
        <w:tc>
          <w:tcPr>
            <w:tcW w:w="0" w:type="auto"/>
            <w:shd w:val="clear" w:color="auto" w:fill="F2F2F2" w:themeFill="background1" w:themeFillShade="F2"/>
          </w:tcPr>
          <w:p w14:paraId="1C185924"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1</w:t>
            </w:r>
          </w:p>
        </w:tc>
        <w:tc>
          <w:tcPr>
            <w:tcW w:w="0" w:type="auto"/>
            <w:shd w:val="clear" w:color="auto" w:fill="F2F2F2" w:themeFill="background1" w:themeFillShade="F2"/>
          </w:tcPr>
          <w:p w14:paraId="6D207FAF"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type</w:t>
            </w:r>
          </w:p>
        </w:tc>
        <w:tc>
          <w:tcPr>
            <w:tcW w:w="11047" w:type="dxa"/>
            <w:shd w:val="clear" w:color="auto" w:fill="auto"/>
          </w:tcPr>
          <w:p w14:paraId="12CF52F7" w14:textId="77777777" w:rsidR="00FC6126" w:rsidRPr="001A7426" w:rsidRDefault="00FC6126">
            <w:pPr>
              <w:pStyle w:val="ListParagraph"/>
              <w:numPr>
                <w:ilvl w:val="0"/>
                <w:numId w:val="13"/>
              </w:numPr>
              <w:snapToGrid w:val="0"/>
              <w:rPr>
                <w:rFonts w:cstheme="minorHAnsi"/>
                <w:sz w:val="20"/>
                <w:szCs w:val="20"/>
                <w:lang w:val="en-US"/>
              </w:rPr>
            </w:pPr>
            <w:r w:rsidRPr="001A7426">
              <w:rPr>
                <w:rFonts w:cstheme="minorHAnsi"/>
                <w:sz w:val="20"/>
                <w:szCs w:val="20"/>
                <w:lang w:val="en-US"/>
              </w:rPr>
              <w:t>Numerical: Interest rates, inflation rates, employment rates, GDP growth.</w:t>
            </w:r>
          </w:p>
          <w:p w14:paraId="36AE80E8" w14:textId="77777777" w:rsidR="00FC6126" w:rsidRPr="001A7426" w:rsidRDefault="00FC6126">
            <w:pPr>
              <w:pStyle w:val="ListParagraph"/>
              <w:numPr>
                <w:ilvl w:val="0"/>
                <w:numId w:val="13"/>
              </w:numPr>
              <w:snapToGrid w:val="0"/>
              <w:rPr>
                <w:rFonts w:cstheme="minorHAnsi"/>
                <w:sz w:val="20"/>
                <w:szCs w:val="20"/>
                <w:lang w:val="en-US"/>
              </w:rPr>
            </w:pPr>
            <w:r w:rsidRPr="001A7426">
              <w:rPr>
                <w:rFonts w:cstheme="minorHAnsi"/>
                <w:sz w:val="20"/>
                <w:szCs w:val="20"/>
                <w:lang w:val="en-US"/>
              </w:rPr>
              <w:t>Categorical: Credit ratings, bond ratings, monetary policy decisions.</w:t>
            </w:r>
          </w:p>
          <w:p w14:paraId="5F942071" w14:textId="77777777" w:rsidR="00FC6126" w:rsidRPr="001A7426" w:rsidRDefault="00FC6126">
            <w:pPr>
              <w:pStyle w:val="ListParagraph"/>
              <w:numPr>
                <w:ilvl w:val="0"/>
                <w:numId w:val="13"/>
              </w:numPr>
              <w:snapToGrid w:val="0"/>
              <w:rPr>
                <w:rFonts w:cstheme="minorHAnsi"/>
                <w:sz w:val="20"/>
                <w:szCs w:val="20"/>
                <w:lang w:val="en-US"/>
              </w:rPr>
            </w:pPr>
            <w:r w:rsidRPr="001A7426">
              <w:rPr>
                <w:rFonts w:cstheme="minorHAnsi"/>
                <w:sz w:val="20"/>
                <w:szCs w:val="20"/>
                <w:lang w:val="en-US"/>
              </w:rPr>
              <w:t>Temporal: Time series data related to yield curves, credit default rates.</w:t>
            </w:r>
          </w:p>
        </w:tc>
      </w:tr>
      <w:tr w:rsidR="00FC6126" w14:paraId="16A023AB" w14:textId="77777777" w:rsidTr="00B14E20">
        <w:trPr>
          <w:trHeight w:val="47"/>
        </w:trPr>
        <w:tc>
          <w:tcPr>
            <w:tcW w:w="0" w:type="auto"/>
            <w:vMerge/>
            <w:shd w:val="clear" w:color="auto" w:fill="F2F2F2" w:themeFill="background1" w:themeFillShade="F2"/>
            <w:vAlign w:val="center"/>
          </w:tcPr>
          <w:p w14:paraId="2A04E8D3" w14:textId="77777777" w:rsidR="00FC6126" w:rsidRPr="00071CD0" w:rsidRDefault="00FC6126" w:rsidP="00B14E20">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tcPr>
          <w:p w14:paraId="1964C07E" w14:textId="77777777" w:rsidR="00FC6126" w:rsidRPr="00071CD0" w:rsidRDefault="00FC6126" w:rsidP="00B14E20">
            <w:pPr>
              <w:pStyle w:val="ListParagraph"/>
              <w:snapToGrid w:val="0"/>
              <w:ind w:left="0"/>
              <w:contextualSpacing w:val="0"/>
              <w:rPr>
                <w:rFonts w:cstheme="minorHAnsi"/>
                <w:b/>
                <w:bCs/>
                <w:sz w:val="20"/>
                <w:szCs w:val="20"/>
                <w:lang w:val="en-US"/>
              </w:rPr>
            </w:pPr>
          </w:p>
        </w:tc>
        <w:tc>
          <w:tcPr>
            <w:tcW w:w="0" w:type="auto"/>
            <w:vMerge/>
            <w:shd w:val="clear" w:color="auto" w:fill="F2F2F2" w:themeFill="background1" w:themeFillShade="F2"/>
            <w:vAlign w:val="center"/>
          </w:tcPr>
          <w:p w14:paraId="49397372" w14:textId="77777777" w:rsidR="00FC6126" w:rsidRPr="00071CD0" w:rsidRDefault="00FC6126" w:rsidP="00B14E20">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3C0EB5CE"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2</w:t>
            </w:r>
          </w:p>
        </w:tc>
        <w:tc>
          <w:tcPr>
            <w:tcW w:w="0" w:type="auto"/>
            <w:shd w:val="clear" w:color="auto" w:fill="F2F2F2" w:themeFill="background1" w:themeFillShade="F2"/>
          </w:tcPr>
          <w:p w14:paraId="1B616E10" w14:textId="77777777" w:rsidR="00FC6126" w:rsidRPr="00071CD0" w:rsidRDefault="00FC6126" w:rsidP="00B14E20">
            <w:pPr>
              <w:snapToGrid w:val="0"/>
              <w:rPr>
                <w:rFonts w:cstheme="minorHAnsi"/>
                <w:b/>
                <w:bCs/>
                <w:sz w:val="20"/>
                <w:szCs w:val="20"/>
                <w:lang w:val="en-US"/>
              </w:rPr>
            </w:pPr>
            <w:r w:rsidRPr="00071CD0">
              <w:rPr>
                <w:rFonts w:cstheme="minorHAnsi"/>
                <w:b/>
                <w:bCs/>
                <w:sz w:val="20"/>
                <w:szCs w:val="20"/>
                <w:lang w:val="en-US"/>
              </w:rPr>
              <w:t>Data preprocessing</w:t>
            </w:r>
          </w:p>
        </w:tc>
        <w:tc>
          <w:tcPr>
            <w:tcW w:w="11047" w:type="dxa"/>
            <w:shd w:val="clear" w:color="auto" w:fill="auto"/>
          </w:tcPr>
          <w:p w14:paraId="03C82792" w14:textId="77777777" w:rsidR="00FC6126" w:rsidRPr="001A7426" w:rsidRDefault="00FC6126">
            <w:pPr>
              <w:pStyle w:val="ListParagraph"/>
              <w:numPr>
                <w:ilvl w:val="0"/>
                <w:numId w:val="14"/>
              </w:numPr>
              <w:snapToGrid w:val="0"/>
              <w:rPr>
                <w:rFonts w:cstheme="minorHAnsi"/>
                <w:sz w:val="20"/>
                <w:szCs w:val="20"/>
                <w:lang w:val="en-US"/>
              </w:rPr>
            </w:pPr>
            <w:r w:rsidRPr="001A7426">
              <w:rPr>
                <w:rFonts w:cstheme="minorHAnsi"/>
                <w:sz w:val="20"/>
                <w:szCs w:val="20"/>
                <w:lang w:val="en-US"/>
              </w:rPr>
              <w:t>Normalization: Ensuring all numerical variables are comparable.</w:t>
            </w:r>
          </w:p>
          <w:p w14:paraId="30A2B1A8" w14:textId="77777777" w:rsidR="00FC6126" w:rsidRPr="001A7426" w:rsidRDefault="00FC6126">
            <w:pPr>
              <w:pStyle w:val="ListParagraph"/>
              <w:numPr>
                <w:ilvl w:val="0"/>
                <w:numId w:val="14"/>
              </w:numPr>
              <w:snapToGrid w:val="0"/>
              <w:rPr>
                <w:rFonts w:cstheme="minorHAnsi"/>
                <w:sz w:val="20"/>
                <w:szCs w:val="20"/>
                <w:lang w:val="en-US"/>
              </w:rPr>
            </w:pPr>
            <w:r w:rsidRPr="001A7426">
              <w:rPr>
                <w:rFonts w:cstheme="minorHAnsi"/>
                <w:sz w:val="20"/>
                <w:szCs w:val="20"/>
                <w:lang w:val="en-US"/>
              </w:rPr>
              <w:t>Imputation: Handling missing data via statistical methods.</w:t>
            </w:r>
          </w:p>
          <w:p w14:paraId="6C86348C" w14:textId="77777777" w:rsidR="00FC6126" w:rsidRPr="001A7426" w:rsidRDefault="00FC6126">
            <w:pPr>
              <w:pStyle w:val="ListParagraph"/>
              <w:numPr>
                <w:ilvl w:val="0"/>
                <w:numId w:val="14"/>
              </w:numPr>
              <w:snapToGrid w:val="0"/>
              <w:rPr>
                <w:rFonts w:cstheme="minorHAnsi"/>
                <w:sz w:val="20"/>
                <w:szCs w:val="20"/>
                <w:lang w:val="en-US"/>
              </w:rPr>
            </w:pPr>
            <w:r w:rsidRPr="001A7426">
              <w:rPr>
                <w:rFonts w:cstheme="minorHAnsi"/>
                <w:sz w:val="20"/>
                <w:szCs w:val="20"/>
                <w:lang w:val="en-US"/>
              </w:rPr>
              <w:t>Transformation: Managing skewed data through log or square root transformations.</w:t>
            </w:r>
          </w:p>
          <w:p w14:paraId="739AD9BD" w14:textId="77777777" w:rsidR="00FC6126" w:rsidRPr="001A7426" w:rsidRDefault="00FC6126">
            <w:pPr>
              <w:pStyle w:val="ListParagraph"/>
              <w:numPr>
                <w:ilvl w:val="0"/>
                <w:numId w:val="14"/>
              </w:numPr>
              <w:snapToGrid w:val="0"/>
              <w:rPr>
                <w:rFonts w:cstheme="minorHAnsi"/>
                <w:sz w:val="20"/>
                <w:szCs w:val="20"/>
                <w:lang w:val="en-US"/>
              </w:rPr>
            </w:pPr>
            <w:r w:rsidRPr="001A7426">
              <w:rPr>
                <w:rFonts w:cstheme="minorHAnsi"/>
                <w:sz w:val="20"/>
                <w:szCs w:val="20"/>
                <w:lang w:val="en-US"/>
              </w:rPr>
              <w:t>Seasonal Adjustment: Adjusting for seasonality in economic metrics such as employment data.</w:t>
            </w:r>
          </w:p>
        </w:tc>
      </w:tr>
      <w:tr w:rsidR="00FC6126" w14:paraId="6102BF9C" w14:textId="77777777" w:rsidTr="00B14E20">
        <w:trPr>
          <w:trHeight w:val="47"/>
        </w:trPr>
        <w:tc>
          <w:tcPr>
            <w:tcW w:w="0" w:type="auto"/>
            <w:vMerge/>
            <w:shd w:val="clear" w:color="auto" w:fill="F2F2F2" w:themeFill="background1" w:themeFillShade="F2"/>
            <w:vAlign w:val="center"/>
          </w:tcPr>
          <w:p w14:paraId="18852247" w14:textId="77777777" w:rsidR="00FC6126" w:rsidRPr="00071CD0" w:rsidRDefault="00FC6126" w:rsidP="00B14E20">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tcPr>
          <w:p w14:paraId="4680B863" w14:textId="77777777" w:rsidR="00FC6126" w:rsidRPr="00071CD0" w:rsidRDefault="00FC6126" w:rsidP="00B14E20">
            <w:pPr>
              <w:pStyle w:val="ListParagraph"/>
              <w:snapToGrid w:val="0"/>
              <w:ind w:left="0"/>
              <w:contextualSpacing w:val="0"/>
              <w:rPr>
                <w:rFonts w:cstheme="minorHAnsi"/>
                <w:b/>
                <w:bCs/>
                <w:sz w:val="20"/>
                <w:szCs w:val="20"/>
                <w:lang w:val="en-US"/>
              </w:rPr>
            </w:pPr>
          </w:p>
        </w:tc>
        <w:tc>
          <w:tcPr>
            <w:tcW w:w="0" w:type="auto"/>
            <w:vMerge/>
            <w:shd w:val="clear" w:color="auto" w:fill="F2F2F2" w:themeFill="background1" w:themeFillShade="F2"/>
            <w:vAlign w:val="center"/>
          </w:tcPr>
          <w:p w14:paraId="532E8974" w14:textId="77777777" w:rsidR="00FC6126" w:rsidRPr="00071CD0" w:rsidRDefault="00FC6126" w:rsidP="00B14E20">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3B5BF8AA"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3</w:t>
            </w:r>
          </w:p>
        </w:tc>
        <w:tc>
          <w:tcPr>
            <w:tcW w:w="0" w:type="auto"/>
            <w:shd w:val="clear" w:color="auto" w:fill="F2F2F2" w:themeFill="background1" w:themeFillShade="F2"/>
          </w:tcPr>
          <w:p w14:paraId="525F5D36"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frequency</w:t>
            </w:r>
          </w:p>
        </w:tc>
        <w:tc>
          <w:tcPr>
            <w:tcW w:w="11047" w:type="dxa"/>
            <w:shd w:val="clear" w:color="auto" w:fill="auto"/>
          </w:tcPr>
          <w:p w14:paraId="2F87B716" w14:textId="653A7519" w:rsidR="00FC6126" w:rsidRPr="001A7426" w:rsidRDefault="00FC6126">
            <w:pPr>
              <w:pStyle w:val="ListParagraph"/>
              <w:numPr>
                <w:ilvl w:val="0"/>
                <w:numId w:val="12"/>
              </w:numPr>
              <w:snapToGrid w:val="0"/>
              <w:rPr>
                <w:rFonts w:cstheme="minorHAnsi"/>
                <w:sz w:val="20"/>
                <w:szCs w:val="20"/>
                <w:lang w:val="en-US"/>
              </w:rPr>
            </w:pPr>
            <w:r w:rsidRPr="001A7426">
              <w:rPr>
                <w:rFonts w:cstheme="minorHAnsi"/>
                <w:sz w:val="20"/>
                <w:szCs w:val="20"/>
                <w:lang w:val="en-US"/>
              </w:rPr>
              <w:t>Daily: 2-year Treasury bond yields.</w:t>
            </w:r>
          </w:p>
          <w:p w14:paraId="04879200" w14:textId="77777777" w:rsidR="00FC6126" w:rsidRPr="001A7426" w:rsidRDefault="00FC6126">
            <w:pPr>
              <w:pStyle w:val="ListParagraph"/>
              <w:numPr>
                <w:ilvl w:val="0"/>
                <w:numId w:val="12"/>
              </w:numPr>
              <w:snapToGrid w:val="0"/>
              <w:rPr>
                <w:rFonts w:cstheme="minorHAnsi"/>
                <w:sz w:val="20"/>
                <w:szCs w:val="20"/>
                <w:lang w:val="en-US"/>
              </w:rPr>
            </w:pPr>
            <w:r w:rsidRPr="001A7426">
              <w:rPr>
                <w:rFonts w:cstheme="minorHAnsi"/>
                <w:sz w:val="20"/>
                <w:szCs w:val="20"/>
                <w:lang w:val="en-US"/>
              </w:rPr>
              <w:t>Monthly: Federal Funds rates, consumer credit data.</w:t>
            </w:r>
          </w:p>
          <w:p w14:paraId="5FF8B6A8" w14:textId="77777777" w:rsidR="00FC6126" w:rsidRPr="001A7426" w:rsidRDefault="00FC6126">
            <w:pPr>
              <w:pStyle w:val="ListParagraph"/>
              <w:numPr>
                <w:ilvl w:val="0"/>
                <w:numId w:val="12"/>
              </w:numPr>
              <w:snapToGrid w:val="0"/>
              <w:rPr>
                <w:rFonts w:cstheme="minorHAnsi"/>
                <w:sz w:val="20"/>
                <w:szCs w:val="20"/>
                <w:lang w:val="en-US"/>
              </w:rPr>
            </w:pPr>
            <w:r w:rsidRPr="001A7426">
              <w:rPr>
                <w:rFonts w:cstheme="minorHAnsi"/>
                <w:sz w:val="20"/>
                <w:szCs w:val="20"/>
                <w:lang w:val="en-US"/>
              </w:rPr>
              <w:t>Quarterly: GDP figures, corporate default rates.</w:t>
            </w:r>
          </w:p>
          <w:p w14:paraId="63842EC2" w14:textId="77777777" w:rsidR="00FC6126" w:rsidRPr="001A7426" w:rsidRDefault="00FC6126">
            <w:pPr>
              <w:pStyle w:val="ListParagraph"/>
              <w:numPr>
                <w:ilvl w:val="0"/>
                <w:numId w:val="12"/>
              </w:numPr>
              <w:snapToGrid w:val="0"/>
              <w:rPr>
                <w:rFonts w:cstheme="minorHAnsi"/>
                <w:sz w:val="20"/>
                <w:szCs w:val="20"/>
                <w:lang w:val="en-US"/>
              </w:rPr>
            </w:pPr>
            <w:r w:rsidRPr="001A7426">
              <w:rPr>
                <w:rFonts w:cstheme="minorHAnsi"/>
                <w:sz w:val="20"/>
                <w:szCs w:val="20"/>
                <w:lang w:val="en-US"/>
              </w:rPr>
              <w:t>Annually: Inflation data, monetary policy reports.</w:t>
            </w:r>
          </w:p>
        </w:tc>
      </w:tr>
      <w:tr w:rsidR="00FC6126" w14:paraId="20B7FC1D" w14:textId="77777777" w:rsidTr="00B14E20">
        <w:trPr>
          <w:trHeight w:val="47"/>
        </w:trPr>
        <w:tc>
          <w:tcPr>
            <w:tcW w:w="0" w:type="auto"/>
            <w:vMerge/>
            <w:shd w:val="clear" w:color="auto" w:fill="F2F2F2" w:themeFill="background1" w:themeFillShade="F2"/>
            <w:vAlign w:val="center"/>
          </w:tcPr>
          <w:p w14:paraId="417DBC88" w14:textId="77777777" w:rsidR="00FC6126" w:rsidRPr="00071CD0" w:rsidRDefault="00FC6126" w:rsidP="00B14E20">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tcPr>
          <w:p w14:paraId="0FB686B9" w14:textId="77777777" w:rsidR="00FC6126" w:rsidRPr="00071CD0" w:rsidRDefault="00FC6126" w:rsidP="00B14E20">
            <w:pPr>
              <w:pStyle w:val="ListParagraph"/>
              <w:snapToGrid w:val="0"/>
              <w:ind w:left="0"/>
              <w:contextualSpacing w:val="0"/>
              <w:rPr>
                <w:rFonts w:cstheme="minorHAnsi"/>
                <w:b/>
                <w:bCs/>
                <w:sz w:val="20"/>
                <w:szCs w:val="20"/>
                <w:lang w:val="en-US"/>
              </w:rPr>
            </w:pPr>
          </w:p>
        </w:tc>
        <w:tc>
          <w:tcPr>
            <w:tcW w:w="0" w:type="auto"/>
            <w:vMerge/>
            <w:shd w:val="clear" w:color="auto" w:fill="F2F2F2" w:themeFill="background1" w:themeFillShade="F2"/>
            <w:vAlign w:val="center"/>
          </w:tcPr>
          <w:p w14:paraId="685B2E76" w14:textId="77777777" w:rsidR="00FC6126" w:rsidRPr="00071CD0" w:rsidRDefault="00FC6126" w:rsidP="00B14E20">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0D125B1C"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4</w:t>
            </w:r>
          </w:p>
        </w:tc>
        <w:tc>
          <w:tcPr>
            <w:tcW w:w="0" w:type="auto"/>
            <w:shd w:val="clear" w:color="auto" w:fill="F2F2F2" w:themeFill="background1" w:themeFillShade="F2"/>
          </w:tcPr>
          <w:p w14:paraId="143DE66A"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class</w:t>
            </w:r>
          </w:p>
        </w:tc>
        <w:tc>
          <w:tcPr>
            <w:tcW w:w="11047" w:type="dxa"/>
            <w:shd w:val="clear" w:color="auto" w:fill="auto"/>
          </w:tcPr>
          <w:p w14:paraId="25BD2E8D" w14:textId="77777777" w:rsidR="00FC6126" w:rsidRPr="00CF56EB" w:rsidRDefault="00FC6126">
            <w:pPr>
              <w:pStyle w:val="ListParagraph"/>
              <w:numPr>
                <w:ilvl w:val="0"/>
                <w:numId w:val="36"/>
              </w:numPr>
              <w:snapToGrid w:val="0"/>
              <w:rPr>
                <w:rFonts w:cstheme="minorHAnsi"/>
                <w:sz w:val="20"/>
                <w:szCs w:val="20"/>
                <w:lang w:val="en-US"/>
              </w:rPr>
            </w:pPr>
            <w:r w:rsidRPr="00CF56EB">
              <w:rPr>
                <w:rFonts w:cstheme="minorHAnsi"/>
                <w:sz w:val="20"/>
                <w:szCs w:val="20"/>
                <w:lang w:val="en-US"/>
              </w:rPr>
              <w:t>Structured: Standardized numerical data such as yields and interest rates.</w:t>
            </w:r>
          </w:p>
          <w:p w14:paraId="65AF99FB" w14:textId="70CF8BFE" w:rsidR="00FC6126" w:rsidRPr="00CF56EB" w:rsidRDefault="00FC6126">
            <w:pPr>
              <w:pStyle w:val="ListParagraph"/>
              <w:numPr>
                <w:ilvl w:val="0"/>
                <w:numId w:val="36"/>
              </w:numPr>
              <w:snapToGrid w:val="0"/>
              <w:rPr>
                <w:rFonts w:cstheme="minorHAnsi"/>
                <w:sz w:val="20"/>
                <w:szCs w:val="20"/>
                <w:lang w:val="en-US"/>
              </w:rPr>
            </w:pPr>
            <w:r w:rsidRPr="00CF56EB">
              <w:rPr>
                <w:rFonts w:cstheme="minorHAnsi"/>
                <w:sz w:val="20"/>
                <w:szCs w:val="20"/>
                <w:lang w:val="en-US"/>
              </w:rPr>
              <w:t xml:space="preserve">Unstructured: Textual data like </w:t>
            </w:r>
            <w:r w:rsidR="003F6067">
              <w:rPr>
                <w:rFonts w:cstheme="minorHAnsi"/>
                <w:sz w:val="20"/>
                <w:szCs w:val="20"/>
                <w:lang w:val="en-US"/>
              </w:rPr>
              <w:t xml:space="preserve">tweets from social media, </w:t>
            </w:r>
            <w:r w:rsidRPr="00CF56EB">
              <w:rPr>
                <w:rFonts w:cstheme="minorHAnsi"/>
                <w:sz w:val="20"/>
                <w:szCs w:val="20"/>
                <w:lang w:val="en-US"/>
              </w:rPr>
              <w:t>news articles or Federal Reserve minutes.</w:t>
            </w:r>
          </w:p>
          <w:p w14:paraId="1CB32C52" w14:textId="77777777" w:rsidR="00FC6126" w:rsidRPr="00CF56EB" w:rsidRDefault="00FC6126">
            <w:pPr>
              <w:pStyle w:val="ListParagraph"/>
              <w:numPr>
                <w:ilvl w:val="0"/>
                <w:numId w:val="36"/>
              </w:numPr>
              <w:snapToGrid w:val="0"/>
              <w:rPr>
                <w:rFonts w:cstheme="minorHAnsi"/>
                <w:sz w:val="20"/>
                <w:szCs w:val="20"/>
                <w:lang w:val="en-US"/>
              </w:rPr>
            </w:pPr>
            <w:r w:rsidRPr="00CF56EB">
              <w:rPr>
                <w:rFonts w:cstheme="minorHAnsi"/>
                <w:sz w:val="20"/>
                <w:szCs w:val="20"/>
                <w:lang w:val="en-US"/>
              </w:rPr>
              <w:t>Time-Series: Chronologically ordered data like bond yields and interest rates over time.</w:t>
            </w:r>
          </w:p>
        </w:tc>
      </w:tr>
      <w:tr w:rsidR="00FC6126" w14:paraId="41F0C161" w14:textId="77777777" w:rsidTr="00B14E20">
        <w:trPr>
          <w:trHeight w:val="47"/>
        </w:trPr>
        <w:tc>
          <w:tcPr>
            <w:tcW w:w="0" w:type="auto"/>
            <w:vMerge/>
            <w:shd w:val="clear" w:color="auto" w:fill="F2F2F2" w:themeFill="background1" w:themeFillShade="F2"/>
            <w:vAlign w:val="center"/>
          </w:tcPr>
          <w:p w14:paraId="4D4FB276" w14:textId="77777777" w:rsidR="00FC6126" w:rsidRPr="00071CD0" w:rsidRDefault="00FC6126" w:rsidP="00B14E20">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tcPr>
          <w:p w14:paraId="057E2F1D" w14:textId="77777777" w:rsidR="00FC6126" w:rsidRPr="00071CD0" w:rsidRDefault="00FC6126" w:rsidP="00B14E20">
            <w:pPr>
              <w:pStyle w:val="ListParagraph"/>
              <w:snapToGrid w:val="0"/>
              <w:ind w:left="0"/>
              <w:contextualSpacing w:val="0"/>
              <w:rPr>
                <w:rFonts w:cstheme="minorHAnsi"/>
                <w:b/>
                <w:bCs/>
                <w:sz w:val="20"/>
                <w:szCs w:val="20"/>
                <w:lang w:val="en-US"/>
              </w:rPr>
            </w:pPr>
          </w:p>
        </w:tc>
        <w:tc>
          <w:tcPr>
            <w:tcW w:w="0" w:type="auto"/>
            <w:vMerge/>
            <w:shd w:val="clear" w:color="auto" w:fill="F2F2F2" w:themeFill="background1" w:themeFillShade="F2"/>
            <w:vAlign w:val="center"/>
          </w:tcPr>
          <w:p w14:paraId="54E221A2" w14:textId="77777777" w:rsidR="00FC6126" w:rsidRPr="00071CD0" w:rsidRDefault="00FC6126" w:rsidP="00B14E20">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0231233D"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5</w:t>
            </w:r>
          </w:p>
        </w:tc>
        <w:tc>
          <w:tcPr>
            <w:tcW w:w="0" w:type="auto"/>
            <w:shd w:val="clear" w:color="auto" w:fill="F2F2F2" w:themeFill="background1" w:themeFillShade="F2"/>
          </w:tcPr>
          <w:p w14:paraId="32219767"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source</w:t>
            </w:r>
          </w:p>
        </w:tc>
        <w:tc>
          <w:tcPr>
            <w:tcW w:w="11047" w:type="dxa"/>
            <w:shd w:val="clear" w:color="auto" w:fill="auto"/>
          </w:tcPr>
          <w:p w14:paraId="4DBA25C2" w14:textId="77777777" w:rsidR="00FC6126" w:rsidRPr="004A27CB" w:rsidRDefault="00FC6126">
            <w:pPr>
              <w:pStyle w:val="ListParagraph"/>
              <w:numPr>
                <w:ilvl w:val="0"/>
                <w:numId w:val="11"/>
              </w:numPr>
              <w:snapToGrid w:val="0"/>
              <w:rPr>
                <w:rFonts w:cstheme="minorHAnsi"/>
                <w:sz w:val="20"/>
                <w:szCs w:val="20"/>
                <w:lang w:val="en-US"/>
              </w:rPr>
            </w:pPr>
            <w:r w:rsidRPr="004A27CB">
              <w:rPr>
                <w:rFonts w:cstheme="minorHAnsi"/>
                <w:sz w:val="20"/>
                <w:szCs w:val="20"/>
                <w:lang w:val="en-US"/>
              </w:rPr>
              <w:t>Government Institutions: Federal Reserve, U.S. Treasury, Bureau of Labor Statistics.</w:t>
            </w:r>
          </w:p>
          <w:p w14:paraId="79475E10" w14:textId="77777777" w:rsidR="00FC6126" w:rsidRPr="004A27CB" w:rsidRDefault="00FC6126">
            <w:pPr>
              <w:pStyle w:val="ListParagraph"/>
              <w:numPr>
                <w:ilvl w:val="0"/>
                <w:numId w:val="11"/>
              </w:numPr>
              <w:snapToGrid w:val="0"/>
              <w:rPr>
                <w:rFonts w:cstheme="minorHAnsi"/>
                <w:sz w:val="20"/>
                <w:szCs w:val="20"/>
                <w:lang w:val="en-US"/>
              </w:rPr>
            </w:pPr>
            <w:r w:rsidRPr="004A27CB">
              <w:rPr>
                <w:rFonts w:cstheme="minorHAnsi"/>
                <w:sz w:val="20"/>
                <w:szCs w:val="20"/>
                <w:lang w:val="en-US"/>
              </w:rPr>
              <w:t>Credit Rating Agencies: Moody’s, Standard &amp; Poor’s.</w:t>
            </w:r>
          </w:p>
          <w:p w14:paraId="41F07CCE" w14:textId="77777777" w:rsidR="00FC6126" w:rsidRPr="004A27CB" w:rsidRDefault="00FC6126">
            <w:pPr>
              <w:pStyle w:val="ListParagraph"/>
              <w:numPr>
                <w:ilvl w:val="0"/>
                <w:numId w:val="11"/>
              </w:numPr>
              <w:snapToGrid w:val="0"/>
              <w:rPr>
                <w:rFonts w:cstheme="minorHAnsi"/>
                <w:sz w:val="20"/>
                <w:szCs w:val="20"/>
                <w:lang w:val="en-US"/>
              </w:rPr>
            </w:pPr>
            <w:r w:rsidRPr="004A27CB">
              <w:rPr>
                <w:rFonts w:cstheme="minorHAnsi"/>
                <w:sz w:val="20"/>
                <w:szCs w:val="20"/>
                <w:lang w:val="en-US"/>
              </w:rPr>
              <w:t>Financial News Outlets: For qualitative data such as market sentiment.</w:t>
            </w:r>
          </w:p>
        </w:tc>
      </w:tr>
      <w:tr w:rsidR="00FC6126" w14:paraId="25DCF03B" w14:textId="77777777" w:rsidTr="00B14E20">
        <w:trPr>
          <w:trHeight w:val="47"/>
        </w:trPr>
        <w:tc>
          <w:tcPr>
            <w:tcW w:w="0" w:type="auto"/>
            <w:vMerge/>
            <w:shd w:val="clear" w:color="auto" w:fill="F2F2F2" w:themeFill="background1" w:themeFillShade="F2"/>
            <w:vAlign w:val="center"/>
          </w:tcPr>
          <w:p w14:paraId="4C377836" w14:textId="77777777" w:rsidR="00FC6126" w:rsidRPr="00071CD0" w:rsidRDefault="00FC6126" w:rsidP="00B14E20">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tcPr>
          <w:p w14:paraId="070B7E85" w14:textId="77777777" w:rsidR="00FC6126" w:rsidRPr="00071CD0" w:rsidRDefault="00FC6126" w:rsidP="00B14E20">
            <w:pPr>
              <w:pStyle w:val="ListParagraph"/>
              <w:snapToGrid w:val="0"/>
              <w:ind w:left="0"/>
              <w:contextualSpacing w:val="0"/>
              <w:rPr>
                <w:rFonts w:cstheme="minorHAnsi"/>
                <w:b/>
                <w:bCs/>
                <w:sz w:val="20"/>
                <w:szCs w:val="20"/>
                <w:lang w:val="en-US"/>
              </w:rPr>
            </w:pPr>
          </w:p>
        </w:tc>
        <w:tc>
          <w:tcPr>
            <w:tcW w:w="0" w:type="auto"/>
            <w:vMerge/>
            <w:shd w:val="clear" w:color="auto" w:fill="F2F2F2" w:themeFill="background1" w:themeFillShade="F2"/>
            <w:vAlign w:val="center"/>
          </w:tcPr>
          <w:p w14:paraId="5F01720E" w14:textId="77777777" w:rsidR="00FC6126" w:rsidRPr="00071CD0" w:rsidRDefault="00FC6126" w:rsidP="00B14E20">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558176B3"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6</w:t>
            </w:r>
          </w:p>
        </w:tc>
        <w:tc>
          <w:tcPr>
            <w:tcW w:w="0" w:type="auto"/>
            <w:shd w:val="clear" w:color="auto" w:fill="F2F2F2" w:themeFill="background1" w:themeFillShade="F2"/>
          </w:tcPr>
          <w:p w14:paraId="62B39548" w14:textId="77777777" w:rsidR="00FC6126" w:rsidRPr="00071CD0" w:rsidRDefault="00FC6126" w:rsidP="00B14E20">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 xml:space="preserve">Data </w:t>
            </w:r>
            <w:r>
              <w:rPr>
                <w:rFonts w:cstheme="minorHAnsi"/>
                <w:b/>
                <w:bCs/>
                <w:sz w:val="20"/>
                <w:szCs w:val="20"/>
                <w:lang w:val="en-US"/>
              </w:rPr>
              <w:t>v</w:t>
            </w:r>
            <w:r w:rsidRPr="00071CD0">
              <w:rPr>
                <w:rFonts w:cstheme="minorHAnsi"/>
                <w:b/>
                <w:bCs/>
                <w:sz w:val="20"/>
                <w:szCs w:val="20"/>
                <w:lang w:val="en-US"/>
              </w:rPr>
              <w:t>ariety</w:t>
            </w:r>
          </w:p>
        </w:tc>
        <w:tc>
          <w:tcPr>
            <w:tcW w:w="11047" w:type="dxa"/>
            <w:shd w:val="clear" w:color="auto" w:fill="auto"/>
          </w:tcPr>
          <w:p w14:paraId="1E72C659" w14:textId="77777777" w:rsidR="00FC6126" w:rsidRPr="001A7426" w:rsidRDefault="00FC6126">
            <w:pPr>
              <w:pStyle w:val="ListParagraph"/>
              <w:numPr>
                <w:ilvl w:val="0"/>
                <w:numId w:val="10"/>
              </w:numPr>
              <w:snapToGrid w:val="0"/>
              <w:rPr>
                <w:rFonts w:cstheme="minorHAnsi"/>
                <w:sz w:val="20"/>
                <w:szCs w:val="20"/>
                <w:lang w:val="en-US"/>
              </w:rPr>
            </w:pPr>
            <w:r w:rsidRPr="001A7426">
              <w:rPr>
                <w:rFonts w:cstheme="minorHAnsi"/>
                <w:sz w:val="20"/>
                <w:szCs w:val="20"/>
                <w:lang w:val="en-US"/>
              </w:rPr>
              <w:t>Cross-sectional Data: Data captured at a single point, useful for comparative analyses.</w:t>
            </w:r>
          </w:p>
          <w:p w14:paraId="342FF9FB" w14:textId="77777777" w:rsidR="00FC6126" w:rsidRPr="001A7426" w:rsidRDefault="00FC6126">
            <w:pPr>
              <w:pStyle w:val="ListParagraph"/>
              <w:numPr>
                <w:ilvl w:val="0"/>
                <w:numId w:val="10"/>
              </w:numPr>
              <w:snapToGrid w:val="0"/>
              <w:rPr>
                <w:rFonts w:cstheme="minorHAnsi"/>
                <w:sz w:val="20"/>
                <w:szCs w:val="20"/>
                <w:lang w:val="en-US"/>
              </w:rPr>
            </w:pPr>
            <w:r w:rsidRPr="001A7426">
              <w:rPr>
                <w:rFonts w:cstheme="minorHAnsi"/>
                <w:sz w:val="20"/>
                <w:szCs w:val="20"/>
                <w:lang w:val="en-US"/>
              </w:rPr>
              <w:t>Longitudinal Data: Data collected over multiple time periods, ideal for trend analysis.</w:t>
            </w:r>
          </w:p>
          <w:p w14:paraId="2F95EE1F" w14:textId="77777777" w:rsidR="00FC6126" w:rsidRPr="001A7426" w:rsidRDefault="00FC6126">
            <w:pPr>
              <w:pStyle w:val="ListParagraph"/>
              <w:numPr>
                <w:ilvl w:val="0"/>
                <w:numId w:val="10"/>
              </w:numPr>
              <w:snapToGrid w:val="0"/>
              <w:rPr>
                <w:rFonts w:cstheme="minorHAnsi"/>
                <w:sz w:val="20"/>
                <w:szCs w:val="20"/>
                <w:lang w:val="en-US"/>
              </w:rPr>
            </w:pPr>
            <w:r w:rsidRPr="001A7426">
              <w:rPr>
                <w:rFonts w:cstheme="minorHAnsi"/>
                <w:sz w:val="20"/>
                <w:szCs w:val="20"/>
                <w:lang w:val="en-US"/>
              </w:rPr>
              <w:t>Big Data: Voluminous transactional data relevant for market depth or credit utilization patterns.</w:t>
            </w:r>
          </w:p>
        </w:tc>
      </w:tr>
    </w:tbl>
    <w:p w14:paraId="27F8E086" w14:textId="77777777" w:rsidR="00FC6126" w:rsidRPr="008E76F3" w:rsidRDefault="00FC6126" w:rsidP="00FC6126">
      <w:pPr>
        <w:pStyle w:val="ListParagraph"/>
        <w:snapToGrid w:val="0"/>
        <w:spacing w:after="0" w:line="240" w:lineRule="auto"/>
        <w:ind w:left="936"/>
        <w:contextualSpacing w:val="0"/>
        <w:rPr>
          <w:rFonts w:cstheme="minorHAnsi"/>
          <w:sz w:val="20"/>
          <w:szCs w:val="20"/>
          <w:lang w:val="en-US"/>
        </w:rPr>
      </w:pPr>
    </w:p>
    <w:p w14:paraId="11CA4D66" w14:textId="77777777" w:rsidR="00FC6126" w:rsidRDefault="00FC6126" w:rsidP="00FC6126">
      <w:pPr>
        <w:pStyle w:val="ListParagraph"/>
        <w:snapToGrid w:val="0"/>
        <w:spacing w:after="0" w:line="240" w:lineRule="auto"/>
        <w:ind w:left="936"/>
        <w:contextualSpacing w:val="0"/>
        <w:rPr>
          <w:rFonts w:cstheme="minorHAnsi"/>
          <w:b/>
          <w:bCs/>
          <w:sz w:val="20"/>
          <w:szCs w:val="20"/>
          <w:lang w:val="en-US"/>
        </w:rPr>
      </w:pPr>
    </w:p>
    <w:p w14:paraId="1907F7EE" w14:textId="77777777" w:rsidR="00FC6126" w:rsidRDefault="00FC6126" w:rsidP="00FC6126">
      <w:pPr>
        <w:pStyle w:val="ListParagraph"/>
        <w:snapToGrid w:val="0"/>
        <w:spacing w:after="0" w:line="240" w:lineRule="auto"/>
        <w:ind w:left="936"/>
        <w:contextualSpacing w:val="0"/>
        <w:rPr>
          <w:rFonts w:cstheme="minorHAnsi"/>
          <w:b/>
          <w:bCs/>
          <w:sz w:val="20"/>
          <w:szCs w:val="20"/>
          <w:lang w:val="en-US"/>
        </w:rPr>
      </w:pPr>
    </w:p>
    <w:p w14:paraId="48A3AEC2" w14:textId="77777777" w:rsidR="006745FD" w:rsidRDefault="006745FD" w:rsidP="006745FD">
      <w:pPr>
        <w:pStyle w:val="ListParagraph"/>
        <w:snapToGrid w:val="0"/>
        <w:spacing w:after="0" w:line="240" w:lineRule="auto"/>
        <w:ind w:left="936"/>
        <w:contextualSpacing w:val="0"/>
        <w:rPr>
          <w:rFonts w:cstheme="minorHAnsi"/>
          <w:b/>
          <w:bCs/>
          <w:sz w:val="20"/>
          <w:szCs w:val="20"/>
          <w:lang w:val="en-US"/>
        </w:rPr>
      </w:pPr>
    </w:p>
    <w:p w14:paraId="4A741FB1" w14:textId="77777777" w:rsidR="006745FD" w:rsidRDefault="006745FD" w:rsidP="006745FD">
      <w:pPr>
        <w:pStyle w:val="ListParagraph"/>
        <w:snapToGrid w:val="0"/>
        <w:spacing w:after="0" w:line="240" w:lineRule="auto"/>
        <w:ind w:left="936"/>
        <w:contextualSpacing w:val="0"/>
        <w:rPr>
          <w:rFonts w:cstheme="minorHAnsi"/>
          <w:b/>
          <w:bCs/>
          <w:sz w:val="20"/>
          <w:szCs w:val="20"/>
          <w:lang w:val="en-US"/>
        </w:rPr>
      </w:pPr>
    </w:p>
    <w:p w14:paraId="63F0B39F" w14:textId="77777777" w:rsidR="006745FD" w:rsidRDefault="006745FD" w:rsidP="006745FD">
      <w:pPr>
        <w:pStyle w:val="ListParagraph"/>
        <w:snapToGrid w:val="0"/>
        <w:spacing w:after="0" w:line="240" w:lineRule="auto"/>
        <w:ind w:left="936"/>
        <w:contextualSpacing w:val="0"/>
        <w:rPr>
          <w:rFonts w:cstheme="minorHAnsi"/>
          <w:b/>
          <w:bCs/>
          <w:sz w:val="20"/>
          <w:szCs w:val="20"/>
          <w:lang w:val="en-US"/>
        </w:rPr>
      </w:pPr>
    </w:p>
    <w:p w14:paraId="2427D14D" w14:textId="77777777" w:rsidR="006745FD" w:rsidRDefault="006745FD" w:rsidP="006745FD">
      <w:pPr>
        <w:pStyle w:val="ListParagraph"/>
        <w:snapToGrid w:val="0"/>
        <w:spacing w:after="0" w:line="240" w:lineRule="auto"/>
        <w:ind w:left="936"/>
        <w:contextualSpacing w:val="0"/>
        <w:rPr>
          <w:rFonts w:cstheme="minorHAnsi"/>
          <w:b/>
          <w:bCs/>
          <w:sz w:val="20"/>
          <w:szCs w:val="20"/>
          <w:lang w:val="en-US"/>
        </w:rPr>
      </w:pPr>
    </w:p>
    <w:p w14:paraId="26953816" w14:textId="77777777" w:rsidR="006745FD" w:rsidRDefault="006745FD" w:rsidP="006745FD">
      <w:pPr>
        <w:pStyle w:val="ListParagraph"/>
        <w:snapToGrid w:val="0"/>
        <w:spacing w:after="0" w:line="240" w:lineRule="auto"/>
        <w:ind w:left="936"/>
        <w:contextualSpacing w:val="0"/>
        <w:rPr>
          <w:rFonts w:cstheme="minorHAnsi"/>
          <w:b/>
          <w:bCs/>
          <w:sz w:val="20"/>
          <w:szCs w:val="20"/>
          <w:lang w:val="en-US"/>
        </w:rPr>
      </w:pPr>
    </w:p>
    <w:p w14:paraId="0355D6AE" w14:textId="77777777" w:rsidR="004453FB" w:rsidRDefault="004453FB" w:rsidP="006745FD">
      <w:pPr>
        <w:pStyle w:val="ListParagraph"/>
        <w:snapToGrid w:val="0"/>
        <w:spacing w:after="0" w:line="240" w:lineRule="auto"/>
        <w:ind w:left="936"/>
        <w:contextualSpacing w:val="0"/>
        <w:rPr>
          <w:rFonts w:cstheme="minorHAnsi"/>
          <w:b/>
          <w:bCs/>
          <w:sz w:val="20"/>
          <w:szCs w:val="20"/>
          <w:lang w:val="en-US"/>
        </w:rPr>
      </w:pPr>
    </w:p>
    <w:p w14:paraId="0BDD4781"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5E9E7C11"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0D8D5E09"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2ABE178F"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1BDE4712"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3AE669AC" w14:textId="77777777" w:rsidR="006C164C" w:rsidRPr="006903AC" w:rsidRDefault="006C164C" w:rsidP="006903AC">
      <w:pPr>
        <w:snapToGrid w:val="0"/>
        <w:spacing w:after="0" w:line="240" w:lineRule="auto"/>
        <w:rPr>
          <w:rFonts w:cstheme="minorHAnsi"/>
          <w:b/>
          <w:bCs/>
          <w:sz w:val="20"/>
          <w:szCs w:val="20"/>
          <w:lang w:val="en-US"/>
        </w:rPr>
      </w:pPr>
    </w:p>
    <w:p w14:paraId="3470CD6B" w14:textId="77777777" w:rsidR="006C164C" w:rsidRPr="00616AA8" w:rsidRDefault="006C164C" w:rsidP="006C164C">
      <w:pPr>
        <w:pStyle w:val="ListParagraph"/>
        <w:numPr>
          <w:ilvl w:val="1"/>
          <w:numId w:val="1"/>
        </w:numPr>
        <w:snapToGrid w:val="0"/>
        <w:spacing w:after="0" w:line="240" w:lineRule="auto"/>
        <w:contextualSpacing w:val="0"/>
        <w:rPr>
          <w:rFonts w:cstheme="minorHAnsi"/>
          <w:b/>
          <w:bCs/>
          <w:u w:val="single"/>
          <w:lang w:val="en-US"/>
        </w:rPr>
      </w:pPr>
      <w:r w:rsidRPr="0025710F">
        <w:rPr>
          <w:rFonts w:cstheme="minorHAnsi"/>
          <w:b/>
          <w:bCs/>
          <w:sz w:val="24"/>
          <w:szCs w:val="24"/>
          <w:lang w:val="en-US"/>
        </w:rPr>
        <w:t>Student:</w:t>
      </w:r>
      <w:r w:rsidRPr="0025710F">
        <w:rPr>
          <w:rFonts w:cstheme="minorHAnsi"/>
          <w:b/>
          <w:bCs/>
          <w:sz w:val="24"/>
          <w:szCs w:val="24"/>
        </w:rPr>
        <w:t xml:space="preserve"> </w:t>
      </w:r>
      <w:r w:rsidRPr="0025710F">
        <w:rPr>
          <w:rFonts w:cstheme="minorHAnsi"/>
          <w:b/>
          <w:bCs/>
          <w:sz w:val="24"/>
          <w:szCs w:val="24"/>
          <w:lang w:val="en-US"/>
        </w:rPr>
        <w:t xml:space="preserve">Ebenezer - Illiquid Security Investment </w:t>
      </w:r>
    </w:p>
    <w:p w14:paraId="668544DB" w14:textId="77777777" w:rsidR="006C164C" w:rsidRDefault="006C164C" w:rsidP="006C164C">
      <w:pPr>
        <w:pStyle w:val="ListParagraph"/>
        <w:snapToGrid w:val="0"/>
        <w:spacing w:after="0" w:line="240" w:lineRule="auto"/>
        <w:ind w:left="936"/>
        <w:contextualSpacing w:val="0"/>
        <w:rPr>
          <w:rFonts w:cstheme="minorHAnsi"/>
          <w:b/>
          <w:bCs/>
          <w:sz w:val="20"/>
          <w:szCs w:val="20"/>
          <w:lang w:val="en-US"/>
        </w:rPr>
      </w:pPr>
    </w:p>
    <w:tbl>
      <w:tblPr>
        <w:tblStyle w:val="TableGrid"/>
        <w:tblW w:w="0" w:type="auto"/>
        <w:tblLook w:val="04A0" w:firstRow="1" w:lastRow="0" w:firstColumn="1" w:lastColumn="0" w:noHBand="0" w:noVBand="1"/>
      </w:tblPr>
      <w:tblGrid>
        <w:gridCol w:w="473"/>
        <w:gridCol w:w="318"/>
        <w:gridCol w:w="1762"/>
        <w:gridCol w:w="318"/>
        <w:gridCol w:w="1470"/>
        <w:gridCol w:w="11047"/>
      </w:tblGrid>
      <w:tr w:rsidR="006C164C" w14:paraId="3784A850" w14:textId="77777777" w:rsidTr="00AA0FA4">
        <w:trPr>
          <w:trHeight w:val="374"/>
        </w:trPr>
        <w:tc>
          <w:tcPr>
            <w:tcW w:w="0" w:type="auto"/>
            <w:gridSpan w:val="3"/>
            <w:shd w:val="clear" w:color="auto" w:fill="F2F2F2" w:themeFill="background1" w:themeFillShade="F2"/>
            <w:vAlign w:val="center"/>
          </w:tcPr>
          <w:p w14:paraId="21AF6E3C" w14:textId="77777777" w:rsidR="006C164C" w:rsidRPr="00071CD0" w:rsidRDefault="006C164C" w:rsidP="00AA0FA4">
            <w:pPr>
              <w:snapToGrid w:val="0"/>
              <w:jc w:val="center"/>
              <w:rPr>
                <w:rFonts w:cstheme="minorHAnsi"/>
                <w:b/>
                <w:bCs/>
                <w:sz w:val="20"/>
                <w:szCs w:val="20"/>
                <w:lang w:val="en-US"/>
              </w:rPr>
            </w:pPr>
            <w:r w:rsidRPr="00071CD0">
              <w:rPr>
                <w:rFonts w:cstheme="minorHAnsi"/>
                <w:b/>
                <w:bCs/>
                <w:sz w:val="20"/>
                <w:szCs w:val="20"/>
                <w:lang w:val="en-US"/>
              </w:rPr>
              <w:t>Table 3.</w:t>
            </w:r>
          </w:p>
        </w:tc>
        <w:tc>
          <w:tcPr>
            <w:tcW w:w="13171" w:type="dxa"/>
            <w:gridSpan w:val="3"/>
            <w:shd w:val="clear" w:color="auto" w:fill="F2F2F2" w:themeFill="background1" w:themeFillShade="F2"/>
            <w:vAlign w:val="center"/>
          </w:tcPr>
          <w:p w14:paraId="6224C41E" w14:textId="77777777" w:rsidR="006C164C" w:rsidRPr="00071CD0" w:rsidRDefault="006C164C" w:rsidP="00AA0FA4">
            <w:pPr>
              <w:pStyle w:val="ListParagraph"/>
              <w:snapToGrid w:val="0"/>
              <w:ind w:left="0"/>
              <w:contextualSpacing w:val="0"/>
              <w:jc w:val="center"/>
              <w:rPr>
                <w:rFonts w:cstheme="minorHAnsi"/>
                <w:b/>
                <w:bCs/>
                <w:sz w:val="20"/>
                <w:szCs w:val="20"/>
                <w:lang w:val="en-US"/>
              </w:rPr>
            </w:pPr>
            <w:r w:rsidRPr="00071CD0">
              <w:rPr>
                <w:rFonts w:cstheme="minorHAnsi"/>
                <w:b/>
                <w:bCs/>
                <w:sz w:val="20"/>
                <w:szCs w:val="20"/>
                <w:lang w:val="en-US"/>
              </w:rPr>
              <w:t>Data C</w:t>
            </w:r>
            <w:r>
              <w:rPr>
                <w:rFonts w:cstheme="minorHAnsi"/>
                <w:b/>
                <w:bCs/>
                <w:sz w:val="20"/>
                <w:szCs w:val="20"/>
                <w:lang w:val="en-US"/>
              </w:rPr>
              <w:t>haracteristics C</w:t>
            </w:r>
            <w:r w:rsidRPr="00071CD0">
              <w:rPr>
                <w:rFonts w:cstheme="minorHAnsi"/>
                <w:b/>
                <w:bCs/>
                <w:sz w:val="20"/>
                <w:szCs w:val="20"/>
                <w:lang w:val="en-US"/>
              </w:rPr>
              <w:t>ollection</w:t>
            </w:r>
            <w:r>
              <w:rPr>
                <w:rFonts w:cstheme="minorHAnsi"/>
                <w:b/>
                <w:bCs/>
                <w:sz w:val="20"/>
                <w:szCs w:val="20"/>
                <w:lang w:val="en-US"/>
              </w:rPr>
              <w:t xml:space="preserve"> for </w:t>
            </w:r>
            <w:r w:rsidRPr="00D80918">
              <w:rPr>
                <w:rFonts w:cstheme="minorHAnsi"/>
                <w:b/>
                <w:bCs/>
                <w:sz w:val="20"/>
                <w:szCs w:val="20"/>
                <w:lang w:val="en-US"/>
              </w:rPr>
              <w:t>Real Estate Investment</w:t>
            </w:r>
          </w:p>
        </w:tc>
      </w:tr>
      <w:tr w:rsidR="006C164C" w14:paraId="618D6153" w14:textId="77777777" w:rsidTr="00AA0FA4">
        <w:trPr>
          <w:trHeight w:val="27"/>
        </w:trPr>
        <w:tc>
          <w:tcPr>
            <w:tcW w:w="0" w:type="auto"/>
            <w:vMerge w:val="restart"/>
            <w:shd w:val="clear" w:color="auto" w:fill="F2F2F2" w:themeFill="background1" w:themeFillShade="F2"/>
            <w:textDirection w:val="btLr"/>
            <w:vAlign w:val="center"/>
          </w:tcPr>
          <w:p w14:paraId="7739D0BD" w14:textId="77777777" w:rsidR="006C164C" w:rsidRPr="00071CD0" w:rsidRDefault="006C164C" w:rsidP="00AA0FA4">
            <w:pPr>
              <w:pStyle w:val="ListParagraph"/>
              <w:snapToGrid w:val="0"/>
              <w:ind w:left="113" w:right="113"/>
              <w:contextualSpacing w:val="0"/>
              <w:jc w:val="center"/>
              <w:rPr>
                <w:rFonts w:cstheme="minorHAnsi"/>
                <w:b/>
                <w:bCs/>
                <w:sz w:val="20"/>
                <w:szCs w:val="20"/>
                <w:lang w:val="en-US"/>
              </w:rPr>
            </w:pPr>
            <w:r w:rsidRPr="00071CD0">
              <w:rPr>
                <w:rFonts w:cstheme="minorHAnsi"/>
                <w:b/>
                <w:bCs/>
                <w:sz w:val="20"/>
                <w:szCs w:val="20"/>
                <w:lang w:val="en-US"/>
              </w:rPr>
              <w:t>Scenario</w:t>
            </w:r>
          </w:p>
        </w:tc>
        <w:tc>
          <w:tcPr>
            <w:tcW w:w="0" w:type="auto"/>
            <w:vMerge w:val="restart"/>
            <w:shd w:val="clear" w:color="auto" w:fill="F2F2F2" w:themeFill="background1" w:themeFillShade="F2"/>
            <w:vAlign w:val="center"/>
          </w:tcPr>
          <w:p w14:paraId="0009CE09" w14:textId="77777777" w:rsidR="006C164C" w:rsidRPr="00071CD0" w:rsidRDefault="006C164C" w:rsidP="00AA0FA4">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6</w:t>
            </w:r>
          </w:p>
        </w:tc>
        <w:tc>
          <w:tcPr>
            <w:tcW w:w="0" w:type="auto"/>
            <w:vMerge w:val="restart"/>
            <w:shd w:val="clear" w:color="auto" w:fill="F2F2F2" w:themeFill="background1" w:themeFillShade="F2"/>
            <w:vAlign w:val="center"/>
          </w:tcPr>
          <w:p w14:paraId="1331EDFD" w14:textId="77777777" w:rsidR="006C164C" w:rsidRPr="00071CD0" w:rsidRDefault="006C164C" w:rsidP="00AA0FA4">
            <w:pPr>
              <w:pStyle w:val="ListParagraph"/>
              <w:snapToGrid w:val="0"/>
              <w:ind w:left="0"/>
              <w:contextualSpacing w:val="0"/>
              <w:rPr>
                <w:rFonts w:cstheme="minorHAnsi"/>
                <w:b/>
                <w:bCs/>
                <w:sz w:val="20"/>
                <w:szCs w:val="20"/>
                <w:lang w:val="en-US"/>
              </w:rPr>
            </w:pPr>
            <w:r w:rsidRPr="00D80918">
              <w:rPr>
                <w:rFonts w:cstheme="minorHAnsi"/>
                <w:b/>
                <w:bCs/>
                <w:sz w:val="20"/>
                <w:szCs w:val="20"/>
                <w:lang w:val="en-US"/>
              </w:rPr>
              <w:t>An illiquid security – Real Estate Investment</w:t>
            </w:r>
          </w:p>
        </w:tc>
        <w:tc>
          <w:tcPr>
            <w:tcW w:w="0" w:type="auto"/>
            <w:shd w:val="clear" w:color="auto" w:fill="F2F2F2" w:themeFill="background1" w:themeFillShade="F2"/>
          </w:tcPr>
          <w:p w14:paraId="7D83B7A8"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1</w:t>
            </w:r>
          </w:p>
        </w:tc>
        <w:tc>
          <w:tcPr>
            <w:tcW w:w="0" w:type="auto"/>
            <w:shd w:val="clear" w:color="auto" w:fill="F2F2F2" w:themeFill="background1" w:themeFillShade="F2"/>
          </w:tcPr>
          <w:p w14:paraId="4129B118"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type</w:t>
            </w:r>
          </w:p>
        </w:tc>
        <w:tc>
          <w:tcPr>
            <w:tcW w:w="11047" w:type="dxa"/>
            <w:shd w:val="clear" w:color="auto" w:fill="auto"/>
          </w:tcPr>
          <w:p w14:paraId="777BC04E" w14:textId="77777777" w:rsidR="006C164C" w:rsidRPr="000D0707" w:rsidRDefault="006C164C" w:rsidP="00AA0FA4">
            <w:pPr>
              <w:pStyle w:val="ListParagraph"/>
              <w:numPr>
                <w:ilvl w:val="0"/>
                <w:numId w:val="38"/>
              </w:numPr>
              <w:snapToGrid w:val="0"/>
              <w:contextualSpacing w:val="0"/>
              <w:rPr>
                <w:rFonts w:cstheme="minorHAnsi"/>
                <w:sz w:val="20"/>
                <w:szCs w:val="20"/>
                <w:lang w:val="en-US"/>
              </w:rPr>
            </w:pPr>
            <w:r w:rsidRPr="00E22F0A">
              <w:rPr>
                <w:rFonts w:cstheme="minorHAnsi"/>
                <w:sz w:val="20"/>
                <w:szCs w:val="20"/>
                <w:lang w:val="en-US"/>
              </w:rPr>
              <w:t>Real Estate Market Data</w:t>
            </w:r>
          </w:p>
        </w:tc>
      </w:tr>
      <w:tr w:rsidR="006C164C" w14:paraId="59D6DF56" w14:textId="77777777" w:rsidTr="00AA0FA4">
        <w:trPr>
          <w:trHeight w:val="23"/>
        </w:trPr>
        <w:tc>
          <w:tcPr>
            <w:tcW w:w="0" w:type="auto"/>
            <w:vMerge/>
            <w:shd w:val="clear" w:color="auto" w:fill="F2F2F2" w:themeFill="background1" w:themeFillShade="F2"/>
            <w:vAlign w:val="center"/>
          </w:tcPr>
          <w:p w14:paraId="07DBAA10"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1117D36D"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5A16A522" w14:textId="77777777" w:rsidR="006C164C" w:rsidRPr="00071CD0" w:rsidRDefault="006C164C" w:rsidP="00AA0FA4">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31C9ED75"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2</w:t>
            </w:r>
          </w:p>
        </w:tc>
        <w:tc>
          <w:tcPr>
            <w:tcW w:w="0" w:type="auto"/>
            <w:shd w:val="clear" w:color="auto" w:fill="F2F2F2" w:themeFill="background1" w:themeFillShade="F2"/>
          </w:tcPr>
          <w:p w14:paraId="2AA76EC2" w14:textId="77777777" w:rsidR="006C164C" w:rsidRPr="00071CD0" w:rsidRDefault="006C164C" w:rsidP="00AA0FA4">
            <w:pPr>
              <w:snapToGrid w:val="0"/>
              <w:rPr>
                <w:rFonts w:cstheme="minorHAnsi"/>
                <w:b/>
                <w:bCs/>
                <w:sz w:val="20"/>
                <w:szCs w:val="20"/>
                <w:lang w:val="en-US"/>
              </w:rPr>
            </w:pPr>
            <w:r w:rsidRPr="00071CD0">
              <w:rPr>
                <w:rFonts w:cstheme="minorHAnsi"/>
                <w:b/>
                <w:bCs/>
                <w:sz w:val="20"/>
                <w:szCs w:val="20"/>
                <w:lang w:val="en-US"/>
              </w:rPr>
              <w:t>Data preprocessing</w:t>
            </w:r>
          </w:p>
        </w:tc>
        <w:tc>
          <w:tcPr>
            <w:tcW w:w="11047" w:type="dxa"/>
            <w:shd w:val="clear" w:color="auto" w:fill="auto"/>
          </w:tcPr>
          <w:p w14:paraId="7450C65D" w14:textId="77777777" w:rsidR="006C164C" w:rsidRPr="009541EB" w:rsidRDefault="006C164C" w:rsidP="00AA0FA4">
            <w:pPr>
              <w:pStyle w:val="ListParagraph"/>
              <w:numPr>
                <w:ilvl w:val="0"/>
                <w:numId w:val="38"/>
              </w:numPr>
              <w:snapToGrid w:val="0"/>
              <w:rPr>
                <w:rFonts w:cstheme="minorHAnsi"/>
                <w:sz w:val="20"/>
                <w:szCs w:val="20"/>
                <w:lang w:val="en-US"/>
              </w:rPr>
            </w:pPr>
            <w:r>
              <w:rPr>
                <w:rFonts w:cstheme="minorHAnsi"/>
                <w:sz w:val="20"/>
                <w:szCs w:val="20"/>
                <w:lang w:val="en-US"/>
              </w:rPr>
              <w:t>Historical</w:t>
            </w:r>
            <w:r w:rsidRPr="009541EB">
              <w:rPr>
                <w:rFonts w:cstheme="minorHAnsi"/>
                <w:sz w:val="20"/>
                <w:szCs w:val="20"/>
                <w:lang w:val="en-US"/>
              </w:rPr>
              <w:t xml:space="preserve"> Prices</w:t>
            </w:r>
          </w:p>
        </w:tc>
      </w:tr>
      <w:tr w:rsidR="006C164C" w14:paraId="2788E64E" w14:textId="77777777" w:rsidTr="00AA0FA4">
        <w:trPr>
          <w:trHeight w:val="23"/>
        </w:trPr>
        <w:tc>
          <w:tcPr>
            <w:tcW w:w="0" w:type="auto"/>
            <w:vMerge/>
            <w:shd w:val="clear" w:color="auto" w:fill="F2F2F2" w:themeFill="background1" w:themeFillShade="F2"/>
            <w:vAlign w:val="center"/>
          </w:tcPr>
          <w:p w14:paraId="2342C255"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5325F36C"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71F84714" w14:textId="77777777" w:rsidR="006C164C" w:rsidRPr="00071CD0" w:rsidRDefault="006C164C" w:rsidP="00AA0FA4">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5CCBCA18"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3</w:t>
            </w:r>
          </w:p>
        </w:tc>
        <w:tc>
          <w:tcPr>
            <w:tcW w:w="0" w:type="auto"/>
            <w:shd w:val="clear" w:color="auto" w:fill="F2F2F2" w:themeFill="background1" w:themeFillShade="F2"/>
          </w:tcPr>
          <w:p w14:paraId="1114D011"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frequency</w:t>
            </w:r>
          </w:p>
        </w:tc>
        <w:tc>
          <w:tcPr>
            <w:tcW w:w="11047" w:type="dxa"/>
            <w:shd w:val="clear" w:color="auto" w:fill="auto"/>
          </w:tcPr>
          <w:p w14:paraId="667ECB61" w14:textId="77777777" w:rsidR="006C164C" w:rsidRDefault="006C164C" w:rsidP="00AA0FA4">
            <w:pPr>
              <w:pStyle w:val="ListParagraph"/>
              <w:numPr>
                <w:ilvl w:val="0"/>
                <w:numId w:val="40"/>
              </w:numPr>
              <w:snapToGrid w:val="0"/>
              <w:contextualSpacing w:val="0"/>
              <w:rPr>
                <w:rFonts w:cstheme="minorHAnsi"/>
                <w:sz w:val="20"/>
                <w:szCs w:val="20"/>
                <w:lang w:val="en-US"/>
              </w:rPr>
            </w:pPr>
            <w:r>
              <w:rPr>
                <w:rFonts w:cstheme="minorHAnsi"/>
                <w:sz w:val="20"/>
                <w:szCs w:val="20"/>
                <w:lang w:val="en-US"/>
              </w:rPr>
              <w:t>Daily</w:t>
            </w:r>
          </w:p>
          <w:p w14:paraId="294D32B7" w14:textId="77777777" w:rsidR="006C164C" w:rsidRDefault="006C164C" w:rsidP="00AA0FA4">
            <w:pPr>
              <w:pStyle w:val="ListParagraph"/>
              <w:numPr>
                <w:ilvl w:val="0"/>
                <w:numId w:val="40"/>
              </w:numPr>
              <w:snapToGrid w:val="0"/>
              <w:contextualSpacing w:val="0"/>
              <w:rPr>
                <w:rFonts w:cstheme="minorHAnsi"/>
                <w:sz w:val="20"/>
                <w:szCs w:val="20"/>
                <w:lang w:val="en-US"/>
              </w:rPr>
            </w:pPr>
            <w:r>
              <w:rPr>
                <w:rFonts w:cstheme="minorHAnsi"/>
                <w:sz w:val="20"/>
                <w:szCs w:val="20"/>
                <w:lang w:val="en-US"/>
              </w:rPr>
              <w:t>Intraday</w:t>
            </w:r>
          </w:p>
          <w:p w14:paraId="119F4E3B" w14:textId="77777777" w:rsidR="006C164C" w:rsidRPr="007306AF" w:rsidRDefault="006C164C" w:rsidP="00AA0FA4">
            <w:pPr>
              <w:pStyle w:val="ListParagraph"/>
              <w:numPr>
                <w:ilvl w:val="0"/>
                <w:numId w:val="40"/>
              </w:numPr>
              <w:snapToGrid w:val="0"/>
              <w:contextualSpacing w:val="0"/>
              <w:rPr>
                <w:rFonts w:cstheme="minorHAnsi"/>
                <w:sz w:val="20"/>
                <w:szCs w:val="20"/>
                <w:lang w:val="en-US"/>
              </w:rPr>
            </w:pPr>
            <w:r>
              <w:rPr>
                <w:rFonts w:cstheme="minorHAnsi"/>
                <w:sz w:val="20"/>
                <w:szCs w:val="20"/>
                <w:lang w:val="en-US"/>
              </w:rPr>
              <w:t xml:space="preserve">Weekly </w:t>
            </w:r>
          </w:p>
        </w:tc>
      </w:tr>
      <w:tr w:rsidR="006C164C" w14:paraId="377B29FC" w14:textId="77777777" w:rsidTr="00AA0FA4">
        <w:trPr>
          <w:trHeight w:val="23"/>
        </w:trPr>
        <w:tc>
          <w:tcPr>
            <w:tcW w:w="0" w:type="auto"/>
            <w:vMerge/>
            <w:shd w:val="clear" w:color="auto" w:fill="F2F2F2" w:themeFill="background1" w:themeFillShade="F2"/>
            <w:vAlign w:val="center"/>
          </w:tcPr>
          <w:p w14:paraId="49F81301"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4CFDF0F1"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451136C0" w14:textId="77777777" w:rsidR="006C164C" w:rsidRPr="00071CD0" w:rsidRDefault="006C164C" w:rsidP="00AA0FA4">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406E3E7D"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4</w:t>
            </w:r>
          </w:p>
        </w:tc>
        <w:tc>
          <w:tcPr>
            <w:tcW w:w="0" w:type="auto"/>
            <w:shd w:val="clear" w:color="auto" w:fill="F2F2F2" w:themeFill="background1" w:themeFillShade="F2"/>
          </w:tcPr>
          <w:p w14:paraId="606019F9"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class</w:t>
            </w:r>
          </w:p>
        </w:tc>
        <w:tc>
          <w:tcPr>
            <w:tcW w:w="11047" w:type="dxa"/>
            <w:shd w:val="clear" w:color="auto" w:fill="auto"/>
          </w:tcPr>
          <w:p w14:paraId="61D15A1E" w14:textId="77777777" w:rsidR="006C164C" w:rsidRPr="007306AF" w:rsidRDefault="006C164C" w:rsidP="00AA0FA4">
            <w:pPr>
              <w:pStyle w:val="ListParagraph"/>
              <w:numPr>
                <w:ilvl w:val="0"/>
                <w:numId w:val="40"/>
              </w:numPr>
              <w:snapToGrid w:val="0"/>
              <w:contextualSpacing w:val="0"/>
              <w:rPr>
                <w:rFonts w:cstheme="minorHAnsi"/>
                <w:sz w:val="20"/>
                <w:szCs w:val="20"/>
                <w:lang w:val="en-US"/>
              </w:rPr>
            </w:pPr>
            <w:r w:rsidRPr="00E22F0A">
              <w:rPr>
                <w:rFonts w:cstheme="minorHAnsi"/>
                <w:sz w:val="20"/>
                <w:szCs w:val="20"/>
                <w:lang w:val="en-US"/>
              </w:rPr>
              <w:t>Real Estate</w:t>
            </w:r>
          </w:p>
        </w:tc>
      </w:tr>
      <w:tr w:rsidR="006C164C" w14:paraId="71834EFB" w14:textId="77777777" w:rsidTr="00AA0FA4">
        <w:trPr>
          <w:trHeight w:val="23"/>
        </w:trPr>
        <w:tc>
          <w:tcPr>
            <w:tcW w:w="0" w:type="auto"/>
            <w:vMerge/>
            <w:shd w:val="clear" w:color="auto" w:fill="F2F2F2" w:themeFill="background1" w:themeFillShade="F2"/>
            <w:vAlign w:val="center"/>
          </w:tcPr>
          <w:p w14:paraId="0B067068"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111300AE"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210DBDD9" w14:textId="77777777" w:rsidR="006C164C" w:rsidRPr="00071CD0" w:rsidRDefault="006C164C" w:rsidP="00AA0FA4">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2738EEDF"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5</w:t>
            </w:r>
          </w:p>
        </w:tc>
        <w:tc>
          <w:tcPr>
            <w:tcW w:w="0" w:type="auto"/>
            <w:shd w:val="clear" w:color="auto" w:fill="F2F2F2" w:themeFill="background1" w:themeFillShade="F2"/>
          </w:tcPr>
          <w:p w14:paraId="4E30ADF6"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source</w:t>
            </w:r>
          </w:p>
        </w:tc>
        <w:tc>
          <w:tcPr>
            <w:tcW w:w="11047" w:type="dxa"/>
            <w:shd w:val="clear" w:color="auto" w:fill="auto"/>
          </w:tcPr>
          <w:p w14:paraId="3C8EA51D" w14:textId="77777777" w:rsidR="006C164C" w:rsidRDefault="006C164C" w:rsidP="00AA0FA4">
            <w:pPr>
              <w:pStyle w:val="ListParagraph"/>
              <w:numPr>
                <w:ilvl w:val="0"/>
                <w:numId w:val="40"/>
              </w:numPr>
              <w:snapToGrid w:val="0"/>
              <w:contextualSpacing w:val="0"/>
              <w:rPr>
                <w:rFonts w:cstheme="minorHAnsi"/>
                <w:sz w:val="20"/>
                <w:szCs w:val="20"/>
                <w:lang w:val="en-US"/>
              </w:rPr>
            </w:pPr>
            <w:r w:rsidRPr="00E22F0A">
              <w:rPr>
                <w:rFonts w:cstheme="minorHAnsi"/>
                <w:sz w:val="20"/>
                <w:szCs w:val="20"/>
                <w:lang w:val="en-US"/>
              </w:rPr>
              <w:t xml:space="preserve">Stock </w:t>
            </w:r>
            <w:r>
              <w:rPr>
                <w:rFonts w:cstheme="minorHAnsi"/>
                <w:sz w:val="20"/>
                <w:szCs w:val="20"/>
                <w:lang w:val="en-US"/>
              </w:rPr>
              <w:t>Market</w:t>
            </w:r>
          </w:p>
          <w:p w14:paraId="47610ED8" w14:textId="77777777" w:rsidR="006C164C" w:rsidRPr="006C7C1E" w:rsidRDefault="006C164C" w:rsidP="00AA0FA4">
            <w:pPr>
              <w:pStyle w:val="ListParagraph"/>
              <w:snapToGrid w:val="0"/>
              <w:ind w:left="360"/>
              <w:contextualSpacing w:val="0"/>
              <w:rPr>
                <w:rFonts w:cstheme="minorHAnsi"/>
                <w:sz w:val="20"/>
                <w:szCs w:val="20"/>
                <w:lang w:val="en-US"/>
              </w:rPr>
            </w:pPr>
          </w:p>
        </w:tc>
      </w:tr>
      <w:tr w:rsidR="006C164C" w14:paraId="55CD0DB1" w14:textId="77777777" w:rsidTr="00AA0FA4">
        <w:trPr>
          <w:trHeight w:val="23"/>
        </w:trPr>
        <w:tc>
          <w:tcPr>
            <w:tcW w:w="0" w:type="auto"/>
            <w:vMerge/>
            <w:shd w:val="clear" w:color="auto" w:fill="F2F2F2" w:themeFill="background1" w:themeFillShade="F2"/>
            <w:vAlign w:val="center"/>
          </w:tcPr>
          <w:p w14:paraId="5579DD35"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3F2814FE" w14:textId="77777777" w:rsidR="006C164C" w:rsidRPr="00071CD0" w:rsidRDefault="006C164C" w:rsidP="00AA0FA4">
            <w:pPr>
              <w:pStyle w:val="ListParagraph"/>
              <w:snapToGrid w:val="0"/>
              <w:ind w:left="0"/>
              <w:contextualSpacing w:val="0"/>
              <w:jc w:val="center"/>
              <w:rPr>
                <w:rFonts w:cstheme="minorHAnsi"/>
                <w:b/>
                <w:bCs/>
                <w:sz w:val="20"/>
                <w:szCs w:val="20"/>
                <w:lang w:val="en-US"/>
              </w:rPr>
            </w:pPr>
          </w:p>
        </w:tc>
        <w:tc>
          <w:tcPr>
            <w:tcW w:w="0" w:type="auto"/>
            <w:vMerge/>
            <w:shd w:val="clear" w:color="auto" w:fill="F2F2F2" w:themeFill="background1" w:themeFillShade="F2"/>
            <w:vAlign w:val="center"/>
          </w:tcPr>
          <w:p w14:paraId="7FBA2CD6" w14:textId="77777777" w:rsidR="006C164C" w:rsidRPr="00071CD0" w:rsidRDefault="006C164C" w:rsidP="00AA0FA4">
            <w:pPr>
              <w:pStyle w:val="ListParagraph"/>
              <w:snapToGrid w:val="0"/>
              <w:ind w:left="0"/>
              <w:contextualSpacing w:val="0"/>
              <w:rPr>
                <w:rFonts w:cstheme="minorHAnsi"/>
                <w:b/>
                <w:bCs/>
                <w:sz w:val="20"/>
                <w:szCs w:val="20"/>
                <w:lang w:val="en-US"/>
              </w:rPr>
            </w:pPr>
          </w:p>
        </w:tc>
        <w:tc>
          <w:tcPr>
            <w:tcW w:w="0" w:type="auto"/>
            <w:shd w:val="clear" w:color="auto" w:fill="F2F2F2" w:themeFill="background1" w:themeFillShade="F2"/>
          </w:tcPr>
          <w:p w14:paraId="24570268"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6</w:t>
            </w:r>
          </w:p>
        </w:tc>
        <w:tc>
          <w:tcPr>
            <w:tcW w:w="0" w:type="auto"/>
            <w:shd w:val="clear" w:color="auto" w:fill="F2F2F2" w:themeFill="background1" w:themeFillShade="F2"/>
          </w:tcPr>
          <w:p w14:paraId="39042294" w14:textId="77777777" w:rsidR="006C164C" w:rsidRPr="00071CD0" w:rsidRDefault="006C164C" w:rsidP="00AA0FA4">
            <w:pPr>
              <w:pStyle w:val="ListParagraph"/>
              <w:snapToGrid w:val="0"/>
              <w:ind w:left="0"/>
              <w:contextualSpacing w:val="0"/>
              <w:rPr>
                <w:rFonts w:cstheme="minorHAnsi"/>
                <w:b/>
                <w:bCs/>
                <w:sz w:val="20"/>
                <w:szCs w:val="20"/>
                <w:lang w:val="en-US"/>
              </w:rPr>
            </w:pPr>
            <w:r w:rsidRPr="00071CD0">
              <w:rPr>
                <w:rFonts w:cstheme="minorHAnsi"/>
                <w:b/>
                <w:bCs/>
                <w:sz w:val="20"/>
                <w:szCs w:val="20"/>
                <w:lang w:val="en-US"/>
              </w:rPr>
              <w:t>Data Variety</w:t>
            </w:r>
          </w:p>
        </w:tc>
        <w:tc>
          <w:tcPr>
            <w:tcW w:w="11047" w:type="dxa"/>
            <w:shd w:val="clear" w:color="auto" w:fill="auto"/>
          </w:tcPr>
          <w:p w14:paraId="6EAF5696" w14:textId="77777777" w:rsidR="006C164C" w:rsidRDefault="006C164C" w:rsidP="00AA0FA4">
            <w:pPr>
              <w:pStyle w:val="ListParagraph"/>
              <w:numPr>
                <w:ilvl w:val="0"/>
                <w:numId w:val="40"/>
              </w:numPr>
              <w:snapToGrid w:val="0"/>
              <w:contextualSpacing w:val="0"/>
              <w:rPr>
                <w:rFonts w:cstheme="minorHAnsi"/>
                <w:sz w:val="20"/>
                <w:szCs w:val="20"/>
                <w:lang w:val="en-US"/>
              </w:rPr>
            </w:pPr>
            <w:r>
              <w:rPr>
                <w:rFonts w:cstheme="minorHAnsi"/>
                <w:sz w:val="20"/>
                <w:szCs w:val="20"/>
                <w:lang w:val="en-US"/>
              </w:rPr>
              <w:t>Actual Prices</w:t>
            </w:r>
          </w:p>
          <w:p w14:paraId="5799BBFD" w14:textId="77777777" w:rsidR="006C164C" w:rsidRDefault="006C164C" w:rsidP="00AA0FA4">
            <w:pPr>
              <w:pStyle w:val="ListParagraph"/>
              <w:numPr>
                <w:ilvl w:val="0"/>
                <w:numId w:val="40"/>
              </w:numPr>
              <w:snapToGrid w:val="0"/>
              <w:contextualSpacing w:val="0"/>
              <w:rPr>
                <w:rFonts w:cstheme="minorHAnsi"/>
                <w:sz w:val="20"/>
                <w:szCs w:val="20"/>
                <w:lang w:val="en-US"/>
              </w:rPr>
            </w:pPr>
            <w:r>
              <w:rPr>
                <w:rFonts w:cstheme="minorHAnsi"/>
                <w:sz w:val="20"/>
                <w:szCs w:val="20"/>
                <w:lang w:val="en-US"/>
              </w:rPr>
              <w:t>Valuation</w:t>
            </w:r>
          </w:p>
          <w:p w14:paraId="3FCDD0B9" w14:textId="77777777" w:rsidR="006C164C" w:rsidRPr="00E22F0A" w:rsidRDefault="006C164C" w:rsidP="00AA0FA4">
            <w:pPr>
              <w:pStyle w:val="ListParagraph"/>
              <w:numPr>
                <w:ilvl w:val="0"/>
                <w:numId w:val="40"/>
              </w:numPr>
              <w:snapToGrid w:val="0"/>
              <w:contextualSpacing w:val="0"/>
              <w:rPr>
                <w:rFonts w:cstheme="minorHAnsi"/>
                <w:sz w:val="20"/>
                <w:szCs w:val="20"/>
                <w:lang w:val="en-US"/>
              </w:rPr>
            </w:pPr>
            <w:r>
              <w:rPr>
                <w:rFonts w:cstheme="minorHAnsi"/>
                <w:sz w:val="20"/>
                <w:szCs w:val="20"/>
                <w:lang w:val="en-US"/>
              </w:rPr>
              <w:t>Funding</w:t>
            </w:r>
          </w:p>
        </w:tc>
      </w:tr>
    </w:tbl>
    <w:p w14:paraId="369319E4" w14:textId="77777777" w:rsidR="006C164C" w:rsidRPr="009541EB" w:rsidRDefault="006C164C" w:rsidP="006C164C">
      <w:pPr>
        <w:snapToGrid w:val="0"/>
        <w:spacing w:after="0" w:line="240" w:lineRule="auto"/>
        <w:rPr>
          <w:rFonts w:cstheme="minorHAnsi"/>
          <w:b/>
          <w:bCs/>
          <w:sz w:val="20"/>
          <w:szCs w:val="20"/>
          <w:lang w:val="en-US"/>
        </w:rPr>
      </w:pPr>
    </w:p>
    <w:p w14:paraId="44550A75" w14:textId="77777777" w:rsidR="006C164C" w:rsidRDefault="006C164C" w:rsidP="006C164C">
      <w:pPr>
        <w:pStyle w:val="ListParagraph"/>
        <w:snapToGrid w:val="0"/>
        <w:spacing w:after="0" w:line="240" w:lineRule="auto"/>
        <w:ind w:left="936"/>
        <w:contextualSpacing w:val="0"/>
        <w:rPr>
          <w:rFonts w:cstheme="minorHAnsi"/>
          <w:b/>
          <w:bCs/>
          <w:sz w:val="20"/>
          <w:szCs w:val="20"/>
          <w:lang w:val="en-US"/>
        </w:rPr>
      </w:pPr>
    </w:p>
    <w:p w14:paraId="3080382F"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6823B2C2"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244FD39A"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268146BE"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7F03ED0D"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1B812A4C"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524CFFA7"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4FFC36D6"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7109E17D"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1201E230"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0BC3FB1B"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1D0CCB56"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75014CC1"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39821CEA"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31E3377B" w14:textId="77777777" w:rsidR="008D1B51" w:rsidRDefault="008D1B51" w:rsidP="006745FD">
      <w:pPr>
        <w:pStyle w:val="ListParagraph"/>
        <w:snapToGrid w:val="0"/>
        <w:spacing w:after="0" w:line="240" w:lineRule="auto"/>
        <w:ind w:left="936"/>
        <w:contextualSpacing w:val="0"/>
        <w:rPr>
          <w:rFonts w:cstheme="minorHAnsi"/>
          <w:b/>
          <w:bCs/>
          <w:sz w:val="20"/>
          <w:szCs w:val="20"/>
          <w:lang w:val="en-US"/>
        </w:rPr>
      </w:pPr>
    </w:p>
    <w:p w14:paraId="5E10279F" w14:textId="77777777" w:rsidR="004453FB" w:rsidRDefault="004453FB" w:rsidP="006745FD">
      <w:pPr>
        <w:pStyle w:val="ListParagraph"/>
        <w:snapToGrid w:val="0"/>
        <w:spacing w:after="0" w:line="240" w:lineRule="auto"/>
        <w:ind w:left="936"/>
        <w:contextualSpacing w:val="0"/>
        <w:rPr>
          <w:rFonts w:cstheme="minorHAnsi"/>
          <w:b/>
          <w:bCs/>
          <w:sz w:val="20"/>
          <w:szCs w:val="20"/>
          <w:lang w:val="en-US"/>
        </w:rPr>
      </w:pPr>
    </w:p>
    <w:p w14:paraId="1524D598" w14:textId="77777777" w:rsidR="00FD157D" w:rsidRDefault="00FD157D" w:rsidP="006745FD">
      <w:pPr>
        <w:pStyle w:val="ListParagraph"/>
        <w:snapToGrid w:val="0"/>
        <w:spacing w:after="0" w:line="240" w:lineRule="auto"/>
        <w:ind w:left="936"/>
        <w:contextualSpacing w:val="0"/>
        <w:rPr>
          <w:rFonts w:cstheme="minorHAnsi"/>
          <w:b/>
          <w:bCs/>
          <w:sz w:val="20"/>
          <w:szCs w:val="20"/>
          <w:lang w:val="en-US"/>
        </w:rPr>
      </w:pPr>
    </w:p>
    <w:p w14:paraId="72921EFA" w14:textId="77777777" w:rsidR="00FD157D" w:rsidRDefault="00FD157D" w:rsidP="006745FD">
      <w:pPr>
        <w:pStyle w:val="ListParagraph"/>
        <w:snapToGrid w:val="0"/>
        <w:spacing w:after="0" w:line="240" w:lineRule="auto"/>
        <w:ind w:left="936"/>
        <w:contextualSpacing w:val="0"/>
        <w:rPr>
          <w:rFonts w:cstheme="minorHAnsi"/>
          <w:b/>
          <w:bCs/>
          <w:sz w:val="20"/>
          <w:szCs w:val="20"/>
          <w:lang w:val="en-US"/>
        </w:rPr>
      </w:pPr>
    </w:p>
    <w:p w14:paraId="314B5C96" w14:textId="77777777" w:rsidR="00FD157D" w:rsidRDefault="00FD157D" w:rsidP="006745FD">
      <w:pPr>
        <w:pStyle w:val="ListParagraph"/>
        <w:snapToGrid w:val="0"/>
        <w:spacing w:after="0" w:line="240" w:lineRule="auto"/>
        <w:ind w:left="936"/>
        <w:contextualSpacing w:val="0"/>
        <w:rPr>
          <w:rFonts w:cstheme="minorHAnsi"/>
          <w:b/>
          <w:bCs/>
          <w:sz w:val="20"/>
          <w:szCs w:val="20"/>
          <w:lang w:val="en-US"/>
        </w:rPr>
      </w:pPr>
    </w:p>
    <w:p w14:paraId="2D4B1369" w14:textId="77777777" w:rsidR="00FD157D" w:rsidRDefault="00FD157D" w:rsidP="006745FD">
      <w:pPr>
        <w:pStyle w:val="ListParagraph"/>
        <w:snapToGrid w:val="0"/>
        <w:spacing w:after="0" w:line="240" w:lineRule="auto"/>
        <w:ind w:left="936"/>
        <w:contextualSpacing w:val="0"/>
        <w:rPr>
          <w:rFonts w:cstheme="minorHAnsi"/>
          <w:b/>
          <w:bCs/>
          <w:sz w:val="20"/>
          <w:szCs w:val="20"/>
          <w:lang w:val="en-US"/>
        </w:rPr>
      </w:pPr>
    </w:p>
    <w:p w14:paraId="5F0E5B57" w14:textId="77777777" w:rsidR="002332B0" w:rsidRDefault="00000000" w:rsidP="004E0E7D">
      <w:pPr>
        <w:pStyle w:val="ListParagraph"/>
        <w:numPr>
          <w:ilvl w:val="0"/>
          <w:numId w:val="1"/>
        </w:numPr>
        <w:snapToGrid w:val="0"/>
        <w:spacing w:after="0" w:line="240" w:lineRule="auto"/>
        <w:contextualSpacing w:val="0"/>
        <w:rPr>
          <w:rFonts w:cstheme="minorHAnsi"/>
          <w:b/>
          <w:bCs/>
          <w:sz w:val="28"/>
          <w:szCs w:val="28"/>
          <w:lang w:val="en-US"/>
        </w:rPr>
      </w:pPr>
      <w:r w:rsidRPr="00B32380">
        <w:rPr>
          <w:rFonts w:cstheme="minorHAnsi"/>
          <w:b/>
          <w:bCs/>
          <w:sz w:val="28"/>
          <w:szCs w:val="28"/>
          <w:lang w:val="en-US"/>
        </w:rPr>
        <w:lastRenderedPageBreak/>
        <w:t xml:space="preserve">Step </w:t>
      </w:r>
      <w:r w:rsidR="006D6DC6">
        <w:rPr>
          <w:rFonts w:cstheme="minorHAnsi"/>
          <w:b/>
          <w:bCs/>
          <w:sz w:val="28"/>
          <w:szCs w:val="28"/>
          <w:lang w:val="en-US"/>
        </w:rPr>
        <w:t>3</w:t>
      </w:r>
      <w:r w:rsidRPr="00B32380">
        <w:rPr>
          <w:rFonts w:cstheme="minorHAnsi"/>
          <w:b/>
          <w:bCs/>
          <w:sz w:val="28"/>
          <w:szCs w:val="28"/>
          <w:lang w:val="en-US"/>
        </w:rPr>
        <w:t xml:space="preserve">. </w:t>
      </w:r>
      <w:r w:rsidR="006D6DC6">
        <w:rPr>
          <w:rFonts w:cstheme="minorHAnsi"/>
          <w:b/>
          <w:bCs/>
          <w:sz w:val="28"/>
          <w:szCs w:val="28"/>
          <w:lang w:val="en-US"/>
        </w:rPr>
        <w:t xml:space="preserve">Ethical </w:t>
      </w:r>
      <w:r w:rsidR="000604C3">
        <w:rPr>
          <w:rFonts w:cstheme="minorHAnsi"/>
          <w:b/>
          <w:bCs/>
          <w:sz w:val="28"/>
          <w:szCs w:val="28"/>
          <w:lang w:val="en-US"/>
        </w:rPr>
        <w:t>C</w:t>
      </w:r>
      <w:r w:rsidR="009508B1">
        <w:rPr>
          <w:rFonts w:cstheme="minorHAnsi"/>
          <w:b/>
          <w:bCs/>
          <w:sz w:val="28"/>
          <w:szCs w:val="28"/>
          <w:lang w:val="en-US"/>
        </w:rPr>
        <w:t>onsideration</w:t>
      </w:r>
      <w:r w:rsidR="000604C3">
        <w:rPr>
          <w:rFonts w:cstheme="minorHAnsi"/>
          <w:b/>
          <w:bCs/>
          <w:sz w:val="28"/>
          <w:szCs w:val="28"/>
          <w:lang w:val="en-US"/>
        </w:rPr>
        <w:t xml:space="preserve"> and Its Undesirable Results </w:t>
      </w:r>
      <w:r w:rsidR="009508B1">
        <w:rPr>
          <w:rFonts w:cstheme="minorHAnsi"/>
          <w:b/>
          <w:bCs/>
          <w:sz w:val="28"/>
          <w:szCs w:val="28"/>
          <w:lang w:val="en-US"/>
        </w:rPr>
        <w:t xml:space="preserve">Based on </w:t>
      </w:r>
      <w:r w:rsidR="00DB449D">
        <w:rPr>
          <w:rFonts w:cstheme="minorHAnsi"/>
          <w:b/>
          <w:bCs/>
          <w:sz w:val="28"/>
          <w:szCs w:val="28"/>
          <w:lang w:val="en-US"/>
        </w:rPr>
        <w:t xml:space="preserve">Model and Crisis </w:t>
      </w:r>
      <w:r w:rsidR="006D6DC6">
        <w:rPr>
          <w:rFonts w:cstheme="minorHAnsi"/>
          <w:b/>
          <w:bCs/>
          <w:sz w:val="28"/>
          <w:szCs w:val="28"/>
          <w:lang w:val="en-US"/>
        </w:rPr>
        <w:t>Fallout</w:t>
      </w:r>
      <w:r w:rsidRPr="00B32380">
        <w:rPr>
          <w:rFonts w:cstheme="minorHAnsi"/>
          <w:b/>
          <w:bCs/>
          <w:sz w:val="28"/>
          <w:szCs w:val="28"/>
          <w:lang w:val="en-US"/>
        </w:rPr>
        <w:t xml:space="preserve"> </w:t>
      </w:r>
      <w:r w:rsidR="007D7B5F">
        <w:rPr>
          <w:rFonts w:cstheme="minorHAnsi"/>
          <w:b/>
          <w:bCs/>
          <w:sz w:val="28"/>
          <w:szCs w:val="28"/>
          <w:lang w:val="en-US"/>
        </w:rPr>
        <w:t>Risk</w:t>
      </w:r>
    </w:p>
    <w:p w14:paraId="44D2FA8A" w14:textId="77777777" w:rsidR="00CC5F74" w:rsidRPr="00F1738A" w:rsidRDefault="00000000" w:rsidP="004E0E7D">
      <w:pPr>
        <w:pStyle w:val="ListParagraph"/>
        <w:numPr>
          <w:ilvl w:val="1"/>
          <w:numId w:val="1"/>
        </w:numPr>
        <w:snapToGrid w:val="0"/>
        <w:spacing w:after="0" w:line="240" w:lineRule="auto"/>
        <w:contextualSpacing w:val="0"/>
        <w:rPr>
          <w:rFonts w:cstheme="minorHAnsi"/>
          <w:b/>
          <w:bCs/>
          <w:sz w:val="24"/>
          <w:szCs w:val="24"/>
          <w:lang w:val="en-US"/>
        </w:rPr>
      </w:pPr>
      <w:r w:rsidRPr="00F1738A">
        <w:rPr>
          <w:rFonts w:cstheme="minorHAnsi"/>
          <w:b/>
          <w:bCs/>
          <w:sz w:val="24"/>
          <w:szCs w:val="24"/>
          <w:lang w:val="en-US"/>
        </w:rPr>
        <w:t>Student:</w:t>
      </w:r>
      <w:r w:rsidRPr="00F1738A">
        <w:rPr>
          <w:rFonts w:cstheme="minorHAnsi"/>
          <w:b/>
          <w:bCs/>
          <w:sz w:val="24"/>
          <w:szCs w:val="24"/>
        </w:rPr>
        <w:t xml:space="preserve"> </w:t>
      </w:r>
      <w:r w:rsidRPr="00F1738A">
        <w:rPr>
          <w:rFonts w:cstheme="minorHAnsi"/>
          <w:b/>
          <w:bCs/>
          <w:sz w:val="24"/>
          <w:szCs w:val="24"/>
          <w:lang w:val="en-US"/>
        </w:rPr>
        <w:t xml:space="preserve">Oratile Personal unsecured loan at a fixed rate – Credit Card. </w:t>
      </w:r>
    </w:p>
    <w:tbl>
      <w:tblPr>
        <w:tblW w:w="0" w:type="auto"/>
        <w:tblCellMar>
          <w:top w:w="15" w:type="dxa"/>
          <w:left w:w="15" w:type="dxa"/>
          <w:bottom w:w="15" w:type="dxa"/>
          <w:right w:w="15" w:type="dxa"/>
        </w:tblCellMar>
        <w:tblLook w:val="04A0" w:firstRow="1" w:lastRow="0" w:firstColumn="1" w:lastColumn="0" w:noHBand="0" w:noVBand="1"/>
      </w:tblPr>
      <w:tblGrid>
        <w:gridCol w:w="1132"/>
        <w:gridCol w:w="6554"/>
        <w:gridCol w:w="7702"/>
      </w:tblGrid>
      <w:tr w:rsidR="00FD157D" w:rsidRPr="00FD157D" w14:paraId="4B70AEFC" w14:textId="77777777" w:rsidTr="004E0E7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93DF0"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9E9D8"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ETHICAL CHALLENGES</w:t>
            </w:r>
          </w:p>
        </w:tc>
        <w:tc>
          <w:tcPr>
            <w:tcW w:w="7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CCC27"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UNDESIRABLE RESULTS</w:t>
            </w:r>
          </w:p>
        </w:tc>
      </w:tr>
      <w:tr w:rsidR="00FD157D" w:rsidRPr="00FD157D" w14:paraId="6F6F524D" w14:textId="77777777" w:rsidTr="004E0E7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5E9F1"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C87B6"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High-Interest Rates and Fees: Credit card companies often charge high-interest rates and fees, especially to individuals with lower credit scores. This can lead to concerns about the ethics of profiting from individuals who may be financially vulnerable.</w:t>
            </w:r>
          </w:p>
          <w:p w14:paraId="7E8F1DB1"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53730191"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Unsolicited Credit Card Offers: The practice of sending unsolicited credit card offers, especially to individuals who may not have the financial means to manage credit responsibly, can be seen as ethically questionable.</w:t>
            </w:r>
          </w:p>
          <w:p w14:paraId="7E0FF1A9"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44B6E65E"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Credit Limit Increases: Automatically increasing a cardholder's credit limit without their request can lead to excessive debt accumulation. Some consumers may view this practice as unethical because it encourages overspending.</w:t>
            </w:r>
          </w:p>
          <w:p w14:paraId="37B0754C"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0790B396"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Credit Scoring and Discrimination: The use of credit scoring models can sometimes result in discrimination against certain demographic groups, as these models may unfairly disadvantage individuals based on factors beyond their control, such as race, gender, or age.</w:t>
            </w:r>
          </w:p>
          <w:p w14:paraId="55464633"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04000206"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High Penalties for Late Payments: Some credit card companies impose steep penalties and increased interest rates for late payments. These high fees can be seen as punitive and potentially exploitative, especially for individuals who face financial difficulties.</w:t>
            </w:r>
          </w:p>
          <w:p w14:paraId="0F5A5E73"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18E61315"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Data Privacy and Security: Credit card companies are custodians of sensitive financial data. Ensuring the ethical treatment and protection of this data is crucial to maintaining trust with consumers.</w:t>
            </w:r>
          </w:p>
          <w:p w14:paraId="4D76D409" w14:textId="77777777" w:rsidR="00FD157D" w:rsidRPr="00FD157D" w:rsidRDefault="00FD157D" w:rsidP="00FD157D">
            <w:pPr>
              <w:spacing w:after="240" w:line="240" w:lineRule="auto"/>
              <w:rPr>
                <w:rFonts w:ascii="Times New Roman" w:eastAsia="Times New Roman" w:hAnsi="Times New Roman" w:cs="Times New Roman"/>
                <w:kern w:val="0"/>
                <w:sz w:val="24"/>
                <w:szCs w:val="24"/>
                <w14:ligatures w14:val="none"/>
              </w:rPr>
            </w:pPr>
          </w:p>
        </w:tc>
        <w:tc>
          <w:tcPr>
            <w:tcW w:w="7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13B14"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Accumulation of Debt: One of the most common undesirable outcomes is the accumulation of high-interest debt. Credit cards often have high annual percentage rates (APRs), and when cardholders carry a balance from month to month, interest charges can quickly add up, making it challenging to pay down the debt.</w:t>
            </w:r>
          </w:p>
          <w:p w14:paraId="443457FD"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27206A11"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High Interest Costs: Credit card interest rates can be significantly higher than other forms of borrowing, such as personal loans or mortgages. Cardholders who carry a balance end up paying substantial interest charges, which can make credit card debt very expensive over time.</w:t>
            </w:r>
          </w:p>
          <w:p w14:paraId="2191C9E5"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70FB271C"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Overdraft Fees: Overusing a credit card, especially when there isn't enough money in the associated bank account to cover the payment, can result in overdraft fees and other bank charges.</w:t>
            </w:r>
          </w:p>
          <w:p w14:paraId="6E1863F7"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38BFF23E"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Impact on Retirement Savings: Using credit cards to finance expenses can divert funds away from retirement savings. Instead of building wealth for the future, individuals may find themselves focusing on debt repayment.</w:t>
            </w:r>
          </w:p>
          <w:p w14:paraId="36BD0393"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0C3EEA15"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Compromised Financial Goals: High credit card debt can hinder individuals from achieving their financial goals, such as homeownership, starting a business, or pursuing higher education.</w:t>
            </w:r>
          </w:p>
          <w:p w14:paraId="64A6ECA3"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72D10E37"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Loss of Assets: In cases of severe delinquency or default, credit card issuers may take legal action to collect the debt, which could result in the seizure of assets or legal judgments.</w:t>
            </w:r>
          </w:p>
          <w:p w14:paraId="591B4E7D"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079EEAA7"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Bankruptcy: Extreme cases of credit card debt can lead to personal bankruptcy, which has long-term financial and legal consequences.</w:t>
            </w:r>
          </w:p>
          <w:p w14:paraId="769CC8F4"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77D632FF"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Limited Access to Emergency Funds: If an individual's credit card is already heavily utilized, it may not be available as an emergency source of funds during unexpected financial crises.</w:t>
            </w:r>
          </w:p>
        </w:tc>
      </w:tr>
    </w:tbl>
    <w:p w14:paraId="4A4DDA29" w14:textId="77777777" w:rsidR="00CC5F74" w:rsidRDefault="00000000" w:rsidP="004E0E7D">
      <w:pPr>
        <w:pStyle w:val="ListParagraph"/>
        <w:numPr>
          <w:ilvl w:val="1"/>
          <w:numId w:val="1"/>
        </w:numPr>
        <w:snapToGrid w:val="0"/>
        <w:spacing w:after="0" w:line="240" w:lineRule="auto"/>
        <w:contextualSpacing w:val="0"/>
        <w:rPr>
          <w:rFonts w:cstheme="minorHAnsi"/>
          <w:b/>
          <w:bCs/>
          <w:sz w:val="24"/>
          <w:szCs w:val="24"/>
          <w:lang w:val="en-US"/>
        </w:rPr>
      </w:pPr>
      <w:r w:rsidRPr="00805D9D">
        <w:rPr>
          <w:rFonts w:cstheme="minorHAnsi"/>
          <w:b/>
          <w:bCs/>
          <w:sz w:val="24"/>
          <w:szCs w:val="24"/>
          <w:lang w:val="en-US"/>
        </w:rPr>
        <w:lastRenderedPageBreak/>
        <w:t>Student:</w:t>
      </w:r>
      <w:r w:rsidRPr="00805D9D">
        <w:rPr>
          <w:rFonts w:cstheme="minorHAnsi"/>
          <w:b/>
          <w:bCs/>
          <w:sz w:val="24"/>
          <w:szCs w:val="24"/>
        </w:rPr>
        <w:t xml:space="preserve"> </w:t>
      </w:r>
      <w:r w:rsidRPr="00805D9D">
        <w:rPr>
          <w:rFonts w:cstheme="minorHAnsi"/>
          <w:b/>
          <w:bCs/>
          <w:sz w:val="24"/>
          <w:szCs w:val="24"/>
          <w:lang w:val="en-US"/>
        </w:rPr>
        <w:t xml:space="preserve">Oratile Personal unsecured loan at a floating rate – Car or Home Loan. </w:t>
      </w:r>
    </w:p>
    <w:p w14:paraId="67524B5B" w14:textId="77777777" w:rsidR="00827284" w:rsidRPr="00805D9D" w:rsidRDefault="00827284" w:rsidP="00827284">
      <w:pPr>
        <w:pStyle w:val="ListParagraph"/>
        <w:snapToGrid w:val="0"/>
        <w:spacing w:after="0" w:line="240" w:lineRule="auto"/>
        <w:ind w:left="936"/>
        <w:contextualSpacing w:val="0"/>
        <w:rPr>
          <w:rFonts w:cstheme="minorHAnsi"/>
          <w:b/>
          <w:bCs/>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2"/>
        <w:gridCol w:w="8150"/>
        <w:gridCol w:w="6106"/>
      </w:tblGrid>
      <w:tr w:rsidR="00FD157D" w:rsidRPr="00FD157D" w14:paraId="2D9E5844" w14:textId="77777777" w:rsidTr="00FD157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F01ED" w14:textId="77777777" w:rsidR="00FD157D" w:rsidRPr="00FD157D" w:rsidRDefault="00FD157D" w:rsidP="00BE79BC">
            <w:pPr>
              <w:spacing w:after="0" w:line="240" w:lineRule="auto"/>
              <w:rPr>
                <w:rFonts w:ascii="Calibri" w:eastAsia="Times New Roman" w:hAnsi="Calibri" w:cs="Calibri"/>
                <w:color w:val="000000"/>
                <w:kern w:val="0"/>
                <w14:ligatures w14:val="none"/>
              </w:rPr>
            </w:pPr>
            <w:r w:rsidRPr="00FD157D">
              <w:rPr>
                <w:rFonts w:ascii="Calibri" w:eastAsia="Times New Roman" w:hAnsi="Calibri" w:cs="Calibri"/>
                <w:color w:val="000000"/>
                <w:kern w:val="0"/>
                <w14:ligatures w14:val="none"/>
              </w:rPr>
              <w:t>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9B8EB" w14:textId="77777777" w:rsidR="00FD157D" w:rsidRPr="00FD157D" w:rsidRDefault="00FD157D" w:rsidP="00BE79BC">
            <w:pPr>
              <w:spacing w:after="0" w:line="240" w:lineRule="auto"/>
              <w:rPr>
                <w:rFonts w:ascii="Calibri" w:eastAsia="Times New Roman" w:hAnsi="Calibri" w:cs="Calibri"/>
                <w:color w:val="000000"/>
                <w:kern w:val="0"/>
                <w14:ligatures w14:val="none"/>
              </w:rPr>
            </w:pPr>
            <w:r w:rsidRPr="00FD157D">
              <w:rPr>
                <w:rFonts w:ascii="Calibri" w:eastAsia="Times New Roman" w:hAnsi="Calibri" w:cs="Calibri"/>
                <w:color w:val="000000"/>
                <w:kern w:val="0"/>
                <w14:ligatures w14:val="none"/>
              </w:rPr>
              <w:t>ETHICAL CHALLENGES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7BE59" w14:textId="77777777" w:rsidR="00FD157D" w:rsidRPr="00FD157D" w:rsidRDefault="00FD157D" w:rsidP="00BE79BC">
            <w:pPr>
              <w:spacing w:after="0" w:line="240" w:lineRule="auto"/>
              <w:rPr>
                <w:rFonts w:ascii="Calibri" w:eastAsia="Times New Roman" w:hAnsi="Calibri" w:cs="Calibri"/>
                <w:color w:val="000000"/>
                <w:kern w:val="0"/>
                <w14:ligatures w14:val="none"/>
              </w:rPr>
            </w:pPr>
            <w:r w:rsidRPr="00FD157D">
              <w:rPr>
                <w:rFonts w:ascii="Calibri" w:eastAsia="Times New Roman" w:hAnsi="Calibri" w:cs="Calibri"/>
                <w:color w:val="000000"/>
                <w:kern w:val="0"/>
                <w14:ligatures w14:val="none"/>
              </w:rPr>
              <w:t>UNDESIRABLE RESULTS</w:t>
            </w:r>
          </w:p>
        </w:tc>
      </w:tr>
      <w:tr w:rsidR="00FD157D" w:rsidRPr="00FD157D" w14:paraId="1A77B020" w14:textId="77777777" w:rsidTr="00FD157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BA7A5"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B5BC7" w14:textId="4DC154FA"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 xml:space="preserve">Predatory lending practices involve taking advantage of vulnerable borrowers by offering them loans with exorbitant interest rates, hidden fees, and </w:t>
            </w:r>
            <w:r w:rsidR="0091773F" w:rsidRPr="00FD157D">
              <w:rPr>
                <w:rFonts w:ascii="Calibri" w:eastAsia="Times New Roman" w:hAnsi="Calibri" w:cs="Calibri"/>
                <w:color w:val="000000"/>
                <w:kern w:val="0"/>
                <w14:ligatures w14:val="none"/>
              </w:rPr>
              <w:t>unfavourable</w:t>
            </w:r>
            <w:r w:rsidRPr="00FD157D">
              <w:rPr>
                <w:rFonts w:ascii="Calibri" w:eastAsia="Times New Roman" w:hAnsi="Calibri" w:cs="Calibri"/>
                <w:color w:val="000000"/>
                <w:kern w:val="0"/>
                <w14:ligatures w14:val="none"/>
              </w:rPr>
              <w:t xml:space="preserve"> terms. These practices can lead to financial distress and hardship for borrowers and are widely regarded as unethical.</w:t>
            </w:r>
          </w:p>
          <w:p w14:paraId="5E4CBE6D"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41325355"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Discrimination:</w:t>
            </w:r>
          </w:p>
          <w:p w14:paraId="42B3C7C2" w14:textId="4C61ED72"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 xml:space="preserve">Lenders must adhere to anti-discrimination laws, such as the Fair Housing Act and the Equal Credit Opportunity Act. Discriminatory practices in lending, such as redlining (denying loans based on the racial or ethnic composition of a </w:t>
            </w:r>
            <w:r w:rsidR="0091773F" w:rsidRPr="00FD157D">
              <w:rPr>
                <w:rFonts w:ascii="Calibri" w:eastAsia="Times New Roman" w:hAnsi="Calibri" w:cs="Calibri"/>
                <w:color w:val="000000"/>
                <w:kern w:val="0"/>
                <w14:ligatures w14:val="none"/>
              </w:rPr>
              <w:t>neighbourhood</w:t>
            </w:r>
            <w:r w:rsidRPr="00FD157D">
              <w:rPr>
                <w:rFonts w:ascii="Calibri" w:eastAsia="Times New Roman" w:hAnsi="Calibri" w:cs="Calibri"/>
                <w:color w:val="000000"/>
                <w:kern w:val="0"/>
                <w14:ligatures w14:val="none"/>
              </w:rPr>
              <w:t>) or gender-based discrimination, are unethical and illegal.</w:t>
            </w:r>
          </w:p>
          <w:p w14:paraId="06033C31"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4528C7B1"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Hidden Fees and Misleading Terms:</w:t>
            </w:r>
          </w:p>
          <w:p w14:paraId="4881AB5D"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Failing to provide clear and transparent information about loan terms, including fees and interest rates, can be considered unethical. Borrowers have a right to understand the true cost of their loans before making financial commitments.</w:t>
            </w:r>
          </w:p>
          <w:p w14:paraId="3197F55D"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2DACBDD0"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Inadequate Risk Assessment:</w:t>
            </w:r>
          </w:p>
          <w:p w14:paraId="56FAA3E9"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When lenders approve loans for borrowers who are unlikely to repay, it raises ethical concerns. This can lead to financial hardships for borrowers and potential economic instability.</w:t>
            </w:r>
          </w:p>
          <w:p w14:paraId="686F0931"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06C09E0E"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Lack of Fair Access to Credit:</w:t>
            </w:r>
          </w:p>
          <w:p w14:paraId="267C3F3A"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Unequal access to credit based on socioeconomic factors or geographic location can be considered an ethical challenge. All borrowers should have a fair opportunity to access loans.</w:t>
            </w:r>
          </w:p>
          <w:p w14:paraId="07925A22"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14987776"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Conflicts of Interest:</w:t>
            </w:r>
          </w:p>
          <w:p w14:paraId="382BAAAE"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Financial institutions may face ethical challenges when they prioritize their own profits over the best interests of borrowers. This includes steering borrowers toward loans that generate higher fees or commissions for the lender.</w:t>
            </w:r>
          </w:p>
          <w:p w14:paraId="7E3FB39E" w14:textId="77777777" w:rsidR="00FD157D" w:rsidRDefault="00FD157D" w:rsidP="00FD157D">
            <w:pPr>
              <w:spacing w:after="0" w:line="240" w:lineRule="auto"/>
              <w:rPr>
                <w:rFonts w:ascii="Times New Roman" w:eastAsia="Times New Roman" w:hAnsi="Times New Roman" w:cs="Times New Roman"/>
                <w:kern w:val="0"/>
                <w:sz w:val="24"/>
                <w:szCs w:val="24"/>
                <w14:ligatures w14:val="none"/>
              </w:rPr>
            </w:pPr>
          </w:p>
          <w:p w14:paraId="3B0B856A" w14:textId="77777777" w:rsidR="00FD157D" w:rsidRDefault="00FD157D" w:rsidP="00FD157D">
            <w:pPr>
              <w:spacing w:after="0" w:line="240" w:lineRule="auto"/>
              <w:rPr>
                <w:rFonts w:ascii="Times New Roman" w:eastAsia="Times New Roman" w:hAnsi="Times New Roman" w:cs="Times New Roman"/>
                <w:kern w:val="0"/>
                <w:sz w:val="24"/>
                <w:szCs w:val="24"/>
                <w14:ligatures w14:val="none"/>
              </w:rPr>
            </w:pPr>
          </w:p>
          <w:p w14:paraId="5041A5EB" w14:textId="77777777" w:rsidR="00FD157D" w:rsidRDefault="00FD157D" w:rsidP="00FD157D">
            <w:pPr>
              <w:spacing w:after="0" w:line="240" w:lineRule="auto"/>
              <w:rPr>
                <w:rFonts w:ascii="Times New Roman" w:eastAsia="Times New Roman" w:hAnsi="Times New Roman" w:cs="Times New Roman"/>
                <w:kern w:val="0"/>
                <w:sz w:val="24"/>
                <w:szCs w:val="24"/>
                <w14:ligatures w14:val="none"/>
              </w:rPr>
            </w:pPr>
          </w:p>
          <w:p w14:paraId="33D41EA2"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6CDAAF81"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Environmental Impact (Auto Loans):</w:t>
            </w:r>
          </w:p>
          <w:p w14:paraId="1C8BD27D"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The ethical concerns surrounding auto loans may also include considerations of environmental impact. Lenders providing financing for vehicles with poor fuel efficiency or those contributing to air pollution can face ethical dilemmas.</w:t>
            </w:r>
          </w:p>
          <w:p w14:paraId="3B16CB2B"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747D0E94"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Responsible Repossession (Auto Loans):</w:t>
            </w:r>
          </w:p>
          <w:p w14:paraId="4845EE59" w14:textId="77777777" w:rsidR="00FD157D" w:rsidRDefault="00FD157D" w:rsidP="00FD157D">
            <w:pPr>
              <w:spacing w:after="0" w:line="240" w:lineRule="auto"/>
              <w:rPr>
                <w:rFonts w:ascii="Calibri" w:eastAsia="Times New Roman" w:hAnsi="Calibri" w:cs="Calibri"/>
                <w:color w:val="000000"/>
                <w:kern w:val="0"/>
                <w14:ligatures w14:val="none"/>
              </w:rPr>
            </w:pPr>
            <w:r w:rsidRPr="00FD157D">
              <w:rPr>
                <w:rFonts w:ascii="Calibri" w:eastAsia="Times New Roman" w:hAnsi="Calibri" w:cs="Calibri"/>
                <w:color w:val="000000"/>
                <w:kern w:val="0"/>
                <w14:ligatures w14:val="none"/>
              </w:rPr>
              <w:t>In the case of auto loans, repossessing vehicles from borrowers in financial distress must be done ethically and legally. Unfair or aggressive repossession practices are seen as unethical.</w:t>
            </w:r>
          </w:p>
          <w:p w14:paraId="46E4F76C" w14:textId="77777777" w:rsidR="008E61D0" w:rsidRDefault="008E61D0" w:rsidP="00FD157D">
            <w:pPr>
              <w:spacing w:after="0" w:line="240" w:lineRule="auto"/>
              <w:rPr>
                <w:rFonts w:ascii="Calibri" w:eastAsia="Times New Roman" w:hAnsi="Calibri" w:cs="Calibri"/>
                <w:color w:val="000000"/>
                <w:kern w:val="0"/>
                <w14:ligatures w14:val="none"/>
              </w:rPr>
            </w:pPr>
          </w:p>
          <w:p w14:paraId="7CA53B6C"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5A195"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lastRenderedPageBreak/>
              <w:t>Financial Distress: Taking on excessive debt through home or automobile loans can lead to financial stress and potential insolvency. High monthly payments and interest costs may strain a borrower's budget.</w:t>
            </w:r>
          </w:p>
          <w:p w14:paraId="2974BB01"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7E36E216"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Asset Repossession: In the case of automobile loans, non-payment can result in the repossession of the vehicle. For home loans, non-payment can lead to foreclosure, resulting in the loss of the borrower's home.</w:t>
            </w:r>
          </w:p>
          <w:p w14:paraId="1A8C6632"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17395DEA"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Accumulation of Interest Costs: The interest paid over the life of a loan can substantially increase the overall cost of the asset. This can lead to borrowers paying much more than the original purchase price.</w:t>
            </w:r>
          </w:p>
          <w:p w14:paraId="0ED49401"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0C3EB479"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Negative Equity: In certain circumstances, borrowers may owe more on their loans than the assets are worth. This is known as being "underwater" and can make it difficult to sell the asset or refinance the loan.</w:t>
            </w:r>
          </w:p>
          <w:p w14:paraId="5C9E2BB8"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3B0020AA"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Reduced Credit Score: Missed or late payments can negatively impact a borrower's credit score, making it more difficult to access credit in the future and potentially leading to higher interest rates on other loans.</w:t>
            </w:r>
          </w:p>
          <w:p w14:paraId="0EF1E60A"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7112BDA9"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Loan Defaults: Loan defaults can result in financial losses for lenders, who may need to write off the loans as nonperforming assets, impacting their profitability.</w:t>
            </w:r>
          </w:p>
          <w:p w14:paraId="7702E6CA" w14:textId="77777777" w:rsidR="00FD157D" w:rsidRDefault="00FD157D" w:rsidP="00FD157D">
            <w:pPr>
              <w:spacing w:after="0" w:line="240" w:lineRule="auto"/>
              <w:rPr>
                <w:rFonts w:ascii="Times New Roman" w:eastAsia="Times New Roman" w:hAnsi="Times New Roman" w:cs="Times New Roman"/>
                <w:kern w:val="0"/>
                <w:sz w:val="24"/>
                <w:szCs w:val="24"/>
                <w14:ligatures w14:val="none"/>
              </w:rPr>
            </w:pPr>
          </w:p>
          <w:p w14:paraId="28C7C975" w14:textId="77777777" w:rsidR="00FD157D" w:rsidRDefault="00FD157D" w:rsidP="00FD157D">
            <w:pPr>
              <w:spacing w:after="0" w:line="240" w:lineRule="auto"/>
              <w:rPr>
                <w:rFonts w:ascii="Times New Roman" w:eastAsia="Times New Roman" w:hAnsi="Times New Roman" w:cs="Times New Roman"/>
                <w:kern w:val="0"/>
                <w:sz w:val="24"/>
                <w:szCs w:val="24"/>
                <w14:ligatures w14:val="none"/>
              </w:rPr>
            </w:pPr>
          </w:p>
          <w:p w14:paraId="7147FFC7" w14:textId="77777777" w:rsidR="00FD157D" w:rsidRDefault="00FD157D" w:rsidP="00FD157D">
            <w:pPr>
              <w:spacing w:after="0" w:line="240" w:lineRule="auto"/>
              <w:rPr>
                <w:rFonts w:ascii="Times New Roman" w:eastAsia="Times New Roman" w:hAnsi="Times New Roman" w:cs="Times New Roman"/>
                <w:kern w:val="0"/>
                <w:sz w:val="24"/>
                <w:szCs w:val="24"/>
                <w14:ligatures w14:val="none"/>
              </w:rPr>
            </w:pPr>
          </w:p>
          <w:p w14:paraId="2DFDA263" w14:textId="77777777" w:rsidR="00FD157D" w:rsidRDefault="00FD157D" w:rsidP="00FD157D">
            <w:pPr>
              <w:spacing w:after="0" w:line="240" w:lineRule="auto"/>
              <w:rPr>
                <w:rFonts w:ascii="Times New Roman" w:eastAsia="Times New Roman" w:hAnsi="Times New Roman" w:cs="Times New Roman"/>
                <w:kern w:val="0"/>
                <w:sz w:val="24"/>
                <w:szCs w:val="24"/>
                <w14:ligatures w14:val="none"/>
              </w:rPr>
            </w:pPr>
          </w:p>
          <w:p w14:paraId="4782DD15" w14:textId="77777777" w:rsidR="00FD157D" w:rsidRDefault="00FD157D" w:rsidP="00FD157D">
            <w:pPr>
              <w:spacing w:after="0" w:line="240" w:lineRule="auto"/>
              <w:rPr>
                <w:rFonts w:ascii="Times New Roman" w:eastAsia="Times New Roman" w:hAnsi="Times New Roman" w:cs="Times New Roman"/>
                <w:kern w:val="0"/>
                <w:sz w:val="24"/>
                <w:szCs w:val="24"/>
                <w14:ligatures w14:val="none"/>
              </w:rPr>
            </w:pPr>
          </w:p>
          <w:p w14:paraId="74E1FE93"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455CD0E3"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Operational Costs: Managing loans, particularly delinquent ones, can incur operational costs for lenders in terms of collections, legal proceedings, and servicing.</w:t>
            </w:r>
          </w:p>
          <w:p w14:paraId="14C677E6"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p>
          <w:p w14:paraId="1CF26775" w14:textId="77777777" w:rsidR="00FD157D" w:rsidRPr="00FD157D" w:rsidRDefault="00FD157D" w:rsidP="00FD157D">
            <w:pPr>
              <w:spacing w:after="0" w:line="240" w:lineRule="auto"/>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Financial System Risk: A high level of bad loans in the financial system can undermine the stability of banks and other lending institutions, potentially requiring government intervention to stabilize the financial system.</w:t>
            </w:r>
          </w:p>
        </w:tc>
      </w:tr>
    </w:tbl>
    <w:p w14:paraId="27B725DF" w14:textId="77777777" w:rsidR="00CC5F74" w:rsidRDefault="00CC5F74" w:rsidP="00FD157D">
      <w:pPr>
        <w:snapToGrid w:val="0"/>
        <w:spacing w:after="0" w:line="240" w:lineRule="auto"/>
        <w:rPr>
          <w:rFonts w:cstheme="minorHAnsi"/>
          <w:b/>
          <w:bCs/>
        </w:rPr>
      </w:pPr>
    </w:p>
    <w:p w14:paraId="485D5745" w14:textId="77777777" w:rsidR="00FD157D" w:rsidRDefault="00FD157D" w:rsidP="00FD157D">
      <w:pPr>
        <w:snapToGrid w:val="0"/>
        <w:spacing w:after="0" w:line="240" w:lineRule="auto"/>
        <w:rPr>
          <w:rFonts w:cstheme="minorHAnsi"/>
          <w:b/>
          <w:bCs/>
        </w:rPr>
      </w:pPr>
    </w:p>
    <w:p w14:paraId="411AD916" w14:textId="77777777" w:rsidR="00FD157D" w:rsidRDefault="00FD157D" w:rsidP="00FD157D">
      <w:pPr>
        <w:snapToGrid w:val="0"/>
        <w:spacing w:after="0" w:line="240" w:lineRule="auto"/>
        <w:rPr>
          <w:rFonts w:cstheme="minorHAnsi"/>
          <w:b/>
          <w:bCs/>
        </w:rPr>
      </w:pPr>
    </w:p>
    <w:p w14:paraId="7CD76C89" w14:textId="77777777" w:rsidR="0096035D" w:rsidRDefault="0096035D" w:rsidP="00FD157D">
      <w:pPr>
        <w:snapToGrid w:val="0"/>
        <w:spacing w:after="0" w:line="240" w:lineRule="auto"/>
        <w:rPr>
          <w:rFonts w:cstheme="minorHAnsi"/>
          <w:b/>
          <w:bCs/>
        </w:rPr>
      </w:pPr>
    </w:p>
    <w:p w14:paraId="154F8D83" w14:textId="77777777" w:rsidR="0096035D" w:rsidRDefault="0096035D" w:rsidP="00FD157D">
      <w:pPr>
        <w:snapToGrid w:val="0"/>
        <w:spacing w:after="0" w:line="240" w:lineRule="auto"/>
        <w:rPr>
          <w:rFonts w:cstheme="minorHAnsi"/>
          <w:b/>
          <w:bCs/>
        </w:rPr>
      </w:pPr>
    </w:p>
    <w:p w14:paraId="1D7B95EF" w14:textId="77777777" w:rsidR="00805D9D" w:rsidRDefault="00805D9D" w:rsidP="00FD157D">
      <w:pPr>
        <w:snapToGrid w:val="0"/>
        <w:spacing w:after="0" w:line="240" w:lineRule="auto"/>
        <w:rPr>
          <w:rFonts w:cstheme="minorHAnsi"/>
          <w:b/>
          <w:bCs/>
        </w:rPr>
      </w:pPr>
    </w:p>
    <w:p w14:paraId="40672978" w14:textId="77777777" w:rsidR="00805D9D" w:rsidRDefault="00805D9D" w:rsidP="00FD157D">
      <w:pPr>
        <w:snapToGrid w:val="0"/>
        <w:spacing w:after="0" w:line="240" w:lineRule="auto"/>
        <w:rPr>
          <w:rFonts w:cstheme="minorHAnsi"/>
          <w:b/>
          <w:bCs/>
        </w:rPr>
      </w:pPr>
    </w:p>
    <w:p w14:paraId="58DFD541" w14:textId="77777777" w:rsidR="00805D9D" w:rsidRDefault="00805D9D" w:rsidP="00FD157D">
      <w:pPr>
        <w:snapToGrid w:val="0"/>
        <w:spacing w:after="0" w:line="240" w:lineRule="auto"/>
        <w:rPr>
          <w:rFonts w:cstheme="minorHAnsi"/>
          <w:b/>
          <w:bCs/>
        </w:rPr>
      </w:pPr>
    </w:p>
    <w:p w14:paraId="6F4DCD91" w14:textId="77777777" w:rsidR="0096035D" w:rsidRDefault="0096035D" w:rsidP="00FD157D">
      <w:pPr>
        <w:snapToGrid w:val="0"/>
        <w:spacing w:after="0" w:line="240" w:lineRule="auto"/>
        <w:rPr>
          <w:rFonts w:cstheme="minorHAnsi"/>
          <w:b/>
          <w:bCs/>
        </w:rPr>
      </w:pPr>
    </w:p>
    <w:p w14:paraId="61310606" w14:textId="77777777" w:rsidR="0096035D" w:rsidRDefault="0096035D" w:rsidP="00FD157D">
      <w:pPr>
        <w:snapToGrid w:val="0"/>
        <w:spacing w:after="0" w:line="240" w:lineRule="auto"/>
        <w:rPr>
          <w:rFonts w:cstheme="minorHAnsi"/>
          <w:b/>
          <w:bCs/>
        </w:rPr>
      </w:pPr>
    </w:p>
    <w:p w14:paraId="7829BCF0" w14:textId="77777777" w:rsidR="0096035D" w:rsidRDefault="0096035D" w:rsidP="00FD157D">
      <w:pPr>
        <w:snapToGrid w:val="0"/>
        <w:spacing w:after="0" w:line="240" w:lineRule="auto"/>
        <w:rPr>
          <w:rFonts w:cstheme="minorHAnsi"/>
          <w:b/>
          <w:bCs/>
        </w:rPr>
      </w:pPr>
    </w:p>
    <w:p w14:paraId="2B17DC8F" w14:textId="77777777" w:rsidR="0096035D" w:rsidRDefault="0096035D" w:rsidP="00FD157D">
      <w:pPr>
        <w:snapToGrid w:val="0"/>
        <w:spacing w:after="0" w:line="240" w:lineRule="auto"/>
        <w:rPr>
          <w:rFonts w:cstheme="minorHAnsi"/>
          <w:b/>
          <w:bCs/>
        </w:rPr>
      </w:pPr>
    </w:p>
    <w:p w14:paraId="2325AB82" w14:textId="77777777" w:rsidR="0096035D" w:rsidRDefault="0096035D" w:rsidP="00FD157D">
      <w:pPr>
        <w:snapToGrid w:val="0"/>
        <w:spacing w:after="0" w:line="240" w:lineRule="auto"/>
        <w:rPr>
          <w:rFonts w:cstheme="minorHAnsi"/>
          <w:b/>
          <w:bCs/>
        </w:rPr>
      </w:pPr>
    </w:p>
    <w:p w14:paraId="3A6A7975" w14:textId="77777777" w:rsidR="0096035D" w:rsidRDefault="0096035D" w:rsidP="00FD157D">
      <w:pPr>
        <w:snapToGrid w:val="0"/>
        <w:spacing w:after="0" w:line="240" w:lineRule="auto"/>
        <w:rPr>
          <w:rFonts w:cstheme="minorHAnsi"/>
          <w:b/>
          <w:bCs/>
        </w:rPr>
      </w:pPr>
    </w:p>
    <w:p w14:paraId="38A610BE" w14:textId="77777777" w:rsidR="0096035D" w:rsidRDefault="0096035D" w:rsidP="00FD157D">
      <w:pPr>
        <w:snapToGrid w:val="0"/>
        <w:spacing w:after="0" w:line="240" w:lineRule="auto"/>
        <w:rPr>
          <w:rFonts w:cstheme="minorHAnsi"/>
          <w:b/>
          <w:bCs/>
        </w:rPr>
      </w:pPr>
    </w:p>
    <w:p w14:paraId="202A82FA" w14:textId="77777777" w:rsidR="0096035D" w:rsidRDefault="0096035D" w:rsidP="00FD157D">
      <w:pPr>
        <w:snapToGrid w:val="0"/>
        <w:spacing w:after="0" w:line="240" w:lineRule="auto"/>
        <w:rPr>
          <w:rFonts w:cstheme="minorHAnsi"/>
          <w:b/>
          <w:bCs/>
        </w:rPr>
      </w:pPr>
    </w:p>
    <w:p w14:paraId="10FB7CDE" w14:textId="77777777" w:rsidR="0096035D" w:rsidRDefault="0096035D" w:rsidP="00FD157D">
      <w:pPr>
        <w:snapToGrid w:val="0"/>
        <w:spacing w:after="0" w:line="240" w:lineRule="auto"/>
        <w:rPr>
          <w:rFonts w:cstheme="minorHAnsi"/>
          <w:b/>
          <w:bCs/>
        </w:rPr>
      </w:pPr>
    </w:p>
    <w:p w14:paraId="5577A48D" w14:textId="77777777" w:rsidR="0096035D" w:rsidRDefault="0096035D" w:rsidP="00FD157D">
      <w:pPr>
        <w:snapToGrid w:val="0"/>
        <w:spacing w:after="0" w:line="240" w:lineRule="auto"/>
        <w:rPr>
          <w:rFonts w:cstheme="minorHAnsi"/>
          <w:b/>
          <w:bCs/>
        </w:rPr>
      </w:pPr>
    </w:p>
    <w:p w14:paraId="4BA4B662" w14:textId="77777777" w:rsidR="0096035D" w:rsidRDefault="0096035D" w:rsidP="00FD157D">
      <w:pPr>
        <w:snapToGrid w:val="0"/>
        <w:spacing w:after="0" w:line="240" w:lineRule="auto"/>
        <w:rPr>
          <w:rFonts w:cstheme="minorHAnsi"/>
          <w:b/>
          <w:bCs/>
        </w:rPr>
      </w:pPr>
    </w:p>
    <w:p w14:paraId="5267B442" w14:textId="77777777" w:rsidR="0096035D" w:rsidRDefault="0096035D" w:rsidP="00FD157D">
      <w:pPr>
        <w:snapToGrid w:val="0"/>
        <w:spacing w:after="0" w:line="240" w:lineRule="auto"/>
        <w:rPr>
          <w:rFonts w:cstheme="minorHAnsi"/>
          <w:b/>
          <w:bCs/>
        </w:rPr>
      </w:pPr>
    </w:p>
    <w:p w14:paraId="62401B6C" w14:textId="77777777" w:rsidR="0096035D" w:rsidRDefault="0096035D" w:rsidP="00FD157D">
      <w:pPr>
        <w:snapToGrid w:val="0"/>
        <w:spacing w:after="0" w:line="240" w:lineRule="auto"/>
        <w:rPr>
          <w:rFonts w:cstheme="minorHAnsi"/>
          <w:b/>
          <w:bCs/>
        </w:rPr>
      </w:pPr>
    </w:p>
    <w:p w14:paraId="65357488" w14:textId="77777777" w:rsidR="0096035D" w:rsidRDefault="0096035D" w:rsidP="00FD157D">
      <w:pPr>
        <w:snapToGrid w:val="0"/>
        <w:spacing w:after="0" w:line="240" w:lineRule="auto"/>
        <w:rPr>
          <w:rFonts w:cstheme="minorHAnsi"/>
          <w:b/>
          <w:bCs/>
        </w:rPr>
      </w:pPr>
    </w:p>
    <w:p w14:paraId="62D0D427" w14:textId="77777777" w:rsidR="0096035D" w:rsidRDefault="0096035D" w:rsidP="00FD157D">
      <w:pPr>
        <w:snapToGrid w:val="0"/>
        <w:spacing w:after="0" w:line="240" w:lineRule="auto"/>
        <w:rPr>
          <w:rFonts w:cstheme="minorHAnsi"/>
          <w:b/>
          <w:bCs/>
        </w:rPr>
      </w:pPr>
    </w:p>
    <w:p w14:paraId="5C013AD9" w14:textId="77777777" w:rsidR="008D1B51" w:rsidRPr="00B964E4" w:rsidRDefault="008D1B51" w:rsidP="008D1B51">
      <w:pPr>
        <w:snapToGrid w:val="0"/>
        <w:spacing w:after="0" w:line="240" w:lineRule="auto"/>
        <w:rPr>
          <w:rFonts w:cstheme="minorHAnsi"/>
          <w:sz w:val="24"/>
          <w:szCs w:val="24"/>
          <w:lang w:val="en-US"/>
        </w:rPr>
      </w:pPr>
    </w:p>
    <w:p w14:paraId="363B819B" w14:textId="77777777" w:rsidR="008D1B51" w:rsidRPr="00B964E4" w:rsidRDefault="008D1B51" w:rsidP="008D1B51">
      <w:pPr>
        <w:pStyle w:val="ListParagraph"/>
        <w:numPr>
          <w:ilvl w:val="1"/>
          <w:numId w:val="1"/>
        </w:numPr>
        <w:snapToGrid w:val="0"/>
        <w:spacing w:after="0" w:line="240" w:lineRule="auto"/>
        <w:contextualSpacing w:val="0"/>
        <w:rPr>
          <w:rFonts w:cstheme="minorHAnsi"/>
          <w:b/>
          <w:bCs/>
          <w:sz w:val="24"/>
          <w:szCs w:val="24"/>
          <w:lang w:val="en-US"/>
        </w:rPr>
      </w:pPr>
      <w:r w:rsidRPr="00B964E4">
        <w:rPr>
          <w:rFonts w:cstheme="minorHAnsi"/>
          <w:b/>
          <w:bCs/>
          <w:sz w:val="24"/>
          <w:szCs w:val="24"/>
          <w:lang w:val="en-US"/>
        </w:rPr>
        <w:t>Student:</w:t>
      </w:r>
      <w:r w:rsidRPr="00B964E4">
        <w:rPr>
          <w:rFonts w:cstheme="minorHAnsi"/>
          <w:b/>
          <w:bCs/>
          <w:sz w:val="24"/>
          <w:szCs w:val="24"/>
        </w:rPr>
        <w:t xml:space="preserve"> </w:t>
      </w:r>
      <w:r w:rsidRPr="00B964E4">
        <w:rPr>
          <w:rFonts w:cstheme="minorHAnsi"/>
          <w:b/>
          <w:bCs/>
          <w:sz w:val="24"/>
          <w:szCs w:val="24"/>
          <w:lang w:val="en-US"/>
        </w:rPr>
        <w:t xml:space="preserve">Ebenezer - Construction Business loan at a fixed rate </w:t>
      </w:r>
    </w:p>
    <w:p w14:paraId="23E7EAEE" w14:textId="77777777" w:rsidR="008D1B51" w:rsidRPr="00616AA8" w:rsidRDefault="008D1B51" w:rsidP="008D1B51">
      <w:pPr>
        <w:pStyle w:val="ListParagraph"/>
        <w:snapToGrid w:val="0"/>
        <w:spacing w:after="0" w:line="240" w:lineRule="auto"/>
        <w:ind w:left="936"/>
        <w:contextualSpacing w:val="0"/>
        <w:rPr>
          <w:rFonts w:cstheme="minorHAnsi"/>
          <w:b/>
          <w:bCs/>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2"/>
        <w:gridCol w:w="8199"/>
        <w:gridCol w:w="6057"/>
      </w:tblGrid>
      <w:tr w:rsidR="008D1B51" w:rsidRPr="00FD157D" w14:paraId="6450A518" w14:textId="77777777" w:rsidTr="00AA0F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C7B37" w14:textId="77777777" w:rsidR="008D1B51" w:rsidRPr="00FD157D" w:rsidRDefault="008D1B51" w:rsidP="00AA0FA4">
            <w:pPr>
              <w:spacing w:after="0" w:line="240" w:lineRule="auto"/>
              <w:rPr>
                <w:rFonts w:ascii="Calibri" w:eastAsia="Times New Roman" w:hAnsi="Calibri" w:cs="Calibri"/>
                <w:color w:val="000000"/>
                <w:kern w:val="0"/>
                <w14:ligatures w14:val="none"/>
              </w:rPr>
            </w:pPr>
            <w:r w:rsidRPr="00FD157D">
              <w:rPr>
                <w:rFonts w:ascii="Calibri" w:eastAsia="Times New Roman" w:hAnsi="Calibri" w:cs="Calibri"/>
                <w:color w:val="000000"/>
                <w:kern w:val="0"/>
                <w14:ligatures w14:val="none"/>
              </w:rPr>
              <w:t>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F9CC9" w14:textId="77777777" w:rsidR="008D1B51" w:rsidRPr="00FD157D" w:rsidRDefault="008D1B51" w:rsidP="00AA0FA4">
            <w:pPr>
              <w:spacing w:after="0" w:line="240" w:lineRule="auto"/>
              <w:rPr>
                <w:rFonts w:ascii="Calibri" w:eastAsia="Times New Roman" w:hAnsi="Calibri" w:cs="Calibri"/>
                <w:color w:val="000000"/>
                <w:kern w:val="0"/>
                <w14:ligatures w14:val="none"/>
              </w:rPr>
            </w:pPr>
            <w:r w:rsidRPr="00FD157D">
              <w:rPr>
                <w:rFonts w:ascii="Calibri" w:eastAsia="Times New Roman" w:hAnsi="Calibri" w:cs="Calibri"/>
                <w:color w:val="000000"/>
                <w:kern w:val="0"/>
                <w14:ligatures w14:val="none"/>
              </w:rPr>
              <w:t>ETHICAL CHALLENGES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EA083" w14:textId="77777777" w:rsidR="008D1B51" w:rsidRPr="00FD157D" w:rsidRDefault="008D1B51" w:rsidP="00AA0FA4">
            <w:pPr>
              <w:spacing w:after="0" w:line="240" w:lineRule="auto"/>
              <w:rPr>
                <w:rFonts w:ascii="Calibri" w:eastAsia="Times New Roman" w:hAnsi="Calibri" w:cs="Calibri"/>
                <w:color w:val="000000"/>
                <w:kern w:val="0"/>
                <w14:ligatures w14:val="none"/>
              </w:rPr>
            </w:pPr>
            <w:r w:rsidRPr="00FD157D">
              <w:rPr>
                <w:rFonts w:ascii="Calibri" w:eastAsia="Times New Roman" w:hAnsi="Calibri" w:cs="Calibri"/>
                <w:color w:val="000000"/>
                <w:kern w:val="0"/>
                <w14:ligatures w14:val="none"/>
              </w:rPr>
              <w:t>UNDESIRABLE RESULTS</w:t>
            </w:r>
          </w:p>
        </w:tc>
      </w:tr>
      <w:tr w:rsidR="008D1B51" w:rsidRPr="00FD157D" w14:paraId="7C408EBD" w14:textId="77777777" w:rsidTr="00AA0F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A6BF4" w14:textId="77777777" w:rsidR="008D1B51" w:rsidRPr="00FD157D" w:rsidRDefault="008D1B51" w:rsidP="00AA0F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C2823" w14:textId="77777777" w:rsidR="008D1B51" w:rsidRDefault="008D1B51" w:rsidP="00AA0FA4">
            <w:pPr>
              <w:pStyle w:val="ListParagraph"/>
              <w:numPr>
                <w:ilvl w:val="0"/>
                <w:numId w:val="32"/>
              </w:numPr>
            </w:pPr>
            <w:r>
              <w:t>Transparency and Disclosure: Lenders might face ethical dilemmas related to transparency. When offering construction loans to businesses, they must provide clear and comprehensive information about the terms, risks, and obligations associated with the loan. Failure to do so can be seen as unethical.</w:t>
            </w:r>
          </w:p>
          <w:p w14:paraId="324C9EE8" w14:textId="77777777" w:rsidR="008D1B51" w:rsidRDefault="008D1B51" w:rsidP="00AA0FA4">
            <w:pPr>
              <w:pStyle w:val="ListParagraph"/>
              <w:spacing w:after="0" w:line="240" w:lineRule="auto"/>
            </w:pPr>
          </w:p>
          <w:p w14:paraId="4078FC1A" w14:textId="77777777" w:rsidR="008D1B51" w:rsidRDefault="008D1B51" w:rsidP="00AA0FA4">
            <w:pPr>
              <w:pStyle w:val="ListParagraph"/>
              <w:numPr>
                <w:ilvl w:val="0"/>
                <w:numId w:val="32"/>
              </w:numPr>
            </w:pPr>
            <w:r>
              <w:t>Fair Assessment: Ethical concerns may arise when assessing the creditworthiness of businesses seeking construction loans. Lenders must ensure that their evaluation methods are impartial and free from any biases or discriminatory practices.</w:t>
            </w:r>
          </w:p>
          <w:p w14:paraId="7C6C58C5" w14:textId="77777777" w:rsidR="008D1B51" w:rsidRDefault="008D1B51" w:rsidP="00AA0FA4">
            <w:pPr>
              <w:pStyle w:val="ListParagraph"/>
              <w:spacing w:after="0" w:line="240" w:lineRule="auto"/>
            </w:pPr>
          </w:p>
          <w:p w14:paraId="639669E9" w14:textId="77777777" w:rsidR="008D1B51" w:rsidRPr="00914729" w:rsidRDefault="008D1B51" w:rsidP="00AA0FA4">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r>
              <w:t>Responsible Lending: Lenders should adhere to principles of responsible lending, making sure that the borrower has the means to complete the construction project. Failing to do so may lead to unethical lending practices.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A02A9" w14:textId="77777777" w:rsidR="008D1B51" w:rsidRDefault="008D1B51" w:rsidP="00AA0FA4">
            <w:pPr>
              <w:pStyle w:val="ListParagraph"/>
              <w:numPr>
                <w:ilvl w:val="0"/>
                <w:numId w:val="32"/>
              </w:numPr>
            </w:pPr>
            <w:r>
              <w:t>Misallocation of Capital: If construction loans are granted without proper due diligence, it can lead to the misallocation of capital. Businesses may receive loans they cannot repay, resulting in financial distress.</w:t>
            </w:r>
          </w:p>
          <w:p w14:paraId="29F4E044" w14:textId="77777777" w:rsidR="008D1B51" w:rsidRDefault="008D1B51" w:rsidP="00AA0FA4">
            <w:pPr>
              <w:pStyle w:val="ListParagraph"/>
              <w:spacing w:after="0" w:line="240" w:lineRule="auto"/>
            </w:pPr>
          </w:p>
          <w:p w14:paraId="324C667F" w14:textId="77777777" w:rsidR="008D1B51" w:rsidRDefault="008D1B51" w:rsidP="00AA0FA4">
            <w:pPr>
              <w:pStyle w:val="ListParagraph"/>
              <w:numPr>
                <w:ilvl w:val="0"/>
                <w:numId w:val="32"/>
              </w:numPr>
            </w:pPr>
            <w:r>
              <w:t>Business Failures: The undesirable result may include an increased rate of business failures if construction projects funded by loans do not yield the expected returns.</w:t>
            </w:r>
          </w:p>
          <w:p w14:paraId="3804EF27" w14:textId="77777777" w:rsidR="008D1B51" w:rsidRDefault="008D1B51" w:rsidP="00AA0FA4">
            <w:pPr>
              <w:pStyle w:val="ListParagraph"/>
            </w:pPr>
          </w:p>
          <w:p w14:paraId="30577CEB" w14:textId="77777777" w:rsidR="008D1B51" w:rsidRDefault="008D1B51" w:rsidP="00AA0FA4">
            <w:pPr>
              <w:pStyle w:val="ListParagraph"/>
              <w:spacing w:after="0" w:line="240" w:lineRule="auto"/>
            </w:pPr>
          </w:p>
          <w:p w14:paraId="275FFD5E" w14:textId="77777777" w:rsidR="008D1B51" w:rsidRPr="00914729" w:rsidRDefault="008D1B51" w:rsidP="00AA0FA4">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r>
              <w:t>Economic Instability: The cumulative effect of unethical lending and the resulting undesirable outcomes can lead to economic instability, particularly if a significant number of construction projects fail.</w:t>
            </w:r>
          </w:p>
          <w:p w14:paraId="2887C941" w14:textId="77777777" w:rsidR="008D1B51" w:rsidRPr="00FD157D" w:rsidRDefault="008D1B51" w:rsidP="00AA0FA4">
            <w:pPr>
              <w:spacing w:after="0" w:line="240" w:lineRule="auto"/>
              <w:rPr>
                <w:rFonts w:ascii="Times New Roman" w:eastAsia="Times New Roman" w:hAnsi="Times New Roman" w:cs="Times New Roman"/>
                <w:kern w:val="0"/>
                <w:sz w:val="24"/>
                <w:szCs w:val="24"/>
                <w14:ligatures w14:val="none"/>
              </w:rPr>
            </w:pPr>
          </w:p>
        </w:tc>
      </w:tr>
    </w:tbl>
    <w:p w14:paraId="53B0D77A" w14:textId="77777777" w:rsidR="008D1B51" w:rsidRPr="00616AA8" w:rsidRDefault="008D1B51" w:rsidP="008D1B51">
      <w:pPr>
        <w:pStyle w:val="ListParagraph"/>
        <w:snapToGrid w:val="0"/>
        <w:spacing w:after="0" w:line="240" w:lineRule="auto"/>
        <w:ind w:left="936"/>
        <w:contextualSpacing w:val="0"/>
        <w:rPr>
          <w:rFonts w:cstheme="minorHAnsi"/>
          <w:b/>
          <w:bCs/>
          <w:lang w:val="en-US"/>
        </w:rPr>
      </w:pPr>
    </w:p>
    <w:p w14:paraId="42475609" w14:textId="77777777" w:rsidR="008D1B51" w:rsidRPr="00616AA8" w:rsidRDefault="008D1B51" w:rsidP="008D1B51">
      <w:pPr>
        <w:pStyle w:val="ListParagraph"/>
        <w:snapToGrid w:val="0"/>
        <w:spacing w:after="0" w:line="240" w:lineRule="auto"/>
        <w:ind w:left="936"/>
        <w:contextualSpacing w:val="0"/>
        <w:rPr>
          <w:rFonts w:cstheme="minorHAnsi"/>
          <w:b/>
          <w:bCs/>
          <w:lang w:val="en-US"/>
        </w:rPr>
      </w:pPr>
    </w:p>
    <w:p w14:paraId="45BC74A1" w14:textId="77777777" w:rsidR="008D1B51" w:rsidRPr="00616AA8" w:rsidRDefault="008D1B51" w:rsidP="008D1B51">
      <w:pPr>
        <w:pStyle w:val="ListParagraph"/>
        <w:snapToGrid w:val="0"/>
        <w:spacing w:after="0" w:line="240" w:lineRule="auto"/>
        <w:ind w:left="936"/>
        <w:contextualSpacing w:val="0"/>
        <w:rPr>
          <w:rFonts w:cstheme="minorHAnsi"/>
          <w:b/>
          <w:bCs/>
          <w:lang w:val="en-US"/>
        </w:rPr>
      </w:pPr>
    </w:p>
    <w:p w14:paraId="2B38FD4A" w14:textId="77777777" w:rsidR="0096035D" w:rsidRDefault="0096035D" w:rsidP="00FD157D">
      <w:pPr>
        <w:snapToGrid w:val="0"/>
        <w:spacing w:after="0" w:line="240" w:lineRule="auto"/>
        <w:rPr>
          <w:rFonts w:cstheme="minorHAnsi"/>
          <w:b/>
          <w:bCs/>
          <w:lang w:val="en-US"/>
        </w:rPr>
      </w:pPr>
    </w:p>
    <w:p w14:paraId="6E064406" w14:textId="77777777" w:rsidR="008D1B51" w:rsidRDefault="008D1B51" w:rsidP="00FD157D">
      <w:pPr>
        <w:snapToGrid w:val="0"/>
        <w:spacing w:after="0" w:line="240" w:lineRule="auto"/>
        <w:rPr>
          <w:rFonts w:cstheme="minorHAnsi"/>
          <w:b/>
          <w:bCs/>
          <w:lang w:val="en-US"/>
        </w:rPr>
      </w:pPr>
    </w:p>
    <w:p w14:paraId="3AD39CBC" w14:textId="77777777" w:rsidR="008D1B51" w:rsidRDefault="008D1B51" w:rsidP="00FD157D">
      <w:pPr>
        <w:snapToGrid w:val="0"/>
        <w:spacing w:after="0" w:line="240" w:lineRule="auto"/>
        <w:rPr>
          <w:rFonts w:cstheme="minorHAnsi"/>
          <w:b/>
          <w:bCs/>
          <w:lang w:val="en-US"/>
        </w:rPr>
      </w:pPr>
    </w:p>
    <w:p w14:paraId="5B9103FB" w14:textId="77777777" w:rsidR="008D1B51" w:rsidRDefault="008D1B51" w:rsidP="00FD157D">
      <w:pPr>
        <w:snapToGrid w:val="0"/>
        <w:spacing w:after="0" w:line="240" w:lineRule="auto"/>
        <w:rPr>
          <w:rFonts w:cstheme="minorHAnsi"/>
          <w:b/>
          <w:bCs/>
          <w:lang w:val="en-US"/>
        </w:rPr>
      </w:pPr>
    </w:p>
    <w:p w14:paraId="2FC55850" w14:textId="77777777" w:rsidR="008D1B51" w:rsidRDefault="008D1B51" w:rsidP="00FD157D">
      <w:pPr>
        <w:snapToGrid w:val="0"/>
        <w:spacing w:after="0" w:line="240" w:lineRule="auto"/>
        <w:rPr>
          <w:rFonts w:cstheme="minorHAnsi"/>
          <w:b/>
          <w:bCs/>
          <w:lang w:val="en-US"/>
        </w:rPr>
      </w:pPr>
    </w:p>
    <w:p w14:paraId="7C1A65A9" w14:textId="77777777" w:rsidR="008D1B51" w:rsidRDefault="008D1B51" w:rsidP="00FD157D">
      <w:pPr>
        <w:snapToGrid w:val="0"/>
        <w:spacing w:after="0" w:line="240" w:lineRule="auto"/>
        <w:rPr>
          <w:rFonts w:cstheme="minorHAnsi"/>
          <w:b/>
          <w:bCs/>
          <w:lang w:val="en-US"/>
        </w:rPr>
      </w:pPr>
    </w:p>
    <w:p w14:paraId="6E8A0BE6" w14:textId="77777777" w:rsidR="008D1B51" w:rsidRDefault="008D1B51" w:rsidP="00FD157D">
      <w:pPr>
        <w:snapToGrid w:val="0"/>
        <w:spacing w:after="0" w:line="240" w:lineRule="auto"/>
        <w:rPr>
          <w:rFonts w:cstheme="minorHAnsi"/>
          <w:b/>
          <w:bCs/>
          <w:lang w:val="en-US"/>
        </w:rPr>
      </w:pPr>
    </w:p>
    <w:p w14:paraId="6E29BDF3" w14:textId="77777777" w:rsidR="008D1B51" w:rsidRDefault="008D1B51" w:rsidP="00FD157D">
      <w:pPr>
        <w:snapToGrid w:val="0"/>
        <w:spacing w:after="0" w:line="240" w:lineRule="auto"/>
        <w:rPr>
          <w:rFonts w:cstheme="minorHAnsi"/>
          <w:b/>
          <w:bCs/>
          <w:lang w:val="en-US"/>
        </w:rPr>
      </w:pPr>
    </w:p>
    <w:p w14:paraId="2498C1F2" w14:textId="77777777" w:rsidR="008D1B51" w:rsidRDefault="008D1B51" w:rsidP="00FD157D">
      <w:pPr>
        <w:snapToGrid w:val="0"/>
        <w:spacing w:after="0" w:line="240" w:lineRule="auto"/>
        <w:rPr>
          <w:rFonts w:cstheme="minorHAnsi"/>
          <w:b/>
          <w:bCs/>
          <w:lang w:val="en-US"/>
        </w:rPr>
      </w:pPr>
    </w:p>
    <w:p w14:paraId="46320181" w14:textId="77777777" w:rsidR="008D1B51" w:rsidRPr="008D1B51" w:rsidRDefault="008D1B51" w:rsidP="00FD157D">
      <w:pPr>
        <w:snapToGrid w:val="0"/>
        <w:spacing w:after="0" w:line="240" w:lineRule="auto"/>
        <w:rPr>
          <w:rFonts w:cstheme="minorHAnsi"/>
          <w:b/>
          <w:bCs/>
          <w:lang w:val="en-US"/>
        </w:rPr>
      </w:pPr>
    </w:p>
    <w:p w14:paraId="02073EB6" w14:textId="77777777" w:rsidR="008D1B51" w:rsidRDefault="008D1B51" w:rsidP="008D1B51">
      <w:pPr>
        <w:pStyle w:val="ListParagraph"/>
        <w:snapToGrid w:val="0"/>
        <w:spacing w:after="0" w:line="240" w:lineRule="auto"/>
        <w:ind w:left="936"/>
        <w:contextualSpacing w:val="0"/>
        <w:rPr>
          <w:rFonts w:cstheme="minorHAnsi"/>
          <w:b/>
          <w:bCs/>
          <w:sz w:val="24"/>
          <w:szCs w:val="24"/>
          <w:lang w:val="en-US"/>
        </w:rPr>
      </w:pPr>
    </w:p>
    <w:p w14:paraId="728F63B2" w14:textId="77777777" w:rsidR="004A6E2E" w:rsidRDefault="004A6E2E" w:rsidP="008D1B51">
      <w:pPr>
        <w:pStyle w:val="ListParagraph"/>
        <w:snapToGrid w:val="0"/>
        <w:spacing w:after="0" w:line="240" w:lineRule="auto"/>
        <w:ind w:left="936"/>
        <w:contextualSpacing w:val="0"/>
        <w:rPr>
          <w:rFonts w:cstheme="minorHAnsi"/>
          <w:b/>
          <w:bCs/>
          <w:sz w:val="24"/>
          <w:szCs w:val="24"/>
          <w:lang w:val="en-US"/>
        </w:rPr>
      </w:pPr>
    </w:p>
    <w:p w14:paraId="080D6A80" w14:textId="77777777" w:rsidR="004A6E2E" w:rsidRDefault="004A6E2E" w:rsidP="008D1B51">
      <w:pPr>
        <w:pStyle w:val="ListParagraph"/>
        <w:snapToGrid w:val="0"/>
        <w:spacing w:after="0" w:line="240" w:lineRule="auto"/>
        <w:ind w:left="936"/>
        <w:contextualSpacing w:val="0"/>
        <w:rPr>
          <w:rFonts w:cstheme="minorHAnsi"/>
          <w:b/>
          <w:bCs/>
          <w:sz w:val="24"/>
          <w:szCs w:val="24"/>
          <w:lang w:val="en-US"/>
        </w:rPr>
      </w:pPr>
    </w:p>
    <w:p w14:paraId="1D9FDE55" w14:textId="07708064" w:rsidR="00CC5F74" w:rsidRDefault="00000000" w:rsidP="004E0E7D">
      <w:pPr>
        <w:pStyle w:val="ListParagraph"/>
        <w:numPr>
          <w:ilvl w:val="1"/>
          <w:numId w:val="1"/>
        </w:numPr>
        <w:snapToGrid w:val="0"/>
        <w:spacing w:after="0" w:line="240" w:lineRule="auto"/>
        <w:contextualSpacing w:val="0"/>
        <w:rPr>
          <w:rFonts w:cstheme="minorHAnsi"/>
          <w:b/>
          <w:bCs/>
          <w:sz w:val="24"/>
          <w:szCs w:val="24"/>
          <w:lang w:val="en-US"/>
        </w:rPr>
      </w:pPr>
      <w:r w:rsidRPr="0025710F">
        <w:rPr>
          <w:rFonts w:cstheme="minorHAnsi"/>
          <w:b/>
          <w:bCs/>
          <w:sz w:val="24"/>
          <w:szCs w:val="24"/>
          <w:lang w:val="en-US"/>
        </w:rPr>
        <w:t>Student Yhasreen for bond and equity</w:t>
      </w:r>
    </w:p>
    <w:p w14:paraId="5A5221F3" w14:textId="77777777" w:rsidR="00526671" w:rsidRPr="0025710F" w:rsidRDefault="00526671" w:rsidP="00526671">
      <w:pPr>
        <w:pStyle w:val="ListParagraph"/>
        <w:snapToGrid w:val="0"/>
        <w:spacing w:after="0" w:line="240" w:lineRule="auto"/>
        <w:ind w:left="936"/>
        <w:contextualSpacing w:val="0"/>
        <w:rPr>
          <w:rFonts w:cstheme="minorHAnsi"/>
          <w:b/>
          <w:bCs/>
          <w:sz w:val="24"/>
          <w:szCs w:val="24"/>
          <w:lang w:val="en-US"/>
        </w:rPr>
      </w:pPr>
    </w:p>
    <w:tbl>
      <w:tblPr>
        <w:tblStyle w:val="TableGrid"/>
        <w:tblW w:w="0" w:type="auto"/>
        <w:tblLook w:val="04A0" w:firstRow="1" w:lastRow="0" w:firstColumn="1" w:lastColumn="0" w:noHBand="0" w:noVBand="1"/>
      </w:tblPr>
      <w:tblGrid>
        <w:gridCol w:w="473"/>
        <w:gridCol w:w="318"/>
        <w:gridCol w:w="1278"/>
        <w:gridCol w:w="6446"/>
        <w:gridCol w:w="6720"/>
      </w:tblGrid>
      <w:tr w:rsidR="00640BAF" w14:paraId="04726B02" w14:textId="77777777" w:rsidTr="00FF34B9">
        <w:tc>
          <w:tcPr>
            <w:tcW w:w="2069" w:type="dxa"/>
            <w:gridSpan w:val="3"/>
            <w:vMerge w:val="restart"/>
            <w:shd w:val="clear" w:color="auto" w:fill="F2F2F2" w:themeFill="background1" w:themeFillShade="F2"/>
            <w:vAlign w:val="center"/>
          </w:tcPr>
          <w:p w14:paraId="192129C4" w14:textId="77777777" w:rsidR="00B20B70" w:rsidRPr="007306AF" w:rsidRDefault="00000000" w:rsidP="00FF34B9">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 xml:space="preserve">Table </w:t>
            </w:r>
            <w:r w:rsidR="00AA2150">
              <w:rPr>
                <w:rFonts w:cstheme="minorHAnsi"/>
                <w:b/>
                <w:bCs/>
                <w:sz w:val="20"/>
                <w:szCs w:val="20"/>
                <w:lang w:val="en-US"/>
              </w:rPr>
              <w:t>3</w:t>
            </w:r>
            <w:r>
              <w:rPr>
                <w:rFonts w:cstheme="minorHAnsi"/>
                <w:b/>
                <w:bCs/>
                <w:sz w:val="20"/>
                <w:szCs w:val="20"/>
                <w:lang w:val="en-US"/>
              </w:rPr>
              <w:t>.</w:t>
            </w:r>
          </w:p>
        </w:tc>
        <w:tc>
          <w:tcPr>
            <w:tcW w:w="13166" w:type="dxa"/>
            <w:gridSpan w:val="2"/>
            <w:shd w:val="clear" w:color="auto" w:fill="F2F2F2" w:themeFill="background1" w:themeFillShade="F2"/>
            <w:vAlign w:val="center"/>
          </w:tcPr>
          <w:p w14:paraId="284BF13D" w14:textId="431B54A7" w:rsidR="00B20B70" w:rsidRPr="00F81349" w:rsidRDefault="00000000" w:rsidP="00FF34B9">
            <w:pPr>
              <w:pStyle w:val="ListParagraph"/>
              <w:snapToGrid w:val="0"/>
              <w:ind w:left="0"/>
              <w:contextualSpacing w:val="0"/>
              <w:jc w:val="center"/>
              <w:rPr>
                <w:rFonts w:cstheme="minorHAnsi"/>
                <w:b/>
                <w:bCs/>
                <w:sz w:val="24"/>
                <w:szCs w:val="24"/>
                <w:lang w:val="en-US"/>
              </w:rPr>
            </w:pPr>
            <w:r>
              <w:rPr>
                <w:rFonts w:cstheme="minorHAnsi"/>
                <w:b/>
                <w:bCs/>
                <w:sz w:val="24"/>
                <w:szCs w:val="24"/>
                <w:lang w:val="en-US"/>
              </w:rPr>
              <w:t xml:space="preserve">Ethical Consideration </w:t>
            </w:r>
            <w:r w:rsidR="00FC06D2">
              <w:rPr>
                <w:rFonts w:cstheme="minorHAnsi"/>
                <w:b/>
                <w:bCs/>
                <w:sz w:val="24"/>
                <w:szCs w:val="24"/>
                <w:lang w:val="en-US"/>
              </w:rPr>
              <w:t xml:space="preserve">on </w:t>
            </w:r>
            <w:r>
              <w:rPr>
                <w:rFonts w:cstheme="minorHAnsi"/>
                <w:b/>
                <w:bCs/>
                <w:sz w:val="24"/>
                <w:szCs w:val="24"/>
                <w:lang w:val="en-US"/>
              </w:rPr>
              <w:t xml:space="preserve">Model and Crisis </w:t>
            </w:r>
            <w:r w:rsidRPr="00F81349">
              <w:rPr>
                <w:rFonts w:cstheme="minorHAnsi"/>
                <w:b/>
                <w:bCs/>
                <w:sz w:val="24"/>
                <w:szCs w:val="24"/>
                <w:lang w:val="en-US"/>
              </w:rPr>
              <w:t>Fallout Risk for Equity</w:t>
            </w:r>
          </w:p>
        </w:tc>
      </w:tr>
      <w:tr w:rsidR="00640BAF" w14:paraId="297D8F23" w14:textId="77777777" w:rsidTr="00FF34B9">
        <w:tc>
          <w:tcPr>
            <w:tcW w:w="2069" w:type="dxa"/>
            <w:gridSpan w:val="3"/>
            <w:vMerge/>
            <w:shd w:val="clear" w:color="auto" w:fill="F2F2F2" w:themeFill="background1" w:themeFillShade="F2"/>
          </w:tcPr>
          <w:p w14:paraId="347FE7E5" w14:textId="77777777" w:rsidR="00B20B70" w:rsidRPr="007306AF" w:rsidRDefault="00B20B70" w:rsidP="00FF34B9">
            <w:pPr>
              <w:pStyle w:val="ListParagraph"/>
              <w:snapToGrid w:val="0"/>
              <w:ind w:left="0"/>
              <w:contextualSpacing w:val="0"/>
              <w:jc w:val="center"/>
              <w:rPr>
                <w:rFonts w:cstheme="minorHAnsi"/>
                <w:b/>
                <w:bCs/>
                <w:sz w:val="20"/>
                <w:szCs w:val="20"/>
                <w:lang w:val="en-US"/>
              </w:rPr>
            </w:pPr>
          </w:p>
        </w:tc>
        <w:tc>
          <w:tcPr>
            <w:tcW w:w="6446" w:type="dxa"/>
            <w:shd w:val="clear" w:color="auto" w:fill="F2F2F2" w:themeFill="background1" w:themeFillShade="F2"/>
            <w:vAlign w:val="center"/>
          </w:tcPr>
          <w:p w14:paraId="29F01090" w14:textId="77777777" w:rsidR="00B20B70" w:rsidRPr="007306AF" w:rsidRDefault="00000000" w:rsidP="00FF34B9">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 xml:space="preserve">Analyst’s </w:t>
            </w:r>
            <w:r w:rsidRPr="007306AF">
              <w:rPr>
                <w:rFonts w:cstheme="minorHAnsi"/>
                <w:b/>
                <w:bCs/>
                <w:sz w:val="20"/>
                <w:szCs w:val="20"/>
                <w:lang w:val="en-US"/>
              </w:rPr>
              <w:t>Consideration</w:t>
            </w:r>
          </w:p>
        </w:tc>
        <w:tc>
          <w:tcPr>
            <w:tcW w:w="6720" w:type="dxa"/>
            <w:shd w:val="clear" w:color="auto" w:fill="F2F2F2" w:themeFill="background1" w:themeFillShade="F2"/>
            <w:vAlign w:val="center"/>
          </w:tcPr>
          <w:p w14:paraId="79B82C04" w14:textId="77777777" w:rsidR="00B20B70" w:rsidRPr="007306AF" w:rsidRDefault="00000000" w:rsidP="00FF34B9">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 xml:space="preserve">Analyst’s </w:t>
            </w:r>
            <w:r w:rsidRPr="007306AF">
              <w:rPr>
                <w:rFonts w:cstheme="minorHAnsi"/>
                <w:b/>
                <w:bCs/>
                <w:sz w:val="20"/>
                <w:szCs w:val="20"/>
                <w:lang w:val="en-US"/>
              </w:rPr>
              <w:t>Consideration</w:t>
            </w:r>
          </w:p>
        </w:tc>
      </w:tr>
      <w:tr w:rsidR="00640BAF" w14:paraId="0F68E3C1" w14:textId="77777777" w:rsidTr="00FF34B9">
        <w:tc>
          <w:tcPr>
            <w:tcW w:w="2069" w:type="dxa"/>
            <w:gridSpan w:val="3"/>
            <w:vMerge/>
            <w:shd w:val="clear" w:color="auto" w:fill="F2F2F2" w:themeFill="background1" w:themeFillShade="F2"/>
          </w:tcPr>
          <w:p w14:paraId="50E90AF4" w14:textId="77777777" w:rsidR="00B20B70" w:rsidRPr="007306AF" w:rsidRDefault="00B20B70" w:rsidP="00FF34B9">
            <w:pPr>
              <w:pStyle w:val="ListParagraph"/>
              <w:snapToGrid w:val="0"/>
              <w:ind w:left="0"/>
              <w:contextualSpacing w:val="0"/>
              <w:jc w:val="center"/>
              <w:rPr>
                <w:rFonts w:cstheme="minorHAnsi"/>
                <w:b/>
                <w:bCs/>
                <w:sz w:val="20"/>
                <w:szCs w:val="20"/>
                <w:lang w:val="en-US"/>
              </w:rPr>
            </w:pPr>
          </w:p>
        </w:tc>
        <w:tc>
          <w:tcPr>
            <w:tcW w:w="6446" w:type="dxa"/>
            <w:shd w:val="clear" w:color="auto" w:fill="F2F2F2" w:themeFill="background1" w:themeFillShade="F2"/>
            <w:vAlign w:val="center"/>
          </w:tcPr>
          <w:p w14:paraId="1756194C" w14:textId="77777777" w:rsidR="00B20B70" w:rsidRPr="007306AF" w:rsidRDefault="00000000" w:rsidP="00FF34B9">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Model Failure</w:t>
            </w:r>
          </w:p>
        </w:tc>
        <w:tc>
          <w:tcPr>
            <w:tcW w:w="6720" w:type="dxa"/>
            <w:shd w:val="clear" w:color="auto" w:fill="F2F2F2" w:themeFill="background1" w:themeFillShade="F2"/>
            <w:vAlign w:val="center"/>
          </w:tcPr>
          <w:p w14:paraId="5D15263D" w14:textId="77777777" w:rsidR="00B20B70" w:rsidRPr="007306AF" w:rsidRDefault="00000000" w:rsidP="00FF34B9">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Financial Crisis</w:t>
            </w:r>
          </w:p>
        </w:tc>
      </w:tr>
      <w:tr w:rsidR="00640BAF" w14:paraId="1EA9FB84" w14:textId="77777777" w:rsidTr="00FF34B9">
        <w:tc>
          <w:tcPr>
            <w:tcW w:w="0" w:type="auto"/>
            <w:shd w:val="clear" w:color="auto" w:fill="F2F2F2" w:themeFill="background1" w:themeFillShade="F2"/>
            <w:textDirection w:val="btLr"/>
          </w:tcPr>
          <w:p w14:paraId="45F624AD" w14:textId="77777777" w:rsidR="00B20B70" w:rsidRPr="007306AF" w:rsidRDefault="00000000" w:rsidP="00FF34B9">
            <w:pPr>
              <w:pStyle w:val="ListParagraph"/>
              <w:snapToGrid w:val="0"/>
              <w:ind w:left="113" w:right="113"/>
              <w:contextualSpacing w:val="0"/>
              <w:jc w:val="center"/>
              <w:rPr>
                <w:rFonts w:cstheme="minorHAnsi"/>
                <w:b/>
                <w:bCs/>
                <w:sz w:val="20"/>
                <w:szCs w:val="20"/>
                <w:lang w:val="en-US"/>
              </w:rPr>
            </w:pPr>
            <w:r w:rsidRPr="007306AF">
              <w:rPr>
                <w:rFonts w:cstheme="minorHAnsi"/>
                <w:b/>
                <w:bCs/>
                <w:sz w:val="20"/>
                <w:szCs w:val="20"/>
                <w:lang w:val="en-US"/>
              </w:rPr>
              <w:t>Security Lending Scenarios</w:t>
            </w:r>
          </w:p>
        </w:tc>
        <w:tc>
          <w:tcPr>
            <w:tcW w:w="0" w:type="auto"/>
            <w:shd w:val="clear" w:color="auto" w:fill="F2F2F2" w:themeFill="background1" w:themeFillShade="F2"/>
            <w:vAlign w:val="center"/>
          </w:tcPr>
          <w:p w14:paraId="0EE9D838" w14:textId="77777777" w:rsidR="00B20B70" w:rsidRPr="007306AF" w:rsidRDefault="00000000" w:rsidP="00FF34B9">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4</w:t>
            </w:r>
          </w:p>
        </w:tc>
        <w:tc>
          <w:tcPr>
            <w:tcW w:w="1278" w:type="dxa"/>
            <w:shd w:val="clear" w:color="auto" w:fill="F2F2F2" w:themeFill="background1" w:themeFillShade="F2"/>
            <w:vAlign w:val="center"/>
          </w:tcPr>
          <w:p w14:paraId="3C1887E1" w14:textId="77777777" w:rsidR="00B20B70" w:rsidRPr="007306AF" w:rsidRDefault="00000000" w:rsidP="00FF34B9">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AAPL</w:t>
            </w:r>
          </w:p>
          <w:p w14:paraId="14218AAC" w14:textId="77777777" w:rsidR="00B20B70" w:rsidRPr="007306AF" w:rsidRDefault="00000000" w:rsidP="00FF34B9">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Equity Investment</w:t>
            </w:r>
          </w:p>
          <w:p w14:paraId="65D1AA58" w14:textId="77777777" w:rsidR="00B20B70" w:rsidRPr="007306AF" w:rsidRDefault="00B20B70" w:rsidP="00FF34B9">
            <w:pPr>
              <w:pStyle w:val="ListParagraph"/>
              <w:snapToGrid w:val="0"/>
              <w:ind w:left="0"/>
              <w:contextualSpacing w:val="0"/>
              <w:rPr>
                <w:rFonts w:cstheme="minorHAnsi"/>
                <w:b/>
                <w:bCs/>
                <w:sz w:val="20"/>
                <w:szCs w:val="20"/>
                <w:lang w:val="en-US"/>
              </w:rPr>
            </w:pPr>
          </w:p>
        </w:tc>
        <w:tc>
          <w:tcPr>
            <w:tcW w:w="6446" w:type="dxa"/>
            <w:shd w:val="clear" w:color="auto" w:fill="auto"/>
          </w:tcPr>
          <w:p w14:paraId="3780E536" w14:textId="77777777" w:rsidR="00914798" w:rsidRDefault="00000000">
            <w:pPr>
              <w:pStyle w:val="ListParagraph"/>
              <w:numPr>
                <w:ilvl w:val="0"/>
                <w:numId w:val="16"/>
              </w:numPr>
              <w:snapToGrid w:val="0"/>
              <w:rPr>
                <w:rFonts w:cstheme="minorHAnsi"/>
                <w:sz w:val="20"/>
                <w:szCs w:val="20"/>
                <w:lang w:val="en-US"/>
              </w:rPr>
            </w:pPr>
            <w:r w:rsidRPr="00914798">
              <w:rPr>
                <w:rFonts w:cstheme="minorHAnsi"/>
                <w:b/>
                <w:bCs/>
                <w:sz w:val="20"/>
                <w:szCs w:val="20"/>
                <w:lang w:val="en-US"/>
              </w:rPr>
              <w:t>Misrepresentation and Lack of Transparency:</w:t>
            </w:r>
            <w:r w:rsidRPr="00914798">
              <w:rPr>
                <w:rFonts w:cstheme="minorHAnsi"/>
                <w:sz w:val="20"/>
                <w:szCs w:val="20"/>
                <w:lang w:val="en-US"/>
              </w:rPr>
              <w:t xml:space="preserve"> Financial models often rely on historical data and specific assumptions. Failure to accurately represent these elements or to make transparent the model's limitations can lead to ethical quandaries regarding the veracity and integrity of investment advice.</w:t>
            </w:r>
          </w:p>
          <w:p w14:paraId="66E60A07" w14:textId="77777777" w:rsidR="00914798" w:rsidRPr="00914798" w:rsidRDefault="00914798" w:rsidP="00914798">
            <w:pPr>
              <w:pStyle w:val="ListParagraph"/>
              <w:snapToGrid w:val="0"/>
              <w:ind w:left="360"/>
              <w:rPr>
                <w:rFonts w:cstheme="minorHAnsi"/>
                <w:sz w:val="20"/>
                <w:szCs w:val="20"/>
                <w:lang w:val="en-US"/>
              </w:rPr>
            </w:pPr>
          </w:p>
          <w:p w14:paraId="221B9E57" w14:textId="77777777" w:rsidR="00914798" w:rsidRDefault="00000000">
            <w:pPr>
              <w:pStyle w:val="ListParagraph"/>
              <w:numPr>
                <w:ilvl w:val="0"/>
                <w:numId w:val="16"/>
              </w:numPr>
              <w:snapToGrid w:val="0"/>
              <w:rPr>
                <w:rFonts w:cstheme="minorHAnsi"/>
                <w:sz w:val="20"/>
                <w:szCs w:val="20"/>
                <w:lang w:val="en-US"/>
              </w:rPr>
            </w:pPr>
            <w:r w:rsidRPr="00914798">
              <w:rPr>
                <w:rFonts w:cstheme="minorHAnsi"/>
                <w:b/>
                <w:bCs/>
                <w:sz w:val="20"/>
                <w:szCs w:val="20"/>
                <w:lang w:val="en-US"/>
              </w:rPr>
              <w:t>Agency Problems:</w:t>
            </w:r>
            <w:r w:rsidRPr="00914798">
              <w:rPr>
                <w:rFonts w:cstheme="minorHAnsi"/>
                <w:sz w:val="20"/>
                <w:szCs w:val="20"/>
                <w:lang w:val="en-US"/>
              </w:rPr>
              <w:t xml:space="preserve"> Model failures can exacerbate agency problems if fund managers or financial advisors focus on their short-term incentives at the expense of their clients' long-term welfare, potentially constituting a breach of fiduciary duty.</w:t>
            </w:r>
          </w:p>
          <w:p w14:paraId="18962362" w14:textId="77777777" w:rsidR="00914798" w:rsidRDefault="00914798" w:rsidP="00914798">
            <w:pPr>
              <w:pStyle w:val="ListParagraph"/>
              <w:snapToGrid w:val="0"/>
              <w:ind w:left="360"/>
              <w:rPr>
                <w:rFonts w:cstheme="minorHAnsi"/>
                <w:sz w:val="20"/>
                <w:szCs w:val="20"/>
                <w:lang w:val="en-US"/>
              </w:rPr>
            </w:pPr>
          </w:p>
          <w:p w14:paraId="52D82DC8" w14:textId="77777777" w:rsidR="00914798" w:rsidRDefault="00000000">
            <w:pPr>
              <w:pStyle w:val="ListParagraph"/>
              <w:numPr>
                <w:ilvl w:val="0"/>
                <w:numId w:val="16"/>
              </w:numPr>
              <w:snapToGrid w:val="0"/>
              <w:rPr>
                <w:rFonts w:cstheme="minorHAnsi"/>
                <w:sz w:val="20"/>
                <w:szCs w:val="20"/>
                <w:lang w:val="en-US"/>
              </w:rPr>
            </w:pPr>
            <w:r w:rsidRPr="00914798">
              <w:rPr>
                <w:rFonts w:cstheme="minorHAnsi"/>
                <w:b/>
                <w:bCs/>
                <w:sz w:val="20"/>
                <w:szCs w:val="20"/>
                <w:lang w:val="en-US"/>
              </w:rPr>
              <w:t>Distributive Justice:</w:t>
            </w:r>
            <w:r w:rsidRPr="00914798">
              <w:rPr>
                <w:rFonts w:cstheme="minorHAnsi"/>
                <w:sz w:val="20"/>
                <w:szCs w:val="20"/>
                <w:lang w:val="en-US"/>
              </w:rPr>
              <w:t xml:space="preserve"> Model failures can lead to significant financial losses, raising concerns about the equitable distribution of investment risks and returns. Less sophisticated investors may suffer disproportionately, raising ethical questions about social equity and justice.</w:t>
            </w:r>
          </w:p>
          <w:p w14:paraId="4A6140ED" w14:textId="77777777" w:rsidR="00370368" w:rsidRPr="00370368" w:rsidRDefault="00370368" w:rsidP="00370368">
            <w:pPr>
              <w:pStyle w:val="ListParagraph"/>
              <w:rPr>
                <w:rFonts w:cstheme="minorHAnsi"/>
                <w:sz w:val="20"/>
                <w:szCs w:val="20"/>
                <w:lang w:val="en-US"/>
              </w:rPr>
            </w:pPr>
          </w:p>
          <w:p w14:paraId="100493D3" w14:textId="77777777" w:rsidR="00914798" w:rsidRDefault="00000000">
            <w:pPr>
              <w:pStyle w:val="ListParagraph"/>
              <w:numPr>
                <w:ilvl w:val="0"/>
                <w:numId w:val="16"/>
              </w:numPr>
              <w:snapToGrid w:val="0"/>
              <w:rPr>
                <w:rFonts w:cstheme="minorHAnsi"/>
                <w:sz w:val="20"/>
                <w:szCs w:val="20"/>
                <w:lang w:val="en-US"/>
              </w:rPr>
            </w:pPr>
            <w:r w:rsidRPr="00914798">
              <w:rPr>
                <w:rFonts w:cstheme="minorHAnsi"/>
                <w:b/>
                <w:bCs/>
                <w:sz w:val="20"/>
                <w:szCs w:val="20"/>
                <w:lang w:val="en-US"/>
              </w:rPr>
              <w:t>Information Asymmetry and Exploitation:</w:t>
            </w:r>
            <w:r w:rsidRPr="00914798">
              <w:rPr>
                <w:rFonts w:cstheme="minorHAnsi"/>
                <w:sz w:val="20"/>
                <w:szCs w:val="20"/>
                <w:lang w:val="en-US"/>
              </w:rPr>
              <w:t xml:space="preserve"> Flawed models may perpetuate or exacerbate information asymmetry, creating opportunities for exploitation by market participants with superior information or more robust models.</w:t>
            </w:r>
          </w:p>
          <w:p w14:paraId="1AA7C352" w14:textId="77777777" w:rsidR="00914798" w:rsidRPr="00914798" w:rsidRDefault="00914798" w:rsidP="00914798">
            <w:pPr>
              <w:pStyle w:val="ListParagraph"/>
              <w:rPr>
                <w:rFonts w:cstheme="minorHAnsi"/>
                <w:sz w:val="20"/>
                <w:szCs w:val="20"/>
                <w:lang w:val="en-US"/>
              </w:rPr>
            </w:pPr>
          </w:p>
          <w:p w14:paraId="30FCE713" w14:textId="77777777" w:rsidR="00914798" w:rsidRDefault="00000000">
            <w:pPr>
              <w:pStyle w:val="ListParagraph"/>
              <w:numPr>
                <w:ilvl w:val="0"/>
                <w:numId w:val="16"/>
              </w:numPr>
              <w:snapToGrid w:val="0"/>
              <w:rPr>
                <w:rFonts w:cstheme="minorHAnsi"/>
                <w:sz w:val="20"/>
                <w:szCs w:val="20"/>
                <w:lang w:val="en-US"/>
              </w:rPr>
            </w:pPr>
            <w:r w:rsidRPr="00914798">
              <w:rPr>
                <w:rFonts w:cstheme="minorHAnsi"/>
                <w:b/>
                <w:bCs/>
                <w:sz w:val="20"/>
                <w:szCs w:val="20"/>
                <w:lang w:val="en-US"/>
              </w:rPr>
              <w:t>Ethical Hazard in Algorithmic Trading:</w:t>
            </w:r>
            <w:r w:rsidRPr="00914798">
              <w:rPr>
                <w:rFonts w:cstheme="minorHAnsi"/>
                <w:sz w:val="20"/>
                <w:szCs w:val="20"/>
                <w:lang w:val="en-US"/>
              </w:rPr>
              <w:t xml:space="preserve"> If models employed in algorithmic trading fail, they may lead to unintended market manipulations. Failed algorithms create an ethical dilemma regarding accountability for such manipulative practices.</w:t>
            </w:r>
          </w:p>
          <w:p w14:paraId="713985E9" w14:textId="77777777" w:rsidR="006B11C6" w:rsidRPr="006B11C6" w:rsidRDefault="006B11C6" w:rsidP="009D2B93">
            <w:pPr>
              <w:pStyle w:val="ListParagraph"/>
              <w:snapToGrid w:val="0"/>
              <w:ind w:left="360"/>
              <w:rPr>
                <w:rFonts w:cstheme="minorHAnsi"/>
                <w:sz w:val="20"/>
                <w:szCs w:val="20"/>
                <w:lang w:val="en-US"/>
              </w:rPr>
            </w:pPr>
          </w:p>
        </w:tc>
        <w:tc>
          <w:tcPr>
            <w:tcW w:w="6720" w:type="dxa"/>
            <w:shd w:val="clear" w:color="auto" w:fill="auto"/>
          </w:tcPr>
          <w:p w14:paraId="46D33CD2" w14:textId="77777777" w:rsidR="007B4DCA" w:rsidRDefault="00000000">
            <w:pPr>
              <w:pStyle w:val="ListParagraph"/>
              <w:numPr>
                <w:ilvl w:val="0"/>
                <w:numId w:val="17"/>
              </w:numPr>
              <w:snapToGrid w:val="0"/>
              <w:rPr>
                <w:rFonts w:cstheme="minorHAnsi"/>
                <w:sz w:val="20"/>
                <w:szCs w:val="20"/>
                <w:lang w:val="en-US"/>
              </w:rPr>
            </w:pPr>
            <w:r>
              <w:rPr>
                <w:rFonts w:cstheme="minorHAnsi"/>
                <w:b/>
                <w:bCs/>
                <w:sz w:val="20"/>
                <w:szCs w:val="20"/>
                <w:lang w:val="en-US"/>
              </w:rPr>
              <w:t>Financial Bailout</w:t>
            </w:r>
            <w:r w:rsidRPr="00B20B70">
              <w:rPr>
                <w:rFonts w:cstheme="minorHAnsi"/>
                <w:sz w:val="20"/>
                <w:szCs w:val="20"/>
                <w:lang w:val="en-US"/>
              </w:rPr>
              <w:t xml:space="preserve"> </w:t>
            </w:r>
            <w:r>
              <w:rPr>
                <w:rFonts w:cstheme="minorHAnsi"/>
                <w:sz w:val="20"/>
                <w:szCs w:val="20"/>
                <w:lang w:val="en-US"/>
              </w:rPr>
              <w:t xml:space="preserve">exacerbates model hazard.: </w:t>
            </w:r>
            <w:r w:rsidRPr="00B20B70">
              <w:rPr>
                <w:rFonts w:cstheme="minorHAnsi"/>
                <w:sz w:val="20"/>
                <w:szCs w:val="20"/>
                <w:lang w:val="en-US"/>
              </w:rPr>
              <w:t>During financial crises, interventions such as bailouts or unconventional monetary policies may engender a moral hazard among investors, fostering a culture of excessive risk-taking under the presumption of external support.</w:t>
            </w:r>
          </w:p>
          <w:p w14:paraId="30D123D3" w14:textId="77777777" w:rsidR="007B4DCA" w:rsidRDefault="007B4DCA" w:rsidP="007B4DCA">
            <w:pPr>
              <w:pStyle w:val="ListParagraph"/>
              <w:snapToGrid w:val="0"/>
              <w:ind w:left="360"/>
              <w:rPr>
                <w:rFonts w:cstheme="minorHAnsi"/>
                <w:sz w:val="20"/>
                <w:szCs w:val="20"/>
                <w:lang w:val="en-US"/>
              </w:rPr>
            </w:pPr>
          </w:p>
          <w:p w14:paraId="62581FD4" w14:textId="77777777" w:rsidR="007B4DCA" w:rsidRDefault="00000000">
            <w:pPr>
              <w:pStyle w:val="ListParagraph"/>
              <w:numPr>
                <w:ilvl w:val="0"/>
                <w:numId w:val="17"/>
              </w:numPr>
              <w:snapToGrid w:val="0"/>
              <w:rPr>
                <w:rFonts w:cstheme="minorHAnsi"/>
                <w:sz w:val="20"/>
                <w:szCs w:val="20"/>
                <w:lang w:val="en-US"/>
              </w:rPr>
            </w:pPr>
            <w:r w:rsidRPr="00AE41D8">
              <w:rPr>
                <w:rFonts w:cstheme="minorHAnsi"/>
                <w:b/>
                <w:bCs/>
                <w:sz w:val="20"/>
                <w:szCs w:val="20"/>
                <w:lang w:val="en-US"/>
              </w:rPr>
              <w:t>Information Asymmetry:</w:t>
            </w:r>
            <w:r w:rsidRPr="00B20B70">
              <w:rPr>
                <w:rFonts w:cstheme="minorHAnsi"/>
                <w:sz w:val="20"/>
                <w:szCs w:val="20"/>
                <w:lang w:val="en-US"/>
              </w:rPr>
              <w:t xml:space="preserve"> Financial crises often exacerbate information disparities, engendering exploitation and predation of less-informed investors. Ethically, this raises questions about fair market practices</w:t>
            </w:r>
            <w:r>
              <w:rPr>
                <w:rFonts w:cstheme="minorHAnsi"/>
                <w:sz w:val="20"/>
                <w:szCs w:val="20"/>
                <w:lang w:val="en-US"/>
              </w:rPr>
              <w:t>.</w:t>
            </w:r>
          </w:p>
          <w:p w14:paraId="69CA0179" w14:textId="77777777" w:rsidR="007B4DCA" w:rsidRPr="00B20B70" w:rsidRDefault="007B4DCA" w:rsidP="007B4DCA">
            <w:pPr>
              <w:pStyle w:val="ListParagraph"/>
              <w:rPr>
                <w:rFonts w:cstheme="minorHAnsi"/>
                <w:sz w:val="20"/>
                <w:szCs w:val="20"/>
                <w:lang w:val="en-US"/>
              </w:rPr>
            </w:pPr>
          </w:p>
          <w:p w14:paraId="05A769A9" w14:textId="77777777" w:rsidR="007B4DCA" w:rsidRDefault="00000000">
            <w:pPr>
              <w:pStyle w:val="ListParagraph"/>
              <w:numPr>
                <w:ilvl w:val="0"/>
                <w:numId w:val="17"/>
              </w:numPr>
              <w:snapToGrid w:val="0"/>
              <w:rPr>
                <w:rFonts w:cstheme="minorHAnsi"/>
                <w:sz w:val="20"/>
                <w:szCs w:val="20"/>
                <w:lang w:val="en-US"/>
              </w:rPr>
            </w:pPr>
            <w:r w:rsidRPr="00AE41D8">
              <w:rPr>
                <w:rFonts w:cstheme="minorHAnsi"/>
                <w:b/>
                <w:bCs/>
                <w:sz w:val="20"/>
                <w:szCs w:val="20"/>
                <w:lang w:val="en-US"/>
              </w:rPr>
              <w:t>Agency Problems and Fiduciary Duties:</w:t>
            </w:r>
            <w:r w:rsidRPr="00B20B70">
              <w:rPr>
                <w:rFonts w:cstheme="minorHAnsi"/>
                <w:sz w:val="20"/>
                <w:szCs w:val="20"/>
                <w:lang w:val="en-US"/>
              </w:rPr>
              <w:t xml:space="preserve"> In a crisis environment, the alignment between the financial interests of investors and those of financial advisors or fund managers can be discordant, thereby raising ethical issues about the proper execution of fiduciary duties.</w:t>
            </w:r>
          </w:p>
          <w:p w14:paraId="028D1EB0" w14:textId="77777777" w:rsidR="007B4DCA" w:rsidRPr="00B20B70" w:rsidRDefault="007B4DCA" w:rsidP="007B4DCA">
            <w:pPr>
              <w:pStyle w:val="ListParagraph"/>
              <w:rPr>
                <w:rFonts w:cstheme="minorHAnsi"/>
                <w:sz w:val="20"/>
                <w:szCs w:val="20"/>
                <w:lang w:val="en-US"/>
              </w:rPr>
            </w:pPr>
          </w:p>
          <w:p w14:paraId="7ADEF271" w14:textId="77777777" w:rsidR="007B4DCA" w:rsidRDefault="00000000">
            <w:pPr>
              <w:pStyle w:val="ListParagraph"/>
              <w:numPr>
                <w:ilvl w:val="0"/>
                <w:numId w:val="17"/>
              </w:numPr>
              <w:snapToGrid w:val="0"/>
              <w:rPr>
                <w:rFonts w:cstheme="minorHAnsi"/>
                <w:sz w:val="20"/>
                <w:szCs w:val="20"/>
                <w:lang w:val="en-US"/>
              </w:rPr>
            </w:pPr>
            <w:r w:rsidRPr="00AE41D8">
              <w:rPr>
                <w:rFonts w:cstheme="minorHAnsi"/>
                <w:b/>
                <w:bCs/>
                <w:sz w:val="20"/>
                <w:szCs w:val="20"/>
                <w:lang w:val="en-US"/>
              </w:rPr>
              <w:t>Manipulative Practices:</w:t>
            </w:r>
            <w:r w:rsidRPr="00B20B70">
              <w:rPr>
                <w:rFonts w:cstheme="minorHAnsi"/>
                <w:sz w:val="20"/>
                <w:szCs w:val="20"/>
                <w:lang w:val="en-US"/>
              </w:rPr>
              <w:t xml:space="preserve"> Financial crises often witness increased market volatility and liquidity constraints, ripe for manipulative practices such as short-selling or "pump and dump" schemes. These activities raise ethical concerns about market integrity.</w:t>
            </w:r>
          </w:p>
          <w:p w14:paraId="5607D535" w14:textId="77777777" w:rsidR="007B4DCA" w:rsidRPr="00B20B70" w:rsidRDefault="007B4DCA" w:rsidP="007B4DCA">
            <w:pPr>
              <w:pStyle w:val="ListParagraph"/>
              <w:rPr>
                <w:rFonts w:cstheme="minorHAnsi"/>
                <w:sz w:val="20"/>
                <w:szCs w:val="20"/>
                <w:lang w:val="en-US"/>
              </w:rPr>
            </w:pPr>
          </w:p>
          <w:p w14:paraId="058B4247" w14:textId="77777777" w:rsidR="007B4DCA" w:rsidRDefault="00000000">
            <w:pPr>
              <w:pStyle w:val="ListParagraph"/>
              <w:numPr>
                <w:ilvl w:val="0"/>
                <w:numId w:val="17"/>
              </w:numPr>
              <w:snapToGrid w:val="0"/>
              <w:rPr>
                <w:rFonts w:cstheme="minorHAnsi"/>
                <w:sz w:val="20"/>
                <w:szCs w:val="20"/>
                <w:lang w:val="en-US"/>
              </w:rPr>
            </w:pPr>
            <w:r w:rsidRPr="00AE41D8">
              <w:rPr>
                <w:rFonts w:cstheme="minorHAnsi"/>
                <w:b/>
                <w:bCs/>
                <w:sz w:val="20"/>
                <w:szCs w:val="20"/>
                <w:lang w:val="en-US"/>
              </w:rPr>
              <w:t>Economic Inequality:</w:t>
            </w:r>
            <w:r w:rsidRPr="00B20B70">
              <w:rPr>
                <w:rFonts w:cstheme="minorHAnsi"/>
                <w:sz w:val="20"/>
                <w:szCs w:val="20"/>
                <w:lang w:val="en-US"/>
              </w:rPr>
              <w:t xml:space="preserve"> The high volatility and unpredictability during crises can disproportionately affect retail investors and exacerbate economic inequalities. Volatility invokes ethical concerns around social justice and wealth distribution.</w:t>
            </w:r>
          </w:p>
          <w:p w14:paraId="4A7A401C" w14:textId="77777777" w:rsidR="007B4DCA" w:rsidRPr="00B20B70" w:rsidRDefault="007B4DCA" w:rsidP="007B4DCA">
            <w:pPr>
              <w:pStyle w:val="ListParagraph"/>
              <w:rPr>
                <w:rFonts w:cstheme="minorHAnsi"/>
                <w:sz w:val="20"/>
                <w:szCs w:val="20"/>
                <w:lang w:val="en-US"/>
              </w:rPr>
            </w:pPr>
          </w:p>
          <w:p w14:paraId="4EFA535A" w14:textId="003074FE" w:rsidR="00B20B70" w:rsidRPr="009D2B93" w:rsidRDefault="00000000">
            <w:pPr>
              <w:pStyle w:val="ListParagraph"/>
              <w:numPr>
                <w:ilvl w:val="0"/>
                <w:numId w:val="17"/>
              </w:numPr>
              <w:snapToGrid w:val="0"/>
              <w:rPr>
                <w:rFonts w:cstheme="minorHAnsi"/>
                <w:sz w:val="20"/>
                <w:szCs w:val="20"/>
                <w:lang w:val="en-US"/>
              </w:rPr>
            </w:pPr>
            <w:r w:rsidRPr="009D2B93">
              <w:rPr>
                <w:rFonts w:cstheme="minorHAnsi"/>
                <w:b/>
                <w:bCs/>
                <w:sz w:val="20"/>
                <w:szCs w:val="20"/>
                <w:lang w:val="en-US"/>
              </w:rPr>
              <w:t>Transparency and Disclosure:</w:t>
            </w:r>
            <w:r w:rsidRPr="009D2B93">
              <w:rPr>
                <w:rFonts w:cstheme="minorHAnsi"/>
                <w:sz w:val="20"/>
                <w:szCs w:val="20"/>
                <w:lang w:val="en-US"/>
              </w:rPr>
              <w:t xml:space="preserve"> Firms are tempted to obscure their financial conditions during crises. </w:t>
            </w:r>
            <w:r w:rsidR="00827284">
              <w:rPr>
                <w:rFonts w:cstheme="minorHAnsi"/>
                <w:sz w:val="20"/>
                <w:szCs w:val="20"/>
                <w:lang w:val="en-US"/>
              </w:rPr>
              <w:t>A</w:t>
            </w:r>
            <w:r w:rsidRPr="009D2B93">
              <w:rPr>
                <w:rFonts w:cstheme="minorHAnsi"/>
                <w:sz w:val="20"/>
                <w:szCs w:val="20"/>
                <w:lang w:val="en-US"/>
              </w:rPr>
              <w:t xml:space="preserve"> lack of transparency can create ethical dilemmas related to investor trust and corporate responsibility.</w:t>
            </w:r>
          </w:p>
          <w:p w14:paraId="745C9416" w14:textId="77777777" w:rsidR="00B20B70" w:rsidRPr="00DC1ACD" w:rsidRDefault="00B20B70" w:rsidP="00B20B70">
            <w:pPr>
              <w:pStyle w:val="ListParagraph"/>
              <w:snapToGrid w:val="0"/>
              <w:ind w:left="360"/>
              <w:contextualSpacing w:val="0"/>
              <w:rPr>
                <w:rFonts w:cstheme="minorHAnsi"/>
                <w:sz w:val="20"/>
                <w:szCs w:val="20"/>
                <w:lang w:val="en-US"/>
              </w:rPr>
            </w:pPr>
          </w:p>
        </w:tc>
      </w:tr>
    </w:tbl>
    <w:p w14:paraId="7A22C39A" w14:textId="77777777" w:rsidR="006B11C6" w:rsidRPr="006B11C6" w:rsidRDefault="006B11C6" w:rsidP="006B11C6">
      <w:pPr>
        <w:snapToGrid w:val="0"/>
        <w:spacing w:after="0" w:line="240" w:lineRule="auto"/>
        <w:rPr>
          <w:rFonts w:cstheme="minorHAnsi"/>
          <w:b/>
          <w:bCs/>
          <w:color w:val="FFFFFF" w:themeColor="background1"/>
          <w:sz w:val="20"/>
          <w:szCs w:val="20"/>
          <w:lang w:val="en-US"/>
        </w:rPr>
      </w:pPr>
    </w:p>
    <w:p w14:paraId="22B6E42E" w14:textId="77777777" w:rsidR="00966C51" w:rsidRDefault="00966C51" w:rsidP="006B11C6">
      <w:pPr>
        <w:snapToGrid w:val="0"/>
        <w:spacing w:after="0" w:line="240" w:lineRule="auto"/>
        <w:rPr>
          <w:rFonts w:cstheme="minorHAnsi"/>
          <w:b/>
          <w:bCs/>
          <w:color w:val="FFFFFF" w:themeColor="background1"/>
          <w:sz w:val="20"/>
          <w:szCs w:val="20"/>
          <w:lang w:val="en-US"/>
        </w:rPr>
      </w:pPr>
    </w:p>
    <w:p w14:paraId="5D5C8EA7" w14:textId="77777777" w:rsidR="009D2B93" w:rsidRDefault="009D2B93" w:rsidP="006B11C6">
      <w:pPr>
        <w:snapToGrid w:val="0"/>
        <w:spacing w:after="0" w:line="240" w:lineRule="auto"/>
        <w:rPr>
          <w:rFonts w:cstheme="minorHAnsi"/>
          <w:b/>
          <w:bCs/>
          <w:color w:val="FFFFFF" w:themeColor="background1"/>
          <w:sz w:val="20"/>
          <w:szCs w:val="20"/>
          <w:lang w:val="en-US"/>
        </w:rPr>
      </w:pPr>
    </w:p>
    <w:p w14:paraId="42D9839F" w14:textId="77777777" w:rsidR="009D2B93" w:rsidRDefault="009D2B93" w:rsidP="006B11C6">
      <w:pPr>
        <w:snapToGrid w:val="0"/>
        <w:spacing w:after="0" w:line="240" w:lineRule="auto"/>
        <w:rPr>
          <w:rFonts w:cstheme="minorHAnsi"/>
          <w:b/>
          <w:bCs/>
          <w:color w:val="FFFFFF" w:themeColor="background1"/>
          <w:sz w:val="20"/>
          <w:szCs w:val="20"/>
          <w:lang w:val="en-US"/>
        </w:rPr>
      </w:pPr>
    </w:p>
    <w:p w14:paraId="0F52EFA0" w14:textId="77777777" w:rsidR="006B11C6" w:rsidRPr="0025710F" w:rsidRDefault="006B11C6" w:rsidP="006B11C6">
      <w:pPr>
        <w:snapToGrid w:val="0"/>
        <w:spacing w:after="0" w:line="240" w:lineRule="auto"/>
        <w:rPr>
          <w:rFonts w:cstheme="minorHAnsi"/>
          <w:b/>
          <w:bCs/>
          <w:color w:val="FFFFFF" w:themeColor="background1"/>
          <w:lang w:val="en-US"/>
        </w:rPr>
      </w:pPr>
    </w:p>
    <w:p w14:paraId="7BBF9667" w14:textId="77777777" w:rsidR="00CC5F74" w:rsidRDefault="00000000" w:rsidP="004E0E7D">
      <w:pPr>
        <w:pStyle w:val="ListParagraph"/>
        <w:numPr>
          <w:ilvl w:val="1"/>
          <w:numId w:val="1"/>
        </w:numPr>
        <w:snapToGrid w:val="0"/>
        <w:spacing w:after="0" w:line="240" w:lineRule="auto"/>
        <w:contextualSpacing w:val="0"/>
        <w:rPr>
          <w:rFonts w:cstheme="minorHAnsi"/>
          <w:b/>
          <w:bCs/>
          <w:sz w:val="24"/>
          <w:szCs w:val="24"/>
          <w:lang w:val="en-US"/>
        </w:rPr>
      </w:pPr>
      <w:r w:rsidRPr="0025710F">
        <w:rPr>
          <w:rFonts w:cstheme="minorHAnsi"/>
          <w:b/>
          <w:bCs/>
          <w:sz w:val="24"/>
          <w:szCs w:val="24"/>
          <w:lang w:val="en-US"/>
        </w:rPr>
        <w:t>Student Yhasreen for bond and equity</w:t>
      </w:r>
    </w:p>
    <w:p w14:paraId="7A54D1A2" w14:textId="77777777" w:rsidR="00526671" w:rsidRPr="0025710F" w:rsidRDefault="00526671" w:rsidP="00526671">
      <w:pPr>
        <w:pStyle w:val="ListParagraph"/>
        <w:snapToGrid w:val="0"/>
        <w:spacing w:after="0" w:line="240" w:lineRule="auto"/>
        <w:ind w:left="936"/>
        <w:contextualSpacing w:val="0"/>
        <w:rPr>
          <w:rFonts w:cstheme="minorHAnsi"/>
          <w:b/>
          <w:bCs/>
          <w:sz w:val="24"/>
          <w:szCs w:val="24"/>
          <w:lang w:val="en-US"/>
        </w:rPr>
      </w:pPr>
    </w:p>
    <w:tbl>
      <w:tblPr>
        <w:tblStyle w:val="TableGrid"/>
        <w:tblW w:w="0" w:type="auto"/>
        <w:tblLook w:val="04A0" w:firstRow="1" w:lastRow="0" w:firstColumn="1" w:lastColumn="0" w:noHBand="0" w:noVBand="1"/>
      </w:tblPr>
      <w:tblGrid>
        <w:gridCol w:w="473"/>
        <w:gridCol w:w="318"/>
        <w:gridCol w:w="1278"/>
        <w:gridCol w:w="6446"/>
        <w:gridCol w:w="6720"/>
      </w:tblGrid>
      <w:tr w:rsidR="00640BAF" w14:paraId="5413198F" w14:textId="77777777" w:rsidTr="00FF34B9">
        <w:tc>
          <w:tcPr>
            <w:tcW w:w="2069" w:type="dxa"/>
            <w:gridSpan w:val="3"/>
            <w:vMerge w:val="restart"/>
            <w:shd w:val="clear" w:color="auto" w:fill="F2F2F2" w:themeFill="background1" w:themeFillShade="F2"/>
            <w:vAlign w:val="center"/>
          </w:tcPr>
          <w:p w14:paraId="7FF9DFFB" w14:textId="77777777" w:rsidR="006B11C6" w:rsidRPr="007306AF" w:rsidRDefault="00000000" w:rsidP="00FF34B9">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 xml:space="preserve">Table </w:t>
            </w:r>
            <w:r>
              <w:rPr>
                <w:rFonts w:cstheme="minorHAnsi"/>
                <w:b/>
                <w:bCs/>
                <w:sz w:val="20"/>
                <w:szCs w:val="20"/>
                <w:lang w:val="en-US"/>
              </w:rPr>
              <w:t>3.</w:t>
            </w:r>
          </w:p>
        </w:tc>
        <w:tc>
          <w:tcPr>
            <w:tcW w:w="13166" w:type="dxa"/>
            <w:gridSpan w:val="2"/>
            <w:shd w:val="clear" w:color="auto" w:fill="F2F2F2" w:themeFill="background1" w:themeFillShade="F2"/>
            <w:vAlign w:val="center"/>
          </w:tcPr>
          <w:p w14:paraId="3012960C" w14:textId="35D30050" w:rsidR="006B11C6" w:rsidRPr="00F81349" w:rsidRDefault="00000000" w:rsidP="00FF34B9">
            <w:pPr>
              <w:pStyle w:val="ListParagraph"/>
              <w:snapToGrid w:val="0"/>
              <w:ind w:left="0"/>
              <w:contextualSpacing w:val="0"/>
              <w:jc w:val="center"/>
              <w:rPr>
                <w:rFonts w:cstheme="minorHAnsi"/>
                <w:b/>
                <w:bCs/>
                <w:sz w:val="24"/>
                <w:szCs w:val="24"/>
                <w:lang w:val="en-US"/>
              </w:rPr>
            </w:pPr>
            <w:r>
              <w:rPr>
                <w:rFonts w:cstheme="minorHAnsi"/>
                <w:b/>
                <w:bCs/>
                <w:sz w:val="24"/>
                <w:szCs w:val="24"/>
                <w:lang w:val="en-US"/>
              </w:rPr>
              <w:t xml:space="preserve">Ethical Consideration </w:t>
            </w:r>
            <w:r w:rsidR="00FC06D2">
              <w:rPr>
                <w:rFonts w:cstheme="minorHAnsi"/>
                <w:b/>
                <w:bCs/>
                <w:sz w:val="24"/>
                <w:szCs w:val="24"/>
                <w:lang w:val="en-US"/>
              </w:rPr>
              <w:t xml:space="preserve">on </w:t>
            </w:r>
            <w:r>
              <w:rPr>
                <w:rFonts w:cstheme="minorHAnsi"/>
                <w:b/>
                <w:bCs/>
                <w:sz w:val="24"/>
                <w:szCs w:val="24"/>
                <w:lang w:val="en-US"/>
              </w:rPr>
              <w:t xml:space="preserve">Model and Crisis </w:t>
            </w:r>
            <w:r w:rsidRPr="00F81349">
              <w:rPr>
                <w:rFonts w:cstheme="minorHAnsi"/>
                <w:b/>
                <w:bCs/>
                <w:sz w:val="24"/>
                <w:szCs w:val="24"/>
                <w:lang w:val="en-US"/>
              </w:rPr>
              <w:t xml:space="preserve">Fallout Risk for </w:t>
            </w:r>
            <w:r>
              <w:rPr>
                <w:rFonts w:cstheme="minorHAnsi"/>
                <w:b/>
                <w:bCs/>
                <w:sz w:val="24"/>
                <w:szCs w:val="24"/>
                <w:lang w:val="en-US"/>
              </w:rPr>
              <w:t>Bond</w:t>
            </w:r>
          </w:p>
        </w:tc>
      </w:tr>
      <w:tr w:rsidR="00640BAF" w14:paraId="3230CACF" w14:textId="77777777" w:rsidTr="00FF34B9">
        <w:tc>
          <w:tcPr>
            <w:tcW w:w="2069" w:type="dxa"/>
            <w:gridSpan w:val="3"/>
            <w:vMerge/>
            <w:shd w:val="clear" w:color="auto" w:fill="F2F2F2" w:themeFill="background1" w:themeFillShade="F2"/>
          </w:tcPr>
          <w:p w14:paraId="7BC85C8F" w14:textId="77777777" w:rsidR="006B11C6" w:rsidRPr="007306AF" w:rsidRDefault="006B11C6" w:rsidP="00FF34B9">
            <w:pPr>
              <w:pStyle w:val="ListParagraph"/>
              <w:snapToGrid w:val="0"/>
              <w:ind w:left="0"/>
              <w:contextualSpacing w:val="0"/>
              <w:jc w:val="center"/>
              <w:rPr>
                <w:rFonts w:cstheme="minorHAnsi"/>
                <w:b/>
                <w:bCs/>
                <w:sz w:val="20"/>
                <w:szCs w:val="20"/>
                <w:lang w:val="en-US"/>
              </w:rPr>
            </w:pPr>
          </w:p>
        </w:tc>
        <w:tc>
          <w:tcPr>
            <w:tcW w:w="6446" w:type="dxa"/>
            <w:shd w:val="clear" w:color="auto" w:fill="F2F2F2" w:themeFill="background1" w:themeFillShade="F2"/>
            <w:vAlign w:val="center"/>
          </w:tcPr>
          <w:p w14:paraId="5093E371" w14:textId="77777777" w:rsidR="006B11C6" w:rsidRPr="007306AF" w:rsidRDefault="00000000" w:rsidP="00FF34B9">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 xml:space="preserve">Analyst’s </w:t>
            </w:r>
            <w:r w:rsidRPr="007306AF">
              <w:rPr>
                <w:rFonts w:cstheme="minorHAnsi"/>
                <w:b/>
                <w:bCs/>
                <w:sz w:val="20"/>
                <w:szCs w:val="20"/>
                <w:lang w:val="en-US"/>
              </w:rPr>
              <w:t>Consideration</w:t>
            </w:r>
          </w:p>
        </w:tc>
        <w:tc>
          <w:tcPr>
            <w:tcW w:w="6720" w:type="dxa"/>
            <w:shd w:val="clear" w:color="auto" w:fill="F2F2F2" w:themeFill="background1" w:themeFillShade="F2"/>
            <w:vAlign w:val="center"/>
          </w:tcPr>
          <w:p w14:paraId="54894BE1" w14:textId="77777777" w:rsidR="006B11C6" w:rsidRPr="007306AF" w:rsidRDefault="00000000" w:rsidP="00FF34B9">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 xml:space="preserve">Analyst’s </w:t>
            </w:r>
            <w:r w:rsidRPr="007306AF">
              <w:rPr>
                <w:rFonts w:cstheme="minorHAnsi"/>
                <w:b/>
                <w:bCs/>
                <w:sz w:val="20"/>
                <w:szCs w:val="20"/>
                <w:lang w:val="en-US"/>
              </w:rPr>
              <w:t>Consideration</w:t>
            </w:r>
          </w:p>
        </w:tc>
      </w:tr>
      <w:tr w:rsidR="00640BAF" w14:paraId="7C395C1C" w14:textId="77777777" w:rsidTr="00FF34B9">
        <w:tc>
          <w:tcPr>
            <w:tcW w:w="2069" w:type="dxa"/>
            <w:gridSpan w:val="3"/>
            <w:vMerge/>
            <w:shd w:val="clear" w:color="auto" w:fill="F2F2F2" w:themeFill="background1" w:themeFillShade="F2"/>
          </w:tcPr>
          <w:p w14:paraId="14E13966" w14:textId="77777777" w:rsidR="006B11C6" w:rsidRPr="007306AF" w:rsidRDefault="006B11C6" w:rsidP="00FF34B9">
            <w:pPr>
              <w:pStyle w:val="ListParagraph"/>
              <w:snapToGrid w:val="0"/>
              <w:ind w:left="0"/>
              <w:contextualSpacing w:val="0"/>
              <w:jc w:val="center"/>
              <w:rPr>
                <w:rFonts w:cstheme="minorHAnsi"/>
                <w:b/>
                <w:bCs/>
                <w:sz w:val="20"/>
                <w:szCs w:val="20"/>
                <w:lang w:val="en-US"/>
              </w:rPr>
            </w:pPr>
          </w:p>
        </w:tc>
        <w:tc>
          <w:tcPr>
            <w:tcW w:w="6446" w:type="dxa"/>
            <w:shd w:val="clear" w:color="auto" w:fill="F2F2F2" w:themeFill="background1" w:themeFillShade="F2"/>
            <w:vAlign w:val="center"/>
          </w:tcPr>
          <w:p w14:paraId="1F63BB80" w14:textId="77777777" w:rsidR="006B11C6" w:rsidRPr="007306AF" w:rsidRDefault="00000000" w:rsidP="00FF34B9">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Model Failure</w:t>
            </w:r>
          </w:p>
        </w:tc>
        <w:tc>
          <w:tcPr>
            <w:tcW w:w="6720" w:type="dxa"/>
            <w:shd w:val="clear" w:color="auto" w:fill="F2F2F2" w:themeFill="background1" w:themeFillShade="F2"/>
            <w:vAlign w:val="center"/>
          </w:tcPr>
          <w:p w14:paraId="501CCEE1" w14:textId="77777777" w:rsidR="006B11C6" w:rsidRPr="007306AF" w:rsidRDefault="00000000" w:rsidP="00FF34B9">
            <w:pPr>
              <w:pStyle w:val="ListParagraph"/>
              <w:snapToGrid w:val="0"/>
              <w:ind w:left="0"/>
              <w:contextualSpacing w:val="0"/>
              <w:jc w:val="center"/>
              <w:rPr>
                <w:rFonts w:cstheme="minorHAnsi"/>
                <w:b/>
                <w:bCs/>
                <w:sz w:val="20"/>
                <w:szCs w:val="20"/>
                <w:lang w:val="en-US"/>
              </w:rPr>
            </w:pPr>
            <w:r>
              <w:rPr>
                <w:rFonts w:cstheme="minorHAnsi"/>
                <w:b/>
                <w:bCs/>
                <w:sz w:val="20"/>
                <w:szCs w:val="20"/>
                <w:lang w:val="en-US"/>
              </w:rPr>
              <w:t>Financial Crisis</w:t>
            </w:r>
          </w:p>
        </w:tc>
      </w:tr>
      <w:tr w:rsidR="00640BAF" w14:paraId="545CD929" w14:textId="77777777" w:rsidTr="00FF34B9">
        <w:tc>
          <w:tcPr>
            <w:tcW w:w="0" w:type="auto"/>
            <w:shd w:val="clear" w:color="auto" w:fill="F2F2F2" w:themeFill="background1" w:themeFillShade="F2"/>
            <w:textDirection w:val="btLr"/>
          </w:tcPr>
          <w:p w14:paraId="3F8F9E3A" w14:textId="77777777" w:rsidR="006B11C6" w:rsidRPr="007306AF" w:rsidRDefault="00000000" w:rsidP="00FF34B9">
            <w:pPr>
              <w:pStyle w:val="ListParagraph"/>
              <w:snapToGrid w:val="0"/>
              <w:ind w:left="113" w:right="113"/>
              <w:contextualSpacing w:val="0"/>
              <w:jc w:val="center"/>
              <w:rPr>
                <w:rFonts w:cstheme="minorHAnsi"/>
                <w:b/>
                <w:bCs/>
                <w:sz w:val="20"/>
                <w:szCs w:val="20"/>
                <w:lang w:val="en-US"/>
              </w:rPr>
            </w:pPr>
            <w:r w:rsidRPr="007306AF">
              <w:rPr>
                <w:rFonts w:cstheme="minorHAnsi"/>
                <w:b/>
                <w:bCs/>
                <w:sz w:val="20"/>
                <w:szCs w:val="20"/>
                <w:lang w:val="en-US"/>
              </w:rPr>
              <w:t>Security Lending Scenarios</w:t>
            </w:r>
          </w:p>
        </w:tc>
        <w:tc>
          <w:tcPr>
            <w:tcW w:w="0" w:type="auto"/>
            <w:shd w:val="clear" w:color="auto" w:fill="F2F2F2" w:themeFill="background1" w:themeFillShade="F2"/>
            <w:vAlign w:val="center"/>
          </w:tcPr>
          <w:p w14:paraId="03B5DAE2" w14:textId="77777777" w:rsidR="006B11C6" w:rsidRPr="007306AF" w:rsidRDefault="00000000" w:rsidP="00FF34B9">
            <w:pPr>
              <w:pStyle w:val="ListParagraph"/>
              <w:snapToGrid w:val="0"/>
              <w:ind w:left="0"/>
              <w:contextualSpacing w:val="0"/>
              <w:jc w:val="center"/>
              <w:rPr>
                <w:rFonts w:cstheme="minorHAnsi"/>
                <w:b/>
                <w:bCs/>
                <w:sz w:val="20"/>
                <w:szCs w:val="20"/>
                <w:lang w:val="en-US"/>
              </w:rPr>
            </w:pPr>
            <w:r w:rsidRPr="007306AF">
              <w:rPr>
                <w:rFonts w:cstheme="minorHAnsi"/>
                <w:b/>
                <w:bCs/>
                <w:sz w:val="20"/>
                <w:szCs w:val="20"/>
                <w:lang w:val="en-US"/>
              </w:rPr>
              <w:t>4</w:t>
            </w:r>
          </w:p>
        </w:tc>
        <w:tc>
          <w:tcPr>
            <w:tcW w:w="1278" w:type="dxa"/>
            <w:shd w:val="clear" w:color="auto" w:fill="F2F2F2" w:themeFill="background1" w:themeFillShade="F2"/>
            <w:vAlign w:val="center"/>
          </w:tcPr>
          <w:p w14:paraId="729AD256" w14:textId="77777777" w:rsidR="006B11C6" w:rsidRPr="007306AF" w:rsidRDefault="00000000" w:rsidP="00FF34B9">
            <w:pPr>
              <w:pStyle w:val="ListParagraph"/>
              <w:snapToGrid w:val="0"/>
              <w:ind w:left="0"/>
              <w:contextualSpacing w:val="0"/>
              <w:rPr>
                <w:rFonts w:cstheme="minorHAnsi"/>
                <w:b/>
                <w:bCs/>
                <w:sz w:val="20"/>
                <w:szCs w:val="20"/>
                <w:lang w:val="en-US"/>
              </w:rPr>
            </w:pPr>
            <w:r>
              <w:rPr>
                <w:rFonts w:cstheme="minorHAnsi"/>
                <w:b/>
                <w:bCs/>
                <w:sz w:val="20"/>
                <w:szCs w:val="20"/>
                <w:lang w:val="en-US"/>
              </w:rPr>
              <w:t>2 Year Treasury Bond</w:t>
            </w:r>
          </w:p>
          <w:p w14:paraId="38841CF6" w14:textId="77777777" w:rsidR="006B11C6" w:rsidRPr="007306AF" w:rsidRDefault="00000000" w:rsidP="00FF34B9">
            <w:pPr>
              <w:pStyle w:val="ListParagraph"/>
              <w:snapToGrid w:val="0"/>
              <w:ind w:left="0"/>
              <w:contextualSpacing w:val="0"/>
              <w:rPr>
                <w:rFonts w:cstheme="minorHAnsi"/>
                <w:b/>
                <w:bCs/>
                <w:sz w:val="20"/>
                <w:szCs w:val="20"/>
                <w:lang w:val="en-US"/>
              </w:rPr>
            </w:pPr>
            <w:r w:rsidRPr="007306AF">
              <w:rPr>
                <w:rFonts w:cstheme="minorHAnsi"/>
                <w:b/>
                <w:bCs/>
                <w:sz w:val="20"/>
                <w:szCs w:val="20"/>
                <w:lang w:val="en-US"/>
              </w:rPr>
              <w:t>Investment</w:t>
            </w:r>
          </w:p>
          <w:p w14:paraId="3F57DC9D" w14:textId="77777777" w:rsidR="006B11C6" w:rsidRPr="007306AF" w:rsidRDefault="006B11C6" w:rsidP="00FF34B9">
            <w:pPr>
              <w:pStyle w:val="ListParagraph"/>
              <w:snapToGrid w:val="0"/>
              <w:ind w:left="0"/>
              <w:contextualSpacing w:val="0"/>
              <w:rPr>
                <w:rFonts w:cstheme="minorHAnsi"/>
                <w:b/>
                <w:bCs/>
                <w:sz w:val="20"/>
                <w:szCs w:val="20"/>
                <w:lang w:val="en-US"/>
              </w:rPr>
            </w:pPr>
          </w:p>
        </w:tc>
        <w:tc>
          <w:tcPr>
            <w:tcW w:w="6446" w:type="dxa"/>
            <w:shd w:val="clear" w:color="auto" w:fill="auto"/>
          </w:tcPr>
          <w:p w14:paraId="28B7454F" w14:textId="77777777" w:rsidR="006B11C6" w:rsidRDefault="00000000">
            <w:pPr>
              <w:pStyle w:val="ListParagraph"/>
              <w:numPr>
                <w:ilvl w:val="0"/>
                <w:numId w:val="19"/>
              </w:numPr>
              <w:snapToGrid w:val="0"/>
              <w:rPr>
                <w:rFonts w:cstheme="minorHAnsi"/>
                <w:sz w:val="20"/>
                <w:szCs w:val="20"/>
                <w:lang w:val="en-US"/>
              </w:rPr>
            </w:pPr>
            <w:r w:rsidRPr="006B11C6">
              <w:rPr>
                <w:rFonts w:cstheme="minorHAnsi"/>
                <w:b/>
                <w:bCs/>
                <w:sz w:val="20"/>
                <w:szCs w:val="20"/>
                <w:lang w:val="en-US"/>
              </w:rPr>
              <w:t>Moral Hazard:</w:t>
            </w:r>
            <w:r w:rsidRPr="00676FC1">
              <w:rPr>
                <w:rFonts w:cstheme="minorHAnsi"/>
                <w:sz w:val="20"/>
                <w:szCs w:val="20"/>
                <w:lang w:val="en-US"/>
              </w:rPr>
              <w:t xml:space="preserve"> Misguided risk assessment due to model failure may engender a moral hazard where investors, imbued with false confidence, take undue risk with the presumption of safety in Treasury bonds.</w:t>
            </w:r>
          </w:p>
          <w:p w14:paraId="19EAAC1D" w14:textId="77777777" w:rsidR="006B11C6" w:rsidRPr="00914798" w:rsidRDefault="006B11C6" w:rsidP="006B11C6">
            <w:pPr>
              <w:pStyle w:val="ListParagraph"/>
              <w:snapToGrid w:val="0"/>
              <w:ind w:left="360"/>
              <w:rPr>
                <w:rFonts w:cstheme="minorHAnsi"/>
                <w:sz w:val="20"/>
                <w:szCs w:val="20"/>
                <w:lang w:val="en-US"/>
              </w:rPr>
            </w:pPr>
          </w:p>
          <w:p w14:paraId="5AD981CA" w14:textId="77777777" w:rsidR="006B11C6" w:rsidRDefault="00000000">
            <w:pPr>
              <w:pStyle w:val="ListParagraph"/>
              <w:numPr>
                <w:ilvl w:val="0"/>
                <w:numId w:val="19"/>
              </w:numPr>
              <w:snapToGrid w:val="0"/>
              <w:rPr>
                <w:rFonts w:cstheme="minorHAnsi"/>
                <w:sz w:val="20"/>
                <w:szCs w:val="20"/>
                <w:lang w:val="en-US"/>
              </w:rPr>
            </w:pPr>
            <w:r w:rsidRPr="006B11C6">
              <w:rPr>
                <w:rFonts w:cstheme="minorHAnsi"/>
                <w:b/>
                <w:bCs/>
                <w:sz w:val="20"/>
                <w:szCs w:val="20"/>
                <w:lang w:val="en-US"/>
              </w:rPr>
              <w:t>Fiduciary Misalignment:</w:t>
            </w:r>
            <w:r w:rsidRPr="006B11C6">
              <w:rPr>
                <w:rFonts w:cstheme="minorHAnsi"/>
                <w:sz w:val="20"/>
                <w:szCs w:val="20"/>
                <w:lang w:val="en-US"/>
              </w:rPr>
              <w:t xml:space="preserve"> Model failure can exacerbate conflicts of interest between financial advisors and their clients. An advisor may prioritize instruments that yield higher commissions over a client's financial well-being, thus compromising fiduciary responsibilities.</w:t>
            </w:r>
          </w:p>
          <w:p w14:paraId="6555177E" w14:textId="77777777" w:rsidR="006B11C6" w:rsidRDefault="006B11C6" w:rsidP="006B11C6">
            <w:pPr>
              <w:pStyle w:val="ListParagraph"/>
              <w:snapToGrid w:val="0"/>
              <w:ind w:left="360"/>
              <w:rPr>
                <w:rFonts w:cstheme="minorHAnsi"/>
                <w:sz w:val="20"/>
                <w:szCs w:val="20"/>
                <w:lang w:val="en-US"/>
              </w:rPr>
            </w:pPr>
          </w:p>
          <w:p w14:paraId="0C73394F" w14:textId="77777777" w:rsidR="006B11C6" w:rsidRDefault="00000000">
            <w:pPr>
              <w:pStyle w:val="ListParagraph"/>
              <w:numPr>
                <w:ilvl w:val="0"/>
                <w:numId w:val="19"/>
              </w:numPr>
              <w:snapToGrid w:val="0"/>
              <w:rPr>
                <w:rFonts w:cstheme="minorHAnsi"/>
                <w:sz w:val="20"/>
                <w:szCs w:val="20"/>
                <w:lang w:val="en-US"/>
              </w:rPr>
            </w:pPr>
            <w:r w:rsidRPr="006B11C6">
              <w:rPr>
                <w:rFonts w:cstheme="minorHAnsi"/>
                <w:b/>
                <w:bCs/>
                <w:sz w:val="20"/>
                <w:szCs w:val="20"/>
                <w:lang w:val="en-US"/>
              </w:rPr>
              <w:t>Ethical Implications of Information Asymmetry:</w:t>
            </w:r>
            <w:r w:rsidRPr="006B11C6">
              <w:rPr>
                <w:rFonts w:cstheme="minorHAnsi"/>
                <w:sz w:val="20"/>
                <w:szCs w:val="20"/>
                <w:lang w:val="en-US"/>
              </w:rPr>
              <w:t xml:space="preserve"> A flawed model may contribute to or exacerbate information asymmetry between institutional and retail investors. The flawed model disadvantages the less-informed investors and violates principles of fair and equal access to investment opportunities.</w:t>
            </w:r>
          </w:p>
          <w:p w14:paraId="3B6A3AD4" w14:textId="77777777" w:rsidR="006B11C6" w:rsidRPr="006B11C6" w:rsidRDefault="006B11C6" w:rsidP="006B11C6">
            <w:pPr>
              <w:pStyle w:val="ListParagraph"/>
              <w:rPr>
                <w:rFonts w:cstheme="minorHAnsi"/>
                <w:sz w:val="20"/>
                <w:szCs w:val="20"/>
                <w:lang w:val="en-US"/>
              </w:rPr>
            </w:pPr>
          </w:p>
          <w:p w14:paraId="755FBA84" w14:textId="77777777" w:rsidR="006B11C6" w:rsidRDefault="00000000">
            <w:pPr>
              <w:pStyle w:val="ListParagraph"/>
              <w:numPr>
                <w:ilvl w:val="0"/>
                <w:numId w:val="19"/>
              </w:numPr>
              <w:snapToGrid w:val="0"/>
              <w:rPr>
                <w:rFonts w:cstheme="minorHAnsi"/>
                <w:sz w:val="20"/>
                <w:szCs w:val="20"/>
                <w:lang w:val="en-US"/>
              </w:rPr>
            </w:pPr>
            <w:r w:rsidRPr="006B11C6">
              <w:rPr>
                <w:rFonts w:cstheme="minorHAnsi"/>
                <w:b/>
                <w:bCs/>
                <w:sz w:val="20"/>
                <w:szCs w:val="20"/>
                <w:lang w:val="en-US"/>
              </w:rPr>
              <w:t>Lack of Transparency and Accountability:</w:t>
            </w:r>
            <w:r w:rsidRPr="006B11C6">
              <w:rPr>
                <w:rFonts w:cstheme="minorHAnsi"/>
                <w:sz w:val="20"/>
                <w:szCs w:val="20"/>
                <w:lang w:val="en-US"/>
              </w:rPr>
              <w:t xml:space="preserve"> The opaque nature of complex financial models may obfuscate risks and thus decrease the accountability of financial institutions and advisors in the event of failure.</w:t>
            </w:r>
          </w:p>
          <w:p w14:paraId="7483628B" w14:textId="77777777" w:rsidR="006B11C6" w:rsidRPr="006B11C6" w:rsidRDefault="006B11C6" w:rsidP="006B11C6">
            <w:pPr>
              <w:pStyle w:val="ListParagraph"/>
              <w:rPr>
                <w:rFonts w:cstheme="minorHAnsi"/>
                <w:sz w:val="20"/>
                <w:szCs w:val="20"/>
                <w:lang w:val="en-US"/>
              </w:rPr>
            </w:pPr>
          </w:p>
          <w:p w14:paraId="6F6873CA" w14:textId="77777777" w:rsidR="006B11C6" w:rsidRPr="00914798" w:rsidRDefault="00000000">
            <w:pPr>
              <w:pStyle w:val="ListParagraph"/>
              <w:numPr>
                <w:ilvl w:val="0"/>
                <w:numId w:val="19"/>
              </w:numPr>
              <w:snapToGrid w:val="0"/>
              <w:rPr>
                <w:rFonts w:cstheme="minorHAnsi"/>
                <w:sz w:val="20"/>
                <w:szCs w:val="20"/>
                <w:lang w:val="en-US"/>
              </w:rPr>
            </w:pPr>
            <w:r w:rsidRPr="006B11C6">
              <w:rPr>
                <w:rFonts w:cstheme="minorHAnsi"/>
                <w:b/>
                <w:bCs/>
                <w:sz w:val="20"/>
                <w:szCs w:val="20"/>
                <w:lang w:val="en-US"/>
              </w:rPr>
              <w:t>Social Welfare and Distributive Justice:</w:t>
            </w:r>
            <w:r w:rsidRPr="006B11C6">
              <w:rPr>
                <w:rFonts w:cstheme="minorHAnsi"/>
                <w:sz w:val="20"/>
                <w:szCs w:val="20"/>
                <w:lang w:val="en-US"/>
              </w:rPr>
              <w:t xml:space="preserve"> Model failure could lead to large-scale financial instability, which may necessitate government intervention. The resultant fiscal burden falls on taxpayers, thus raising ethical concerns around distributive justice and social welfare.</w:t>
            </w:r>
          </w:p>
        </w:tc>
        <w:tc>
          <w:tcPr>
            <w:tcW w:w="6720" w:type="dxa"/>
            <w:shd w:val="clear" w:color="auto" w:fill="auto"/>
          </w:tcPr>
          <w:p w14:paraId="152F11FC" w14:textId="77777777" w:rsidR="006B11C6" w:rsidRDefault="00000000">
            <w:pPr>
              <w:pStyle w:val="ListParagraph"/>
              <w:numPr>
                <w:ilvl w:val="0"/>
                <w:numId w:val="18"/>
              </w:numPr>
              <w:snapToGrid w:val="0"/>
              <w:rPr>
                <w:rFonts w:cstheme="minorHAnsi"/>
                <w:sz w:val="20"/>
                <w:szCs w:val="20"/>
                <w:lang w:val="en-US"/>
              </w:rPr>
            </w:pPr>
            <w:r w:rsidRPr="00AE41D8">
              <w:rPr>
                <w:rFonts w:cstheme="minorHAnsi"/>
                <w:b/>
                <w:bCs/>
                <w:sz w:val="20"/>
                <w:szCs w:val="20"/>
                <w:lang w:val="en-US"/>
              </w:rPr>
              <w:t>Moral Hazard:</w:t>
            </w:r>
            <w:r w:rsidRPr="00B20B70">
              <w:rPr>
                <w:rFonts w:cstheme="minorHAnsi"/>
                <w:sz w:val="20"/>
                <w:szCs w:val="20"/>
                <w:lang w:val="en-US"/>
              </w:rPr>
              <w:t xml:space="preserve"> </w:t>
            </w:r>
            <w:r w:rsidR="0002332C" w:rsidRPr="0002332C">
              <w:rPr>
                <w:rFonts w:cstheme="minorHAnsi"/>
                <w:sz w:val="20"/>
                <w:szCs w:val="20"/>
                <w:lang w:val="en-US"/>
              </w:rPr>
              <w:t>Central bank interventions, such as quantitative easing, can encourage ethics of impunity, fostering a propensity for excessive risk-taking under the assumption of guaranteed safety in Treasury securities.</w:t>
            </w:r>
          </w:p>
          <w:p w14:paraId="49D19EED" w14:textId="77777777" w:rsidR="006B11C6" w:rsidRDefault="006B11C6" w:rsidP="00FF34B9">
            <w:pPr>
              <w:pStyle w:val="ListParagraph"/>
              <w:snapToGrid w:val="0"/>
              <w:ind w:left="360"/>
              <w:rPr>
                <w:rFonts w:cstheme="minorHAnsi"/>
                <w:sz w:val="20"/>
                <w:szCs w:val="20"/>
                <w:lang w:val="en-US"/>
              </w:rPr>
            </w:pPr>
          </w:p>
          <w:p w14:paraId="09CAD4A6" w14:textId="3F7DB15C" w:rsidR="0002332C" w:rsidRPr="0002332C" w:rsidRDefault="00000000">
            <w:pPr>
              <w:pStyle w:val="ListParagraph"/>
              <w:numPr>
                <w:ilvl w:val="0"/>
                <w:numId w:val="18"/>
              </w:numPr>
              <w:snapToGrid w:val="0"/>
              <w:rPr>
                <w:rFonts w:cstheme="minorHAnsi"/>
                <w:sz w:val="20"/>
                <w:szCs w:val="20"/>
                <w:lang w:val="en-US"/>
              </w:rPr>
            </w:pPr>
            <w:r w:rsidRPr="0002332C">
              <w:rPr>
                <w:rFonts w:cstheme="minorHAnsi"/>
                <w:b/>
                <w:bCs/>
                <w:sz w:val="20"/>
                <w:szCs w:val="20"/>
                <w:lang w:val="en-US"/>
              </w:rPr>
              <w:t>Fiduciary Responsibility:</w:t>
            </w:r>
            <w:r w:rsidRPr="0002332C">
              <w:rPr>
                <w:rFonts w:cstheme="minorHAnsi"/>
                <w:sz w:val="20"/>
                <w:szCs w:val="20"/>
                <w:lang w:val="en-US"/>
              </w:rPr>
              <w:t xml:space="preserve"> Investment advisors may recommend Treasury bonds as a "</w:t>
            </w:r>
            <w:r w:rsidR="00A73E0A">
              <w:rPr>
                <w:rFonts w:cstheme="minorHAnsi"/>
                <w:sz w:val="20"/>
                <w:szCs w:val="20"/>
                <w:lang w:val="en-US"/>
              </w:rPr>
              <w:t>safe</w:t>
            </w:r>
            <w:r w:rsidR="00A73E0A" w:rsidRPr="0002332C">
              <w:rPr>
                <w:rFonts w:cstheme="minorHAnsi"/>
                <w:sz w:val="20"/>
                <w:szCs w:val="20"/>
                <w:lang w:val="en-US"/>
              </w:rPr>
              <w:t xml:space="preserve"> haven</w:t>
            </w:r>
            <w:r w:rsidRPr="0002332C">
              <w:rPr>
                <w:rFonts w:cstheme="minorHAnsi"/>
                <w:sz w:val="20"/>
                <w:szCs w:val="20"/>
                <w:lang w:val="en-US"/>
              </w:rPr>
              <w:t>" without considering the client's financial situation and risk tolerance, neglecting the</w:t>
            </w:r>
            <w:r w:rsidR="00A73E0A">
              <w:rPr>
                <w:rFonts w:cstheme="minorHAnsi"/>
                <w:sz w:val="20"/>
                <w:szCs w:val="20"/>
                <w:lang w:val="en-US"/>
              </w:rPr>
              <w:t xml:space="preserve"> advisor’s</w:t>
            </w:r>
            <w:r w:rsidRPr="0002332C">
              <w:rPr>
                <w:rFonts w:cstheme="minorHAnsi"/>
                <w:sz w:val="20"/>
                <w:szCs w:val="20"/>
                <w:lang w:val="en-US"/>
              </w:rPr>
              <w:t xml:space="preserve"> fiduciary duties.</w:t>
            </w:r>
          </w:p>
          <w:p w14:paraId="454CA305" w14:textId="77777777" w:rsidR="0002332C" w:rsidRDefault="0002332C" w:rsidP="0002332C">
            <w:pPr>
              <w:pStyle w:val="ListParagraph"/>
              <w:rPr>
                <w:rFonts w:cstheme="minorHAnsi"/>
                <w:b/>
                <w:bCs/>
                <w:sz w:val="20"/>
                <w:szCs w:val="20"/>
                <w:lang w:val="en-US"/>
              </w:rPr>
            </w:pPr>
          </w:p>
          <w:p w14:paraId="2816D1EE" w14:textId="77777777" w:rsidR="009D2B93" w:rsidRPr="0002332C" w:rsidRDefault="009D2B93" w:rsidP="0002332C">
            <w:pPr>
              <w:pStyle w:val="ListParagraph"/>
              <w:rPr>
                <w:rFonts w:cstheme="minorHAnsi"/>
                <w:b/>
                <w:bCs/>
                <w:sz w:val="20"/>
                <w:szCs w:val="20"/>
                <w:lang w:val="en-US"/>
              </w:rPr>
            </w:pPr>
          </w:p>
          <w:p w14:paraId="0E806C82" w14:textId="77777777" w:rsidR="0002332C" w:rsidRDefault="00000000">
            <w:pPr>
              <w:pStyle w:val="ListParagraph"/>
              <w:numPr>
                <w:ilvl w:val="0"/>
                <w:numId w:val="18"/>
              </w:numPr>
              <w:snapToGrid w:val="0"/>
              <w:rPr>
                <w:rFonts w:cstheme="minorHAnsi"/>
                <w:sz w:val="20"/>
                <w:szCs w:val="20"/>
                <w:lang w:val="en-US"/>
              </w:rPr>
            </w:pPr>
            <w:r w:rsidRPr="0002332C">
              <w:rPr>
                <w:rFonts w:cstheme="minorHAnsi"/>
                <w:b/>
                <w:bCs/>
                <w:sz w:val="20"/>
                <w:szCs w:val="20"/>
                <w:lang w:val="en-US"/>
              </w:rPr>
              <w:t>Transparency and Information Disparity:</w:t>
            </w:r>
            <w:r w:rsidRPr="0002332C">
              <w:rPr>
                <w:rFonts w:cstheme="minorHAnsi"/>
                <w:sz w:val="20"/>
                <w:szCs w:val="20"/>
                <w:lang w:val="en-US"/>
              </w:rPr>
              <w:t xml:space="preserve"> In times of crisis, governments and central banks may not always fully disclose their future policy measures affecting Treasury bonds. This information asymmetry places retail investors at a disadvantage, engendering ethical concerns.</w:t>
            </w:r>
          </w:p>
          <w:p w14:paraId="6FCF70EB" w14:textId="77777777" w:rsidR="006B11C6" w:rsidRDefault="006B11C6" w:rsidP="00FF34B9">
            <w:pPr>
              <w:pStyle w:val="ListParagraph"/>
              <w:rPr>
                <w:rFonts w:cstheme="minorHAnsi"/>
                <w:sz w:val="20"/>
                <w:szCs w:val="20"/>
                <w:lang w:val="en-US"/>
              </w:rPr>
            </w:pPr>
          </w:p>
          <w:p w14:paraId="042BE255" w14:textId="77777777" w:rsidR="009D2B93" w:rsidRPr="00B20B70" w:rsidRDefault="009D2B93" w:rsidP="00FF34B9">
            <w:pPr>
              <w:pStyle w:val="ListParagraph"/>
              <w:rPr>
                <w:rFonts w:cstheme="minorHAnsi"/>
                <w:sz w:val="20"/>
                <w:szCs w:val="20"/>
                <w:lang w:val="en-US"/>
              </w:rPr>
            </w:pPr>
          </w:p>
          <w:p w14:paraId="22968D34" w14:textId="77777777" w:rsidR="0002332C" w:rsidRDefault="00000000">
            <w:pPr>
              <w:pStyle w:val="ListParagraph"/>
              <w:numPr>
                <w:ilvl w:val="0"/>
                <w:numId w:val="18"/>
              </w:numPr>
              <w:snapToGrid w:val="0"/>
              <w:rPr>
                <w:rFonts w:cstheme="minorHAnsi"/>
                <w:sz w:val="20"/>
                <w:szCs w:val="20"/>
                <w:lang w:val="en-US"/>
              </w:rPr>
            </w:pPr>
            <w:r w:rsidRPr="0002332C">
              <w:rPr>
                <w:rFonts w:cstheme="minorHAnsi"/>
                <w:b/>
                <w:bCs/>
                <w:sz w:val="20"/>
                <w:szCs w:val="20"/>
                <w:lang w:val="en-US"/>
              </w:rPr>
              <w:t>Regulatory Ambiguity and Exploitation:</w:t>
            </w:r>
            <w:r w:rsidRPr="0002332C">
              <w:rPr>
                <w:rFonts w:cstheme="minorHAnsi"/>
                <w:sz w:val="20"/>
                <w:szCs w:val="20"/>
                <w:lang w:val="en-US"/>
              </w:rPr>
              <w:t xml:space="preserve"> Regulatory changes during financial crises may be hastily conceived and might inadvertently open loopholes for exploitative trading strategies, posing ethical concerns around market manipulation.</w:t>
            </w:r>
          </w:p>
          <w:p w14:paraId="04B3D1D2" w14:textId="77777777" w:rsidR="0002332C" w:rsidRDefault="0002332C" w:rsidP="0002332C">
            <w:pPr>
              <w:pStyle w:val="ListParagraph"/>
              <w:rPr>
                <w:rFonts w:cstheme="minorHAnsi"/>
                <w:sz w:val="20"/>
                <w:szCs w:val="20"/>
                <w:lang w:val="en-US"/>
              </w:rPr>
            </w:pPr>
          </w:p>
          <w:p w14:paraId="0185152C" w14:textId="77777777" w:rsidR="009D2B93" w:rsidRPr="0002332C" w:rsidRDefault="009D2B93" w:rsidP="0002332C">
            <w:pPr>
              <w:pStyle w:val="ListParagraph"/>
              <w:rPr>
                <w:rFonts w:cstheme="minorHAnsi"/>
                <w:sz w:val="20"/>
                <w:szCs w:val="20"/>
                <w:lang w:val="en-US"/>
              </w:rPr>
            </w:pPr>
          </w:p>
          <w:p w14:paraId="6989EF15" w14:textId="77777777" w:rsidR="006B11C6" w:rsidRPr="009D2B93" w:rsidRDefault="00000000">
            <w:pPr>
              <w:pStyle w:val="ListParagraph"/>
              <w:numPr>
                <w:ilvl w:val="0"/>
                <w:numId w:val="18"/>
              </w:numPr>
              <w:snapToGrid w:val="0"/>
              <w:rPr>
                <w:rFonts w:cstheme="minorHAnsi"/>
                <w:sz w:val="20"/>
                <w:szCs w:val="20"/>
                <w:lang w:val="en-US"/>
              </w:rPr>
            </w:pPr>
            <w:r w:rsidRPr="009D2B93">
              <w:rPr>
                <w:rFonts w:cstheme="minorHAnsi"/>
                <w:b/>
                <w:bCs/>
                <w:sz w:val="20"/>
                <w:szCs w:val="20"/>
                <w:lang w:val="en-US"/>
              </w:rPr>
              <w:t>Systemic Risk and Social Welfare:</w:t>
            </w:r>
            <w:r w:rsidRPr="009D2B93">
              <w:rPr>
                <w:rFonts w:cstheme="minorHAnsi"/>
                <w:sz w:val="20"/>
                <w:szCs w:val="20"/>
                <w:lang w:val="en-US"/>
              </w:rPr>
              <w:t xml:space="preserve"> The concentrated demand for Treasury bonds in a crisis can have ripple effects on other segments of the financial market, potentially aggravating systemic risk. The ethical dimension here pertains to the broader societal impact of individual investment decisions.</w:t>
            </w:r>
          </w:p>
          <w:p w14:paraId="6BA5D803" w14:textId="77777777" w:rsidR="006B11C6" w:rsidRPr="00DC1ACD" w:rsidRDefault="006B11C6" w:rsidP="00FF34B9">
            <w:pPr>
              <w:pStyle w:val="ListParagraph"/>
              <w:snapToGrid w:val="0"/>
              <w:ind w:left="360"/>
              <w:contextualSpacing w:val="0"/>
              <w:rPr>
                <w:rFonts w:cstheme="minorHAnsi"/>
                <w:sz w:val="20"/>
                <w:szCs w:val="20"/>
                <w:lang w:val="en-US"/>
              </w:rPr>
            </w:pPr>
          </w:p>
        </w:tc>
      </w:tr>
    </w:tbl>
    <w:p w14:paraId="0903CD4B" w14:textId="77777777" w:rsidR="006B11C6" w:rsidRPr="006B11C6" w:rsidRDefault="006B11C6" w:rsidP="006B11C6">
      <w:pPr>
        <w:snapToGrid w:val="0"/>
        <w:spacing w:after="0" w:line="240" w:lineRule="auto"/>
        <w:rPr>
          <w:rFonts w:cstheme="minorHAnsi"/>
          <w:color w:val="FFFFFF" w:themeColor="background1"/>
          <w:sz w:val="20"/>
          <w:szCs w:val="20"/>
        </w:rPr>
      </w:pPr>
    </w:p>
    <w:p w14:paraId="71E77017" w14:textId="77777777" w:rsidR="006B11C6" w:rsidRDefault="006B11C6" w:rsidP="006B11C6">
      <w:pPr>
        <w:snapToGrid w:val="0"/>
        <w:spacing w:after="0" w:line="240" w:lineRule="auto"/>
        <w:rPr>
          <w:rFonts w:cstheme="minorHAnsi"/>
          <w:color w:val="FFFFFF" w:themeColor="background1"/>
          <w:sz w:val="20"/>
          <w:szCs w:val="20"/>
        </w:rPr>
      </w:pPr>
    </w:p>
    <w:p w14:paraId="0D88E54F" w14:textId="77777777" w:rsidR="000B24FF" w:rsidRDefault="000B24FF" w:rsidP="009A1BD0">
      <w:pPr>
        <w:snapToGrid w:val="0"/>
        <w:spacing w:after="0" w:line="240" w:lineRule="auto"/>
        <w:rPr>
          <w:rFonts w:cstheme="minorHAnsi"/>
          <w:b/>
          <w:bCs/>
          <w:sz w:val="20"/>
          <w:szCs w:val="20"/>
          <w:lang w:val="en-US"/>
        </w:rPr>
      </w:pPr>
    </w:p>
    <w:p w14:paraId="612DF4E1" w14:textId="77777777" w:rsidR="008D1B51" w:rsidRDefault="008D1B51" w:rsidP="009A1BD0">
      <w:pPr>
        <w:snapToGrid w:val="0"/>
        <w:spacing w:after="0" w:line="240" w:lineRule="auto"/>
        <w:rPr>
          <w:rFonts w:cstheme="minorHAnsi"/>
          <w:b/>
          <w:bCs/>
          <w:sz w:val="20"/>
          <w:szCs w:val="20"/>
          <w:lang w:val="en-US"/>
        </w:rPr>
      </w:pPr>
    </w:p>
    <w:p w14:paraId="2EA07457" w14:textId="77777777" w:rsidR="008D1B51" w:rsidRDefault="008D1B51" w:rsidP="009A1BD0">
      <w:pPr>
        <w:snapToGrid w:val="0"/>
        <w:spacing w:after="0" w:line="240" w:lineRule="auto"/>
        <w:rPr>
          <w:rFonts w:cstheme="minorHAnsi"/>
          <w:b/>
          <w:bCs/>
          <w:sz w:val="20"/>
          <w:szCs w:val="20"/>
          <w:lang w:val="en-US"/>
        </w:rPr>
      </w:pPr>
    </w:p>
    <w:p w14:paraId="6524BCA2" w14:textId="77777777" w:rsidR="008D1B51" w:rsidRDefault="008D1B51" w:rsidP="009A1BD0">
      <w:pPr>
        <w:snapToGrid w:val="0"/>
        <w:spacing w:after="0" w:line="240" w:lineRule="auto"/>
        <w:rPr>
          <w:rFonts w:cstheme="minorHAnsi"/>
          <w:b/>
          <w:bCs/>
          <w:sz w:val="20"/>
          <w:szCs w:val="20"/>
          <w:lang w:val="en-US"/>
        </w:rPr>
      </w:pPr>
    </w:p>
    <w:p w14:paraId="10C1AE8F" w14:textId="77777777" w:rsidR="008D1B51" w:rsidRPr="008D1B51" w:rsidRDefault="008D1B51" w:rsidP="008D1B51">
      <w:pPr>
        <w:snapToGrid w:val="0"/>
        <w:spacing w:after="0" w:line="240" w:lineRule="auto"/>
        <w:rPr>
          <w:rFonts w:cstheme="minorHAnsi"/>
          <w:sz w:val="20"/>
          <w:szCs w:val="20"/>
          <w:lang w:val="en-US"/>
        </w:rPr>
      </w:pPr>
    </w:p>
    <w:p w14:paraId="0E359B89" w14:textId="77777777" w:rsidR="008D1B51" w:rsidRPr="0025710F" w:rsidRDefault="008D1B51" w:rsidP="008D1B51">
      <w:pPr>
        <w:pStyle w:val="ListParagraph"/>
        <w:numPr>
          <w:ilvl w:val="1"/>
          <w:numId w:val="1"/>
        </w:numPr>
        <w:snapToGrid w:val="0"/>
        <w:spacing w:after="0" w:line="240" w:lineRule="auto"/>
        <w:contextualSpacing w:val="0"/>
        <w:rPr>
          <w:rFonts w:cstheme="minorHAnsi"/>
          <w:b/>
          <w:bCs/>
          <w:sz w:val="24"/>
          <w:szCs w:val="24"/>
          <w:lang w:val="en-US"/>
        </w:rPr>
      </w:pPr>
      <w:r w:rsidRPr="0025710F">
        <w:rPr>
          <w:rFonts w:cstheme="minorHAnsi"/>
          <w:b/>
          <w:bCs/>
          <w:sz w:val="24"/>
          <w:szCs w:val="24"/>
          <w:lang w:val="en-US"/>
        </w:rPr>
        <w:t>Student:</w:t>
      </w:r>
      <w:r w:rsidRPr="0025710F">
        <w:rPr>
          <w:rFonts w:cstheme="minorHAnsi"/>
          <w:b/>
          <w:bCs/>
          <w:sz w:val="24"/>
          <w:szCs w:val="24"/>
        </w:rPr>
        <w:t xml:space="preserve"> </w:t>
      </w:r>
      <w:r w:rsidRPr="0025710F">
        <w:rPr>
          <w:rFonts w:cstheme="minorHAnsi"/>
          <w:b/>
          <w:bCs/>
          <w:sz w:val="24"/>
          <w:szCs w:val="24"/>
          <w:lang w:val="en-US"/>
        </w:rPr>
        <w:t xml:space="preserve">Ebenezer – illiquid Investment </w:t>
      </w:r>
    </w:p>
    <w:p w14:paraId="399C7CC2" w14:textId="77777777" w:rsidR="008D1B51" w:rsidRDefault="008D1B51" w:rsidP="008D1B51">
      <w:pPr>
        <w:pStyle w:val="ListParagraph"/>
        <w:snapToGrid w:val="0"/>
        <w:spacing w:after="0" w:line="240" w:lineRule="auto"/>
        <w:ind w:left="936"/>
        <w:contextualSpacing w:val="0"/>
        <w:rPr>
          <w:rFonts w:cstheme="minorHAnsi"/>
          <w:sz w:val="20"/>
          <w:szCs w:val="20"/>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2"/>
        <w:gridCol w:w="7956"/>
        <w:gridCol w:w="6300"/>
      </w:tblGrid>
      <w:tr w:rsidR="008D1B51" w:rsidRPr="00FD157D" w14:paraId="4B0916B6" w14:textId="77777777" w:rsidTr="00AA0F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AFBD6" w14:textId="77777777" w:rsidR="008D1B51" w:rsidRPr="00FD157D" w:rsidRDefault="008D1B51" w:rsidP="00AA0FA4">
            <w:pPr>
              <w:spacing w:after="0" w:line="240" w:lineRule="auto"/>
              <w:rPr>
                <w:rFonts w:ascii="Calibri" w:eastAsia="Times New Roman" w:hAnsi="Calibri" w:cs="Calibri"/>
                <w:color w:val="000000"/>
                <w:kern w:val="0"/>
                <w14:ligatures w14:val="none"/>
              </w:rPr>
            </w:pPr>
            <w:r w:rsidRPr="00FD157D">
              <w:rPr>
                <w:rFonts w:ascii="Calibri" w:eastAsia="Times New Roman" w:hAnsi="Calibri" w:cs="Calibri"/>
                <w:color w:val="000000"/>
                <w:kern w:val="0"/>
                <w14:ligatures w14:val="none"/>
              </w:rPr>
              <w:t>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C2704" w14:textId="77777777" w:rsidR="008D1B51" w:rsidRPr="00FD157D" w:rsidRDefault="008D1B51" w:rsidP="00AA0FA4">
            <w:pPr>
              <w:spacing w:after="0" w:line="240" w:lineRule="auto"/>
              <w:rPr>
                <w:rFonts w:ascii="Calibri" w:eastAsia="Times New Roman" w:hAnsi="Calibri" w:cs="Calibri"/>
                <w:color w:val="000000"/>
                <w:kern w:val="0"/>
                <w14:ligatures w14:val="none"/>
              </w:rPr>
            </w:pPr>
            <w:r w:rsidRPr="00FD157D">
              <w:rPr>
                <w:rFonts w:ascii="Calibri" w:eastAsia="Times New Roman" w:hAnsi="Calibri" w:cs="Calibri"/>
                <w:color w:val="000000"/>
                <w:kern w:val="0"/>
                <w14:ligatures w14:val="none"/>
              </w:rPr>
              <w:t>ETHICAL CHALLENGES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1C255" w14:textId="77777777" w:rsidR="008D1B51" w:rsidRPr="00FD157D" w:rsidRDefault="008D1B51" w:rsidP="00AA0FA4">
            <w:pPr>
              <w:spacing w:after="0" w:line="240" w:lineRule="auto"/>
              <w:rPr>
                <w:rFonts w:ascii="Calibri" w:eastAsia="Times New Roman" w:hAnsi="Calibri" w:cs="Calibri"/>
                <w:color w:val="000000"/>
                <w:kern w:val="0"/>
                <w14:ligatures w14:val="none"/>
              </w:rPr>
            </w:pPr>
            <w:r w:rsidRPr="00FD157D">
              <w:rPr>
                <w:rFonts w:ascii="Calibri" w:eastAsia="Times New Roman" w:hAnsi="Calibri" w:cs="Calibri"/>
                <w:color w:val="000000"/>
                <w:kern w:val="0"/>
                <w14:ligatures w14:val="none"/>
              </w:rPr>
              <w:t>UNDESIRABLE RESULTS</w:t>
            </w:r>
          </w:p>
        </w:tc>
      </w:tr>
      <w:tr w:rsidR="008D1B51" w:rsidRPr="00FD157D" w14:paraId="03906169" w14:textId="77777777" w:rsidTr="00AA0F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92A2C" w14:textId="77777777" w:rsidR="008D1B51" w:rsidRPr="00FD157D" w:rsidRDefault="008D1B51" w:rsidP="00AA0F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9C98" w14:textId="77777777" w:rsidR="008D1B51" w:rsidRDefault="008D1B51" w:rsidP="00AA0FA4">
            <w:pPr>
              <w:pStyle w:val="ListParagraph"/>
              <w:numPr>
                <w:ilvl w:val="0"/>
                <w:numId w:val="32"/>
              </w:numPr>
              <w:spacing w:after="0" w:line="240" w:lineRule="auto"/>
            </w:pPr>
            <w:r>
              <w:t>Lack of Transparency: Real estate investments often involve complex structures, and there can be a lack of transparency in the underlying assets. Ethical challenges arise when investors are not provided with sufficient information to make informed decisions.</w:t>
            </w:r>
          </w:p>
          <w:p w14:paraId="51EB5F6A" w14:textId="77777777" w:rsidR="008D1B51" w:rsidRDefault="008D1B51" w:rsidP="00AA0FA4">
            <w:pPr>
              <w:spacing w:after="0" w:line="240" w:lineRule="auto"/>
            </w:pPr>
          </w:p>
          <w:p w14:paraId="4DB84A70" w14:textId="77777777" w:rsidR="008D1B51" w:rsidRDefault="008D1B51" w:rsidP="00AA0FA4">
            <w:pPr>
              <w:pStyle w:val="ListParagraph"/>
              <w:numPr>
                <w:ilvl w:val="0"/>
                <w:numId w:val="32"/>
              </w:numPr>
              <w:spacing w:after="0" w:line="240" w:lineRule="auto"/>
            </w:pPr>
            <w:r>
              <w:t>Conflicts of Interest: Ethical concerns may arise when real estate professionals, such as brokers or agents, have conflicts of interest. For example, they may prioritize their commission over the best interests of the investor.</w:t>
            </w:r>
          </w:p>
          <w:p w14:paraId="320C77DD" w14:textId="77777777" w:rsidR="008D1B51" w:rsidRDefault="008D1B51" w:rsidP="00AA0FA4">
            <w:pPr>
              <w:spacing w:after="0" w:line="240" w:lineRule="auto"/>
            </w:pPr>
          </w:p>
          <w:p w14:paraId="235F3693" w14:textId="77777777" w:rsidR="008D1B51" w:rsidRPr="00914729" w:rsidRDefault="008D1B51" w:rsidP="00AA0FA4">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r>
              <w:t>Fair Valuation: Valuing illiquid real estate assets can be subjective and open to interpretation. Ethical issues can emerge when valuations are manipulated to attract investors or mislead them about the actual value of the investment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D5E5A" w14:textId="77777777" w:rsidR="008D1B51" w:rsidRDefault="008D1B51" w:rsidP="00AA0FA4">
            <w:pPr>
              <w:pStyle w:val="ListParagraph"/>
              <w:numPr>
                <w:ilvl w:val="0"/>
                <w:numId w:val="32"/>
              </w:numPr>
              <w:spacing w:after="0" w:line="240" w:lineRule="auto"/>
            </w:pPr>
            <w:r>
              <w:t>Investor Losses: Lack of transparency and fair valuation practices can lead to investor losses when the true value of the real estate investment is lower than initially portrayed.</w:t>
            </w:r>
          </w:p>
          <w:p w14:paraId="79D957F7" w14:textId="77777777" w:rsidR="008D1B51" w:rsidRDefault="008D1B51" w:rsidP="00AA0FA4">
            <w:pPr>
              <w:spacing w:after="0" w:line="240" w:lineRule="auto"/>
            </w:pPr>
          </w:p>
          <w:p w14:paraId="2210A48E" w14:textId="77777777" w:rsidR="008D1B51" w:rsidRDefault="008D1B51" w:rsidP="00AA0FA4">
            <w:pPr>
              <w:pStyle w:val="ListParagraph"/>
              <w:numPr>
                <w:ilvl w:val="0"/>
                <w:numId w:val="32"/>
              </w:numPr>
              <w:spacing w:after="0" w:line="240" w:lineRule="auto"/>
            </w:pPr>
            <w:r>
              <w:t>Market Distortions: Speculative investments in real estate, driven by inaccurate valuations, can distort property markets, leading to inflated property prices and potential housing bubbles.</w:t>
            </w:r>
          </w:p>
          <w:p w14:paraId="73859EF2" w14:textId="77777777" w:rsidR="008D1B51" w:rsidRDefault="008D1B51" w:rsidP="00AA0FA4">
            <w:pPr>
              <w:spacing w:after="0" w:line="240" w:lineRule="auto"/>
            </w:pPr>
          </w:p>
          <w:p w14:paraId="682F8F11" w14:textId="77777777" w:rsidR="008D1B51" w:rsidRPr="009A1BD0" w:rsidRDefault="008D1B51" w:rsidP="00AA0FA4">
            <w:pPr>
              <w:pStyle w:val="ListParagraph"/>
              <w:numPr>
                <w:ilvl w:val="0"/>
                <w:numId w:val="32"/>
              </w:numPr>
              <w:spacing w:after="0" w:line="240" w:lineRule="auto"/>
              <w:rPr>
                <w:rFonts w:ascii="Times New Roman" w:eastAsia="Times New Roman" w:hAnsi="Times New Roman" w:cs="Times New Roman"/>
                <w:kern w:val="0"/>
                <w:sz w:val="24"/>
                <w:szCs w:val="24"/>
                <w14:ligatures w14:val="none"/>
              </w:rPr>
            </w:pPr>
            <w:r>
              <w:t>Economic Impact: Large-scale real estate speculation can have adverse economic consequences, including market crashes, reduced housing affordability, and financial instability</w:t>
            </w:r>
          </w:p>
        </w:tc>
      </w:tr>
    </w:tbl>
    <w:p w14:paraId="54F5B1A4" w14:textId="77777777" w:rsidR="008D1B51" w:rsidRDefault="008D1B51" w:rsidP="008D1B51">
      <w:pPr>
        <w:pStyle w:val="ListParagraph"/>
        <w:snapToGrid w:val="0"/>
        <w:spacing w:after="0" w:line="240" w:lineRule="auto"/>
        <w:ind w:left="936"/>
        <w:contextualSpacing w:val="0"/>
        <w:rPr>
          <w:rFonts w:cstheme="minorHAnsi"/>
          <w:sz w:val="20"/>
          <w:szCs w:val="20"/>
          <w:lang w:val="en-US"/>
        </w:rPr>
      </w:pPr>
    </w:p>
    <w:p w14:paraId="70ACB8C4" w14:textId="77777777" w:rsidR="008D1B51" w:rsidRDefault="008D1B51" w:rsidP="008D1B51">
      <w:pPr>
        <w:pStyle w:val="ListParagraph"/>
        <w:snapToGrid w:val="0"/>
        <w:spacing w:after="0" w:line="240" w:lineRule="auto"/>
        <w:ind w:left="936"/>
        <w:contextualSpacing w:val="0"/>
        <w:rPr>
          <w:rFonts w:cstheme="minorHAnsi"/>
          <w:sz w:val="20"/>
          <w:szCs w:val="20"/>
          <w:lang w:val="en-US"/>
        </w:rPr>
      </w:pPr>
    </w:p>
    <w:p w14:paraId="2D392F64" w14:textId="77777777" w:rsidR="008D1B51" w:rsidRDefault="008D1B51" w:rsidP="008D1B51">
      <w:pPr>
        <w:pStyle w:val="ListParagraph"/>
        <w:snapToGrid w:val="0"/>
        <w:spacing w:after="0" w:line="240" w:lineRule="auto"/>
        <w:ind w:left="936"/>
        <w:contextualSpacing w:val="0"/>
        <w:rPr>
          <w:rFonts w:cstheme="minorHAnsi"/>
          <w:sz w:val="20"/>
          <w:szCs w:val="20"/>
          <w:lang w:val="en-US"/>
        </w:rPr>
      </w:pPr>
    </w:p>
    <w:p w14:paraId="6E5E9F36" w14:textId="77777777" w:rsidR="008D1B51" w:rsidRPr="009A1BD0" w:rsidRDefault="008D1B51" w:rsidP="009A1BD0">
      <w:pPr>
        <w:snapToGrid w:val="0"/>
        <w:spacing w:after="0" w:line="240" w:lineRule="auto"/>
        <w:rPr>
          <w:rFonts w:cstheme="minorHAnsi"/>
          <w:b/>
          <w:bCs/>
          <w:sz w:val="20"/>
          <w:szCs w:val="20"/>
          <w:lang w:val="en-US"/>
        </w:rPr>
        <w:sectPr w:rsidR="008D1B51" w:rsidRPr="009A1BD0" w:rsidSect="008417B8">
          <w:headerReference w:type="default" r:id="rId9"/>
          <w:pgSz w:w="16838" w:h="11906" w:orient="landscape"/>
          <w:pgMar w:top="720" w:right="720" w:bottom="720" w:left="720" w:header="708" w:footer="708" w:gutter="0"/>
          <w:cols w:space="708"/>
          <w:docGrid w:linePitch="360"/>
        </w:sectPr>
      </w:pPr>
    </w:p>
    <w:p w14:paraId="611F298E" w14:textId="77777777" w:rsidR="008D1B51" w:rsidRDefault="008D1B51" w:rsidP="008D1B51">
      <w:pPr>
        <w:pStyle w:val="ListParagraph"/>
        <w:snapToGrid w:val="0"/>
        <w:spacing w:after="0" w:line="240" w:lineRule="auto"/>
        <w:ind w:left="360"/>
        <w:rPr>
          <w:rFonts w:cstheme="minorHAnsi"/>
          <w:b/>
          <w:bCs/>
          <w:sz w:val="28"/>
          <w:szCs w:val="28"/>
          <w:lang w:val="en-US"/>
        </w:rPr>
      </w:pPr>
    </w:p>
    <w:p w14:paraId="34D13FEF" w14:textId="2587ADB1" w:rsidR="009F4DDF" w:rsidRPr="00914798" w:rsidRDefault="00000000" w:rsidP="004E0E7D">
      <w:pPr>
        <w:pStyle w:val="ListParagraph"/>
        <w:numPr>
          <w:ilvl w:val="0"/>
          <w:numId w:val="1"/>
        </w:numPr>
        <w:snapToGrid w:val="0"/>
        <w:spacing w:after="0" w:line="240" w:lineRule="auto"/>
        <w:rPr>
          <w:rFonts w:cstheme="minorHAnsi"/>
          <w:b/>
          <w:bCs/>
          <w:sz w:val="28"/>
          <w:szCs w:val="28"/>
          <w:lang w:val="en-US"/>
        </w:rPr>
      </w:pPr>
      <w:r w:rsidRPr="00914798">
        <w:rPr>
          <w:rFonts w:cstheme="minorHAnsi"/>
          <w:b/>
          <w:bCs/>
          <w:sz w:val="28"/>
          <w:szCs w:val="28"/>
          <w:lang w:val="en-US"/>
        </w:rPr>
        <w:t>Step 4</w:t>
      </w:r>
      <w:r w:rsidR="00D075C3" w:rsidRPr="00914798">
        <w:rPr>
          <w:rFonts w:cstheme="minorHAnsi"/>
          <w:b/>
          <w:bCs/>
          <w:sz w:val="28"/>
          <w:szCs w:val="28"/>
          <w:lang w:val="en-US"/>
        </w:rPr>
        <w:t xml:space="preserve"> Ethical Data Consideration</w:t>
      </w:r>
    </w:p>
    <w:p w14:paraId="10264B47" w14:textId="77777777" w:rsidR="004E0E7D" w:rsidRPr="006443F2" w:rsidRDefault="00000000" w:rsidP="004E0E7D">
      <w:pPr>
        <w:pStyle w:val="ListParagraph"/>
        <w:numPr>
          <w:ilvl w:val="1"/>
          <w:numId w:val="1"/>
        </w:numPr>
        <w:snapToGrid w:val="0"/>
        <w:spacing w:after="0" w:line="240" w:lineRule="auto"/>
        <w:contextualSpacing w:val="0"/>
        <w:rPr>
          <w:rFonts w:cstheme="minorHAnsi"/>
          <w:b/>
          <w:bCs/>
          <w:sz w:val="24"/>
          <w:szCs w:val="24"/>
          <w:lang w:val="en-US"/>
        </w:rPr>
      </w:pPr>
      <w:r w:rsidRPr="006443F2">
        <w:rPr>
          <w:rFonts w:cstheme="minorHAnsi"/>
          <w:b/>
          <w:bCs/>
          <w:sz w:val="24"/>
          <w:szCs w:val="24"/>
          <w:lang w:val="en-US"/>
        </w:rPr>
        <w:t>Student:</w:t>
      </w:r>
      <w:r w:rsidRPr="006443F2">
        <w:rPr>
          <w:rFonts w:cstheme="minorHAnsi"/>
          <w:b/>
          <w:bCs/>
          <w:sz w:val="24"/>
          <w:szCs w:val="24"/>
        </w:rPr>
        <w:t xml:space="preserve"> </w:t>
      </w:r>
      <w:r w:rsidRPr="006443F2">
        <w:rPr>
          <w:rFonts w:cstheme="minorHAnsi"/>
          <w:b/>
          <w:bCs/>
          <w:sz w:val="24"/>
          <w:szCs w:val="24"/>
          <w:lang w:val="en-US"/>
        </w:rPr>
        <w:t xml:space="preserve">Oratile Personal unsecured loan at a fixed rate </w:t>
      </w:r>
      <w:r w:rsidR="007D7B5F" w:rsidRPr="006443F2">
        <w:rPr>
          <w:rFonts w:cstheme="minorHAnsi"/>
          <w:b/>
          <w:bCs/>
          <w:sz w:val="24"/>
          <w:szCs w:val="24"/>
          <w:lang w:val="en-US"/>
        </w:rPr>
        <w:t>-</w:t>
      </w:r>
      <w:r w:rsidRPr="006443F2">
        <w:rPr>
          <w:rFonts w:cstheme="minorHAnsi"/>
          <w:b/>
          <w:bCs/>
          <w:sz w:val="24"/>
          <w:szCs w:val="24"/>
          <w:lang w:val="en-US"/>
        </w:rPr>
        <w:t xml:space="preserve"> Credit Card. </w:t>
      </w:r>
    </w:p>
    <w:p w14:paraId="1A12B4F7" w14:textId="7AF50B4A" w:rsidR="004E0E7D" w:rsidRPr="004E0E7D" w:rsidRDefault="00FD157D" w:rsidP="00D8640F">
      <w:pPr>
        <w:pStyle w:val="ListParagraph"/>
        <w:numPr>
          <w:ilvl w:val="1"/>
          <w:numId w:val="1"/>
        </w:numPr>
        <w:snapToGrid w:val="0"/>
        <w:spacing w:after="0" w:line="240" w:lineRule="auto"/>
        <w:contextualSpacing w:val="0"/>
        <w:rPr>
          <w:rFonts w:cstheme="minorHAnsi"/>
          <w:b/>
          <w:bCs/>
          <w:lang w:val="en-US"/>
        </w:rPr>
      </w:pPr>
      <w:r w:rsidRPr="004E0E7D">
        <w:t>SCENARIO 1</w:t>
      </w:r>
      <w:r w:rsidR="004E0E7D">
        <w:t xml:space="preserve"> </w:t>
      </w:r>
      <w:r w:rsidRPr="004E0E7D">
        <w:t>ETHICAL CHALLENGES FOR DATA</w:t>
      </w:r>
    </w:p>
    <w:p w14:paraId="0D6DA5E5" w14:textId="77777777" w:rsidR="004E0E7D" w:rsidRDefault="004E0E7D" w:rsidP="004E0E7D">
      <w:pPr>
        <w:pStyle w:val="ListParagraph"/>
        <w:snapToGrid w:val="0"/>
        <w:spacing w:after="0" w:line="240" w:lineRule="auto"/>
        <w:ind w:left="936"/>
        <w:contextualSpacing w:val="0"/>
        <w:rPr>
          <w:rFonts w:cstheme="minorHAnsi"/>
          <w:b/>
          <w:bCs/>
          <w:lang w:val="en-US"/>
        </w:rPr>
      </w:pPr>
    </w:p>
    <w:p w14:paraId="1C721A5C" w14:textId="52BC3A3A" w:rsidR="00FD157D" w:rsidRPr="004E0E7D" w:rsidRDefault="00FD157D" w:rsidP="004E0E7D">
      <w:pPr>
        <w:snapToGrid w:val="0"/>
        <w:spacing w:after="0" w:line="240" w:lineRule="auto"/>
        <w:ind w:left="360"/>
        <w:rPr>
          <w:rFonts w:cstheme="minorHAnsi"/>
          <w:b/>
          <w:bCs/>
          <w:lang w:val="en-US"/>
        </w:rPr>
      </w:pPr>
      <w:r w:rsidRPr="004E0E7D">
        <w:t>Privacy Issues:.</w:t>
      </w:r>
    </w:p>
    <w:p w14:paraId="6069FA0F" w14:textId="77777777" w:rsidR="00FD157D" w:rsidRPr="004E0E7D" w:rsidRDefault="00FD157D" w:rsidP="004E0E7D">
      <w:pPr>
        <w:ind w:left="360"/>
      </w:pPr>
      <w:r w:rsidRPr="004E0E7D">
        <w:t>Privacy concerns may arise from gathering and keeping a lot of customer data for credit risk assessment. Given the volume of data gathered and its intended use, customers might find it uncomfortable.</w:t>
      </w:r>
    </w:p>
    <w:p w14:paraId="5CAB0BF5" w14:textId="1DCCEA35" w:rsidR="00FD157D" w:rsidRPr="004E0E7D" w:rsidRDefault="004E0E7D" w:rsidP="004E0E7D">
      <w:pPr>
        <w:ind w:firstLine="360"/>
      </w:pPr>
      <w:r>
        <w:t>I</w:t>
      </w:r>
      <w:r w:rsidR="00FD157D" w:rsidRPr="004E0E7D">
        <w:t>nformation Security:.</w:t>
      </w:r>
    </w:p>
    <w:p w14:paraId="28F68F2C" w14:textId="77777777" w:rsidR="00FD157D" w:rsidRPr="004E0E7D" w:rsidRDefault="00FD157D" w:rsidP="004E0E7D">
      <w:pPr>
        <w:ind w:left="360"/>
      </w:pPr>
      <w:r w:rsidRPr="004E0E7D">
        <w:t>An important ethical duty is to protect consumer data. Identity theft, fraud, and other financial harm to customers can result from data breaches.</w:t>
      </w:r>
    </w:p>
    <w:p w14:paraId="15DF444F" w14:textId="77777777" w:rsidR="00FD157D" w:rsidRPr="004E0E7D" w:rsidRDefault="00FD157D" w:rsidP="004E0E7D">
      <w:pPr>
        <w:ind w:left="360"/>
      </w:pPr>
      <w:r w:rsidRPr="004E0E7D">
        <w:t>The accuracy of the data:.</w:t>
      </w:r>
    </w:p>
    <w:p w14:paraId="314C3C74" w14:textId="77777777" w:rsidR="00FD157D" w:rsidRPr="004E0E7D" w:rsidRDefault="00FD157D" w:rsidP="004E0E7D">
      <w:pPr>
        <w:ind w:left="360"/>
      </w:pPr>
      <w:r w:rsidRPr="004E0E7D">
        <w:t>The data used to make decisions about credit card loans must be accurate. Inaccurate data may cause erroneous risk evaluations, which could be detrimental to borrowers.</w:t>
      </w:r>
    </w:p>
    <w:p w14:paraId="54B7F8FE" w14:textId="77777777" w:rsidR="00FD157D" w:rsidRPr="004E0E7D" w:rsidRDefault="00FD157D" w:rsidP="004E0E7D">
      <w:pPr>
        <w:ind w:left="360"/>
      </w:pPr>
      <w:r w:rsidRPr="004E0E7D">
        <w:t>Algorithmic Bias:.</w:t>
      </w:r>
    </w:p>
    <w:p w14:paraId="30D813B9" w14:textId="77777777" w:rsidR="00FD157D" w:rsidRPr="004E0E7D" w:rsidRDefault="00FD157D" w:rsidP="004E0E7D">
      <w:pPr>
        <w:ind w:left="360"/>
      </w:pPr>
      <w:r w:rsidRPr="004E0E7D">
        <w:t>The assessment of credit risk may become biased as a result of the application of AI and machine learning algorithms. Inappropriate treatment of particular groups may arise from these algorithms' improper testing and design, raising ethical questions about discrimination.</w:t>
      </w:r>
    </w:p>
    <w:p w14:paraId="6C7965D0" w14:textId="77777777" w:rsidR="00FD157D" w:rsidRPr="004E0E7D" w:rsidRDefault="00FD157D" w:rsidP="004E0E7D">
      <w:pPr>
        <w:ind w:left="360"/>
      </w:pPr>
      <w:r w:rsidRPr="004E0E7D">
        <w:t>openness and the capacity to explain:.</w:t>
      </w:r>
    </w:p>
    <w:p w14:paraId="0843D2F4" w14:textId="77777777" w:rsidR="00FD157D" w:rsidRPr="004E0E7D" w:rsidRDefault="00FD157D" w:rsidP="004E0E7D">
      <w:pPr>
        <w:ind w:left="360"/>
      </w:pPr>
      <w:r w:rsidRPr="004E0E7D">
        <w:t>When the models used to make credit card lending decisions are opaque or difficult for consumers to understand, ethical questions are raised. It should be evident to borrowers why their loan application was accepted or rejected.</w:t>
      </w:r>
    </w:p>
    <w:p w14:paraId="2D008DD1" w14:textId="77777777" w:rsidR="00FD157D" w:rsidRPr="004E0E7D" w:rsidRDefault="00FD157D" w:rsidP="004E0E7D">
      <w:pPr>
        <w:ind w:left="360"/>
      </w:pPr>
      <w:r w:rsidRPr="004E0E7D">
        <w:t>Excessive Lending or Scoring:.</w:t>
      </w:r>
    </w:p>
    <w:p w14:paraId="094D6717" w14:textId="77777777" w:rsidR="00FD157D" w:rsidRPr="004E0E7D" w:rsidRDefault="00FD157D" w:rsidP="004E0E7D">
      <w:pPr>
        <w:ind w:left="360"/>
      </w:pPr>
      <w:r w:rsidRPr="004E0E7D">
        <w:t>It happens occasionally that consumers get loans they can't afford or credit limits that are too high. In addition to putting borrowers in financial jeopardy, overlending can raise moral questions.</w:t>
      </w:r>
    </w:p>
    <w:p w14:paraId="23C03161" w14:textId="77777777" w:rsidR="00FD157D" w:rsidRPr="004E0E7D" w:rsidRDefault="00FD157D" w:rsidP="004E0E7D">
      <w:pPr>
        <w:ind w:left="360"/>
      </w:pPr>
      <w:r w:rsidRPr="004E0E7D">
        <w:t>Responsible Algorithms:.</w:t>
      </w:r>
    </w:p>
    <w:p w14:paraId="1F3309B7" w14:textId="77777777" w:rsidR="00FD157D" w:rsidRPr="004E0E7D" w:rsidRDefault="00FD157D" w:rsidP="004E0E7D">
      <w:pPr>
        <w:ind w:left="360"/>
      </w:pPr>
      <w:r w:rsidRPr="004E0E7D">
        <w:t>An ethical challenge in credit card lending is making sure algorithmic decisions are accountable. Establishing procedures to deal with bias and mistakes is essential.</w:t>
      </w:r>
    </w:p>
    <w:p w14:paraId="04088328" w14:textId="77777777" w:rsidR="00FD157D" w:rsidRPr="004E0E7D" w:rsidRDefault="00FD157D" w:rsidP="004E0E7D">
      <w:pPr>
        <w:ind w:left="360"/>
      </w:pPr>
      <w:r w:rsidRPr="004E0E7D">
        <w:t>Data Sources and Equitable Treatment:.</w:t>
      </w:r>
    </w:p>
    <w:p w14:paraId="559C488E" w14:textId="77777777" w:rsidR="00FD157D" w:rsidRDefault="00FD157D" w:rsidP="004E0E7D">
      <w:pPr>
        <w:ind w:left="360"/>
      </w:pPr>
      <w:r w:rsidRPr="004E0E7D">
        <w:t>Concerns about ethics may surface when specific demographic groups are disproportionately affected by the data sources used to evaluate credit. Unfair results may result if some groups are underrepresented or have limited access to data.</w:t>
      </w:r>
    </w:p>
    <w:p w14:paraId="4DEE4691" w14:textId="77777777" w:rsidR="004E0E7D" w:rsidRDefault="004E0E7D" w:rsidP="004E0E7D">
      <w:pPr>
        <w:ind w:left="360"/>
      </w:pPr>
    </w:p>
    <w:p w14:paraId="6BE71992" w14:textId="77777777" w:rsidR="004E0E7D" w:rsidRDefault="004E0E7D" w:rsidP="004E0E7D">
      <w:pPr>
        <w:ind w:left="360"/>
      </w:pPr>
    </w:p>
    <w:p w14:paraId="20A7FEEE" w14:textId="77777777" w:rsidR="004E0E7D" w:rsidRDefault="004E0E7D" w:rsidP="004E0E7D">
      <w:pPr>
        <w:ind w:left="360"/>
      </w:pPr>
    </w:p>
    <w:p w14:paraId="56339D67" w14:textId="77777777" w:rsidR="004E0E7D" w:rsidRDefault="004E0E7D" w:rsidP="004E0E7D">
      <w:pPr>
        <w:ind w:left="360"/>
      </w:pPr>
    </w:p>
    <w:p w14:paraId="1354E325" w14:textId="77777777" w:rsidR="004E0E7D" w:rsidRDefault="004E0E7D" w:rsidP="004E0E7D">
      <w:pPr>
        <w:ind w:left="360"/>
      </w:pPr>
    </w:p>
    <w:p w14:paraId="22F2CF94" w14:textId="77777777" w:rsidR="00DE53BD" w:rsidRDefault="00DE53BD" w:rsidP="004E0E7D">
      <w:pPr>
        <w:ind w:left="360"/>
      </w:pPr>
    </w:p>
    <w:p w14:paraId="5B9DF16A" w14:textId="77777777" w:rsidR="004E0E7D" w:rsidRDefault="004E0E7D" w:rsidP="004E0E7D">
      <w:pPr>
        <w:ind w:left="360"/>
      </w:pPr>
    </w:p>
    <w:p w14:paraId="6798642C" w14:textId="77777777" w:rsidR="00FD157D" w:rsidRPr="004E0E7D" w:rsidRDefault="00FD157D" w:rsidP="004E0E7D">
      <w:pPr>
        <w:ind w:left="360"/>
      </w:pPr>
      <w:r w:rsidRPr="004E0E7D">
        <w:t>Consent that is informed:.</w:t>
      </w:r>
    </w:p>
    <w:p w14:paraId="5C47DE19" w14:textId="77777777" w:rsidR="00FD157D" w:rsidRDefault="00FD157D" w:rsidP="004E0E7D">
      <w:pPr>
        <w:ind w:left="360"/>
      </w:pPr>
      <w:r w:rsidRPr="004E0E7D">
        <w:t>It's possible that borrowers are unaware of the full extent to which their information is utilized in credit evaluations. There is an ethical dilemma in making sure that borrowers give their informed consent for data collection and use.</w:t>
      </w:r>
    </w:p>
    <w:p w14:paraId="4C20576C" w14:textId="77777777" w:rsidR="00FD157D" w:rsidRPr="004E0E7D" w:rsidRDefault="00FD157D" w:rsidP="004E0E7D">
      <w:pPr>
        <w:ind w:left="360"/>
      </w:pPr>
      <w:r w:rsidRPr="004E0E7D">
        <w:t>Storage and Erasure of Data:.</w:t>
      </w:r>
    </w:p>
    <w:p w14:paraId="4125783C" w14:textId="77777777" w:rsidR="004E0E7D" w:rsidRDefault="00FD157D" w:rsidP="004E0E7D">
      <w:pPr>
        <w:ind w:left="360"/>
        <w:rPr>
          <w:rFonts w:ascii="Calibri" w:eastAsia="Times New Roman" w:hAnsi="Calibri" w:cs="Calibri"/>
          <w:color w:val="000000"/>
          <w:kern w:val="0"/>
          <w14:ligatures w14:val="none"/>
        </w:rPr>
      </w:pPr>
      <w:r w:rsidRPr="004E0E7D">
        <w:t>Whether or not</w:t>
      </w:r>
      <w:r w:rsidRPr="00FD157D">
        <w:rPr>
          <w:rFonts w:ascii="Calibri" w:eastAsia="Times New Roman" w:hAnsi="Calibri" w:cs="Calibri"/>
          <w:color w:val="000000"/>
          <w:kern w:val="0"/>
          <w14:ligatures w14:val="none"/>
        </w:rPr>
        <w:t xml:space="preserve"> customer data is erased after it is no longer required and for what length of time are ethical issues that may come up. Data retention without end can be viewed as intrusive and immoral.</w:t>
      </w:r>
    </w:p>
    <w:p w14:paraId="7DEF7F15" w14:textId="77777777" w:rsidR="004E0E7D" w:rsidRDefault="00FD157D" w:rsidP="004E0E7D">
      <w:pPr>
        <w:ind w:left="360"/>
        <w:rPr>
          <w:rFonts w:ascii="Times New Roman" w:eastAsia="Times New Roman" w:hAnsi="Times New Roman" w:cs="Times New Roman"/>
          <w:kern w:val="0"/>
          <w:sz w:val="24"/>
          <w:szCs w:val="24"/>
          <w14:ligatures w14:val="none"/>
        </w:rPr>
      </w:pPr>
      <w:r w:rsidRPr="004E0E7D">
        <w:rPr>
          <w:rFonts w:ascii="Calibri" w:eastAsia="Times New Roman" w:hAnsi="Calibri" w:cs="Calibri"/>
          <w:color w:val="000000"/>
          <w:kern w:val="0"/>
          <w14:ligatures w14:val="none"/>
        </w:rPr>
        <w:t>Understanding finance:.</w:t>
      </w:r>
    </w:p>
    <w:p w14:paraId="586AC96A" w14:textId="77777777" w:rsidR="004E0E7D" w:rsidRDefault="00FD157D" w:rsidP="004E0E7D">
      <w:pPr>
        <w:ind w:left="360"/>
        <w:rPr>
          <w:rFonts w:ascii="Times New Roman" w:eastAsia="Times New Roman" w:hAnsi="Times New Roman" w:cs="Times New Roman"/>
          <w:kern w:val="0"/>
          <w:sz w:val="24"/>
          <w:szCs w:val="24"/>
          <w14:ligatures w14:val="none"/>
        </w:rPr>
      </w:pPr>
      <w:r w:rsidRPr="004E0E7D">
        <w:rPr>
          <w:rFonts w:ascii="Calibri" w:eastAsia="Times New Roman" w:hAnsi="Calibri" w:cs="Calibri"/>
          <w:color w:val="000000"/>
          <w:kern w:val="0"/>
          <w14:ligatures w14:val="none"/>
        </w:rPr>
        <w:t>It is morally right to make sure that borrowers are aware of their credit card loans' terms and conditions and are financially literate. It is improper to take advantage of borrowers' ignorance of finance.</w:t>
      </w:r>
    </w:p>
    <w:p w14:paraId="2894B5D6" w14:textId="31833979" w:rsidR="004E0E7D" w:rsidRDefault="00FD157D" w:rsidP="004E0E7D">
      <w:pPr>
        <w:ind w:left="360"/>
        <w:rPr>
          <w:rFonts w:ascii="Times New Roman" w:eastAsia="Times New Roman" w:hAnsi="Times New Roman" w:cs="Times New Roman"/>
          <w:kern w:val="0"/>
          <w:sz w:val="24"/>
          <w:szCs w:val="24"/>
          <w14:ligatures w14:val="none"/>
        </w:rPr>
      </w:pPr>
      <w:r w:rsidRPr="004E0E7D">
        <w:rPr>
          <w:rFonts w:ascii="Calibri" w:eastAsia="Times New Roman" w:hAnsi="Calibri" w:cs="Calibri"/>
          <w:color w:val="000000"/>
          <w:kern w:val="0"/>
          <w14:ligatures w14:val="none"/>
        </w:rPr>
        <w:t xml:space="preserve">adherence to </w:t>
      </w:r>
      <w:r w:rsidR="00F15E43" w:rsidRPr="004E0E7D">
        <w:rPr>
          <w:rFonts w:ascii="Calibri" w:eastAsia="Times New Roman" w:hAnsi="Calibri" w:cs="Calibri"/>
          <w:color w:val="000000"/>
          <w:kern w:val="0"/>
          <w14:ligatures w14:val="none"/>
        </w:rPr>
        <w:t>regulations:</w:t>
      </w:r>
    </w:p>
    <w:p w14:paraId="3072FBE5" w14:textId="456AADA7" w:rsidR="00FD157D" w:rsidRPr="004E0E7D" w:rsidRDefault="00FD157D" w:rsidP="004E0E7D">
      <w:pPr>
        <w:ind w:left="360"/>
        <w:rPr>
          <w:rFonts w:ascii="Times New Roman" w:eastAsia="Times New Roman" w:hAnsi="Times New Roman" w:cs="Times New Roman"/>
          <w:kern w:val="0"/>
          <w:sz w:val="24"/>
          <w:szCs w:val="24"/>
          <w14:ligatures w14:val="none"/>
        </w:rPr>
      </w:pPr>
      <w:r w:rsidRPr="004E0E7D">
        <w:rPr>
          <w:rFonts w:ascii="Calibri" w:eastAsia="Times New Roman" w:hAnsi="Calibri" w:cs="Calibri"/>
          <w:color w:val="000000"/>
          <w:kern w:val="0"/>
          <w14:ligatures w14:val="none"/>
        </w:rPr>
        <w:t>It is ethically required to abide by consumer protection laws and data protection regulations. Legal and ethical issues may arise from breaking these rules.</w:t>
      </w:r>
    </w:p>
    <w:p w14:paraId="351D6DB3" w14:textId="77777777" w:rsidR="004E0E7D" w:rsidRPr="00FD157D" w:rsidRDefault="004E0E7D" w:rsidP="00FD157D">
      <w:pPr>
        <w:pStyle w:val="ListParagraph"/>
        <w:spacing w:after="200" w:line="240" w:lineRule="auto"/>
        <w:ind w:left="360"/>
        <w:rPr>
          <w:rFonts w:ascii="Times New Roman" w:eastAsia="Times New Roman" w:hAnsi="Times New Roman" w:cs="Times New Roman"/>
          <w:kern w:val="0"/>
          <w:sz w:val="24"/>
          <w:szCs w:val="24"/>
          <w14:ligatures w14:val="none"/>
        </w:rPr>
      </w:pPr>
    </w:p>
    <w:p w14:paraId="46365FCD" w14:textId="77777777" w:rsidR="00FD157D" w:rsidRPr="00FD157D" w:rsidRDefault="00FD157D" w:rsidP="004E0E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14:ligatures w14:val="none"/>
        </w:rPr>
        <w:t>BEST PRACTICES FOR CRED CARD LOANS</w:t>
      </w:r>
    </w:p>
    <w:p w14:paraId="2F060C9F"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Financial institutions should use responsible lending techniques by determining a borrower's creditworthiness and granting them with sufficient credit limits. For risk assessment, this entails the use of precise and current data.</w:t>
      </w:r>
    </w:p>
    <w:p w14:paraId="161EFEBD"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Transparency: Clearly explain to borrowers the terms and conditions of credit card loans, including interest rates, fees, and any applicable penalties. Make sure that the borrowers comprehend the conditions of the credit card agreement completely.</w:t>
      </w:r>
    </w:p>
    <w:p w14:paraId="3E1F5D5F"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Fairness: Steer clear of unfair lending practices and put in place laws to protect borrowers from being turned down for credit or paying higher interest rates because of their age, gender, or race.</w:t>
      </w:r>
    </w:p>
    <w:p w14:paraId="544DCEA4"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Data privacy: To protect sensitive financial information, adhere to data protection laws and safeguard customer data by upholding stringent security procedures.</w:t>
      </w:r>
    </w:p>
    <w:p w14:paraId="47FD4E35"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Provide tools and information to customers to help them learn how to use credit cards responsibly, including the repercussions of carrying a balance and the advantages of making payments on time.</w:t>
      </w:r>
    </w:p>
    <w:p w14:paraId="5BAE1EEB"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Responsible Collection Practices: When attempting to collect past-due payments, use morally upstanding procedures, refraining from using abusive or unfair collection methods.</w:t>
      </w:r>
    </w:p>
    <w:p w14:paraId="41E50B24"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Regular Risk Assessment: Use predictive models to spot potentially problematic loans while continuously monitoring credit risk through ongoing risk assessment.</w:t>
      </w:r>
    </w:p>
    <w:p w14:paraId="0AE941E4"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Stress Testing: Conduct regular stress tests to determine how credit card loan portfolios would fare in the event of a downturn in the economy.</w:t>
      </w:r>
    </w:p>
    <w:p w14:paraId="31918B31"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Observe strict adherence to all financial rules, credit reporting specifications, and consumer protection laws. Keep up with legal changes and adjust your lending procedures as necessary.</w:t>
      </w:r>
    </w:p>
    <w:p w14:paraId="37959597" w14:textId="1E0B53B2"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 xml:space="preserve">Debt </w:t>
      </w:r>
      <w:r w:rsidR="00F15E43" w:rsidRPr="00FD157D">
        <w:rPr>
          <w:rFonts w:ascii="Calibri" w:eastAsia="Times New Roman" w:hAnsi="Calibri" w:cs="Calibri"/>
          <w:color w:val="000000"/>
          <w:kern w:val="0"/>
          <w14:ligatures w14:val="none"/>
        </w:rPr>
        <w:t>Counselling</w:t>
      </w:r>
      <w:r w:rsidRPr="00FD157D">
        <w:rPr>
          <w:rFonts w:ascii="Calibri" w:eastAsia="Times New Roman" w:hAnsi="Calibri" w:cs="Calibri"/>
          <w:color w:val="000000"/>
          <w:kern w:val="0"/>
          <w14:ligatures w14:val="none"/>
        </w:rPr>
        <w:t xml:space="preserve"> and Assistance: Provide debt </w:t>
      </w:r>
      <w:r w:rsidR="00F15E43" w:rsidRPr="00FD157D">
        <w:rPr>
          <w:rFonts w:ascii="Calibri" w:eastAsia="Times New Roman" w:hAnsi="Calibri" w:cs="Calibri"/>
          <w:color w:val="000000"/>
          <w:kern w:val="0"/>
          <w14:ligatures w14:val="none"/>
        </w:rPr>
        <w:t>counselling</w:t>
      </w:r>
      <w:r w:rsidRPr="00FD157D">
        <w:rPr>
          <w:rFonts w:ascii="Calibri" w:eastAsia="Times New Roman" w:hAnsi="Calibri" w:cs="Calibri"/>
          <w:color w:val="000000"/>
          <w:kern w:val="0"/>
          <w14:ligatures w14:val="none"/>
        </w:rPr>
        <w:t xml:space="preserve"> and assistance programs to assist borrowers who may be having financial difficulties and take into account providing alternative payment arrangements.</w:t>
      </w:r>
    </w:p>
    <w:p w14:paraId="0098A3F1"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Effective Fraud Detection: To safeguard both borrowers and the institution against fraudulent transactions, implement effective fraud detection systems.</w:t>
      </w:r>
    </w:p>
    <w:p w14:paraId="7AD5FF1B" w14:textId="77777777" w:rsidR="00FD157D" w:rsidRDefault="00FD157D" w:rsidP="00FD157D">
      <w:pPr>
        <w:pStyle w:val="ListParagraph"/>
        <w:spacing w:after="0" w:line="240" w:lineRule="auto"/>
        <w:ind w:left="360"/>
        <w:rPr>
          <w:rFonts w:ascii="Times New Roman" w:eastAsia="Times New Roman" w:hAnsi="Times New Roman" w:cs="Times New Roman"/>
          <w:kern w:val="0"/>
          <w:sz w:val="24"/>
          <w:szCs w:val="24"/>
          <w14:ligatures w14:val="none"/>
        </w:rPr>
      </w:pPr>
    </w:p>
    <w:p w14:paraId="1C99487D" w14:textId="77777777" w:rsidR="004E0E7D" w:rsidRDefault="004E0E7D" w:rsidP="00FD157D">
      <w:pPr>
        <w:pStyle w:val="ListParagraph"/>
        <w:spacing w:after="0" w:line="240" w:lineRule="auto"/>
        <w:ind w:left="360"/>
        <w:rPr>
          <w:rFonts w:ascii="Times New Roman" w:eastAsia="Times New Roman" w:hAnsi="Times New Roman" w:cs="Times New Roman"/>
          <w:kern w:val="0"/>
          <w:sz w:val="24"/>
          <w:szCs w:val="24"/>
          <w14:ligatures w14:val="none"/>
        </w:rPr>
      </w:pPr>
    </w:p>
    <w:p w14:paraId="762D371C" w14:textId="77777777" w:rsidR="004E0E7D" w:rsidRDefault="004E0E7D" w:rsidP="00FD157D">
      <w:pPr>
        <w:pStyle w:val="ListParagraph"/>
        <w:spacing w:after="0" w:line="240" w:lineRule="auto"/>
        <w:ind w:left="360"/>
        <w:rPr>
          <w:rFonts w:ascii="Times New Roman" w:eastAsia="Times New Roman" w:hAnsi="Times New Roman" w:cs="Times New Roman"/>
          <w:kern w:val="0"/>
          <w:sz w:val="24"/>
          <w:szCs w:val="24"/>
          <w14:ligatures w14:val="none"/>
        </w:rPr>
      </w:pPr>
    </w:p>
    <w:p w14:paraId="2EC55185" w14:textId="77777777" w:rsidR="004E0E7D" w:rsidRDefault="004E0E7D" w:rsidP="00FD157D">
      <w:pPr>
        <w:pStyle w:val="ListParagraph"/>
        <w:spacing w:after="0" w:line="240" w:lineRule="auto"/>
        <w:ind w:left="360"/>
        <w:rPr>
          <w:rFonts w:ascii="Times New Roman" w:eastAsia="Times New Roman" w:hAnsi="Times New Roman" w:cs="Times New Roman"/>
          <w:kern w:val="0"/>
          <w:sz w:val="24"/>
          <w:szCs w:val="24"/>
          <w14:ligatures w14:val="none"/>
        </w:rPr>
      </w:pPr>
    </w:p>
    <w:p w14:paraId="29032A18" w14:textId="77777777" w:rsidR="004E0E7D" w:rsidRDefault="004E0E7D" w:rsidP="00FD157D">
      <w:pPr>
        <w:pStyle w:val="ListParagraph"/>
        <w:spacing w:after="0" w:line="240" w:lineRule="auto"/>
        <w:ind w:left="360"/>
        <w:rPr>
          <w:rFonts w:ascii="Times New Roman" w:eastAsia="Times New Roman" w:hAnsi="Times New Roman" w:cs="Times New Roman"/>
          <w:kern w:val="0"/>
          <w:sz w:val="24"/>
          <w:szCs w:val="24"/>
          <w14:ligatures w14:val="none"/>
        </w:rPr>
      </w:pPr>
    </w:p>
    <w:p w14:paraId="3B3BC089" w14:textId="77777777" w:rsidR="004E0E7D" w:rsidRDefault="004E0E7D" w:rsidP="00FD157D">
      <w:pPr>
        <w:pStyle w:val="ListParagraph"/>
        <w:spacing w:after="0" w:line="240" w:lineRule="auto"/>
        <w:ind w:left="360"/>
        <w:rPr>
          <w:rFonts w:ascii="Times New Roman" w:eastAsia="Times New Roman" w:hAnsi="Times New Roman" w:cs="Times New Roman"/>
          <w:kern w:val="0"/>
          <w:sz w:val="24"/>
          <w:szCs w:val="24"/>
          <w14:ligatures w14:val="none"/>
        </w:rPr>
      </w:pPr>
    </w:p>
    <w:p w14:paraId="46F2CAC3" w14:textId="77777777" w:rsidR="004E0E7D" w:rsidRDefault="004E0E7D" w:rsidP="00FD157D">
      <w:pPr>
        <w:pStyle w:val="ListParagraph"/>
        <w:spacing w:after="0" w:line="240" w:lineRule="auto"/>
        <w:ind w:left="360"/>
        <w:rPr>
          <w:rFonts w:ascii="Times New Roman" w:eastAsia="Times New Roman" w:hAnsi="Times New Roman" w:cs="Times New Roman"/>
          <w:kern w:val="0"/>
          <w:sz w:val="24"/>
          <w:szCs w:val="24"/>
          <w14:ligatures w14:val="none"/>
        </w:rPr>
      </w:pPr>
    </w:p>
    <w:p w14:paraId="60851866" w14:textId="77777777" w:rsidR="004E0E7D" w:rsidRDefault="004E0E7D" w:rsidP="00FD157D">
      <w:pPr>
        <w:pStyle w:val="ListParagraph"/>
        <w:spacing w:after="0" w:line="240" w:lineRule="auto"/>
        <w:ind w:left="360"/>
        <w:rPr>
          <w:rFonts w:ascii="Times New Roman" w:eastAsia="Times New Roman" w:hAnsi="Times New Roman" w:cs="Times New Roman"/>
          <w:kern w:val="0"/>
          <w:sz w:val="24"/>
          <w:szCs w:val="24"/>
          <w14:ligatures w14:val="none"/>
        </w:rPr>
      </w:pPr>
    </w:p>
    <w:p w14:paraId="03CFC578" w14:textId="77777777" w:rsidR="004E0E7D" w:rsidRPr="00FD157D" w:rsidRDefault="004E0E7D" w:rsidP="00FD157D">
      <w:pPr>
        <w:pStyle w:val="ListParagraph"/>
        <w:spacing w:after="0" w:line="240" w:lineRule="auto"/>
        <w:ind w:left="360"/>
        <w:rPr>
          <w:rFonts w:ascii="Times New Roman" w:eastAsia="Times New Roman" w:hAnsi="Times New Roman" w:cs="Times New Roman"/>
          <w:kern w:val="0"/>
          <w:sz w:val="24"/>
          <w:szCs w:val="24"/>
          <w14:ligatures w14:val="none"/>
        </w:rPr>
      </w:pPr>
    </w:p>
    <w:p w14:paraId="7EA8B59A" w14:textId="77777777" w:rsidR="00FD157D" w:rsidRPr="00FD157D" w:rsidRDefault="00FD157D" w:rsidP="004E0E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b/>
          <w:bCs/>
          <w:color w:val="000000"/>
          <w:kern w:val="0"/>
          <w14:ligatures w14:val="none"/>
        </w:rPr>
        <w:t>The following is for borrowers.</w:t>
      </w:r>
    </w:p>
    <w:p w14:paraId="294BD7FF"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Budgeting: Establish a spending plan and stick to it to prevent piling up a lot of credit card debt. Recognize the distinction between wants and needs.</w:t>
      </w:r>
    </w:p>
    <w:p w14:paraId="5DAA1FA3"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Pay your bills on time to avoid late fees and damage to your credit score. To make sure payments are made on time, think about setting up automatic payments.</w:t>
      </w:r>
    </w:p>
    <w:p w14:paraId="628C8D6D"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Debt management tips include avoiding having high credit card balances and paying off credit card debt as quickly as you can. Pay more than the required minimum payment whenever possible.</w:t>
      </w:r>
    </w:p>
    <w:p w14:paraId="451A66F0"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Credit Utilization: To keep your credit score in good standing, keep your credit utilization (the percentage of available credit that is actually used) low. A utilization rate under 30% is the target.</w:t>
      </w:r>
    </w:p>
    <w:p w14:paraId="20EBE4F3"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Monitor Statements: Consistently check your credit card statements for mistakes or unauthorized charges and report any inconsistencies as soon as you notice them.</w:t>
      </w:r>
    </w:p>
    <w:p w14:paraId="14BAF700"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Avoid cash advances because they frequently have higher fees and interest rates than regular purchases. When possible, refrain from cash advances on your credit card.</w:t>
      </w:r>
    </w:p>
    <w:p w14:paraId="63A281BB" w14:textId="77777777"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Understand the Terms: Become familiar with the conditions of your credit card agreement, including the interest rates, grace periods, and fees.</w:t>
      </w:r>
    </w:p>
    <w:p w14:paraId="6C57CEC1" w14:textId="25BB9371" w:rsidR="00FD157D" w:rsidRPr="00FD157D" w:rsidRDefault="00FD157D" w:rsidP="00FD157D">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 xml:space="preserve">Consult a credit </w:t>
      </w:r>
      <w:r w:rsidR="00F15E43" w:rsidRPr="00FD157D">
        <w:rPr>
          <w:rFonts w:ascii="Calibri" w:eastAsia="Times New Roman" w:hAnsi="Calibri" w:cs="Calibri"/>
          <w:color w:val="000000"/>
          <w:kern w:val="0"/>
          <w14:ligatures w14:val="none"/>
        </w:rPr>
        <w:t>counsellor</w:t>
      </w:r>
      <w:r w:rsidRPr="00FD157D">
        <w:rPr>
          <w:rFonts w:ascii="Calibri" w:eastAsia="Times New Roman" w:hAnsi="Calibri" w:cs="Calibri"/>
          <w:color w:val="000000"/>
          <w:kern w:val="0"/>
          <w14:ligatures w14:val="none"/>
        </w:rPr>
        <w:t xml:space="preserve"> or financial advisor for assistance if necessary if you are having trouble making ends meet or are worried about your credit card debt.</w:t>
      </w:r>
    </w:p>
    <w:p w14:paraId="5442E8B5" w14:textId="1BD13598" w:rsidR="000B24FF" w:rsidRPr="00F15E43" w:rsidRDefault="00FD157D" w:rsidP="00F15E43">
      <w:pPr>
        <w:pStyle w:val="ListParagraph"/>
        <w:spacing w:after="200" w:line="240" w:lineRule="auto"/>
        <w:ind w:left="360"/>
        <w:rPr>
          <w:rFonts w:ascii="Times New Roman" w:eastAsia="Times New Roman" w:hAnsi="Times New Roman" w:cs="Times New Roman"/>
          <w:kern w:val="0"/>
          <w:sz w:val="24"/>
          <w:szCs w:val="24"/>
          <w14:ligatures w14:val="none"/>
        </w:rPr>
      </w:pPr>
      <w:r w:rsidRPr="00FD157D">
        <w:rPr>
          <w:rFonts w:ascii="Calibri" w:eastAsia="Times New Roman" w:hAnsi="Calibri" w:cs="Calibri"/>
          <w:color w:val="000000"/>
          <w:kern w:val="0"/>
          <w14:ligatures w14:val="none"/>
        </w:rPr>
        <w:t>Financial literacy: Keep learning about your own finances, managing your credit, and credit ratings. You can make wiser financial decisions by developing your financial literacy.</w:t>
      </w:r>
    </w:p>
    <w:p w14:paraId="0FA29C8C" w14:textId="77777777" w:rsidR="000B24FF" w:rsidRDefault="000B24FF" w:rsidP="00D075C3">
      <w:pPr>
        <w:snapToGrid w:val="0"/>
        <w:spacing w:after="0" w:line="240" w:lineRule="auto"/>
        <w:rPr>
          <w:rFonts w:cstheme="minorHAnsi"/>
          <w:lang w:val="en-US"/>
        </w:rPr>
      </w:pPr>
    </w:p>
    <w:p w14:paraId="2DA0AB50" w14:textId="77777777" w:rsidR="000B24FF" w:rsidRDefault="000B24FF" w:rsidP="00D075C3">
      <w:pPr>
        <w:snapToGrid w:val="0"/>
        <w:spacing w:after="0" w:line="240" w:lineRule="auto"/>
        <w:rPr>
          <w:rFonts w:cstheme="minorHAnsi"/>
          <w:lang w:val="en-US"/>
        </w:rPr>
      </w:pPr>
    </w:p>
    <w:p w14:paraId="274D8863" w14:textId="77777777" w:rsidR="000B24FF" w:rsidRDefault="000B24FF" w:rsidP="00D075C3">
      <w:pPr>
        <w:snapToGrid w:val="0"/>
        <w:spacing w:after="0" w:line="240" w:lineRule="auto"/>
        <w:rPr>
          <w:rFonts w:cstheme="minorHAnsi"/>
          <w:lang w:val="en-US"/>
        </w:rPr>
      </w:pPr>
    </w:p>
    <w:p w14:paraId="2011DBCE" w14:textId="77777777" w:rsidR="000B24FF" w:rsidRDefault="000B24FF" w:rsidP="00D075C3">
      <w:pPr>
        <w:snapToGrid w:val="0"/>
        <w:spacing w:after="0" w:line="240" w:lineRule="auto"/>
        <w:rPr>
          <w:rFonts w:cstheme="minorHAnsi"/>
          <w:lang w:val="en-US"/>
        </w:rPr>
      </w:pPr>
    </w:p>
    <w:p w14:paraId="364F2913" w14:textId="77777777" w:rsidR="000B24FF" w:rsidRDefault="000B24FF" w:rsidP="00D075C3">
      <w:pPr>
        <w:snapToGrid w:val="0"/>
        <w:spacing w:after="0" w:line="240" w:lineRule="auto"/>
        <w:rPr>
          <w:rFonts w:cstheme="minorHAnsi"/>
          <w:lang w:val="en-US"/>
        </w:rPr>
      </w:pPr>
    </w:p>
    <w:p w14:paraId="64F7494E" w14:textId="77777777" w:rsidR="0096035D" w:rsidRDefault="0096035D" w:rsidP="00D075C3">
      <w:pPr>
        <w:snapToGrid w:val="0"/>
        <w:spacing w:after="0" w:line="240" w:lineRule="auto"/>
        <w:rPr>
          <w:rFonts w:cstheme="minorHAnsi"/>
          <w:lang w:val="en-US"/>
        </w:rPr>
      </w:pPr>
    </w:p>
    <w:p w14:paraId="6B0D4364" w14:textId="77777777" w:rsidR="0096035D" w:rsidRDefault="0096035D" w:rsidP="00D075C3">
      <w:pPr>
        <w:snapToGrid w:val="0"/>
        <w:spacing w:after="0" w:line="240" w:lineRule="auto"/>
        <w:rPr>
          <w:rFonts w:cstheme="minorHAnsi"/>
          <w:lang w:val="en-US"/>
        </w:rPr>
      </w:pPr>
    </w:p>
    <w:p w14:paraId="6BA3930E" w14:textId="77777777" w:rsidR="0096035D" w:rsidRDefault="0096035D" w:rsidP="00D075C3">
      <w:pPr>
        <w:snapToGrid w:val="0"/>
        <w:spacing w:after="0" w:line="240" w:lineRule="auto"/>
        <w:rPr>
          <w:rFonts w:cstheme="minorHAnsi"/>
          <w:lang w:val="en-US"/>
        </w:rPr>
      </w:pPr>
    </w:p>
    <w:p w14:paraId="1E038DE1" w14:textId="77777777" w:rsidR="0096035D" w:rsidRDefault="0096035D" w:rsidP="00D075C3">
      <w:pPr>
        <w:snapToGrid w:val="0"/>
        <w:spacing w:after="0" w:line="240" w:lineRule="auto"/>
        <w:rPr>
          <w:rFonts w:cstheme="minorHAnsi"/>
          <w:lang w:val="en-US"/>
        </w:rPr>
      </w:pPr>
    </w:p>
    <w:p w14:paraId="42579C69" w14:textId="77777777" w:rsidR="0096035D" w:rsidRDefault="0096035D" w:rsidP="00D075C3">
      <w:pPr>
        <w:snapToGrid w:val="0"/>
        <w:spacing w:after="0" w:line="240" w:lineRule="auto"/>
        <w:rPr>
          <w:rFonts w:cstheme="minorHAnsi"/>
          <w:lang w:val="en-US"/>
        </w:rPr>
      </w:pPr>
    </w:p>
    <w:p w14:paraId="5B7FF407" w14:textId="77777777" w:rsidR="0096035D" w:rsidRDefault="0096035D" w:rsidP="00D075C3">
      <w:pPr>
        <w:snapToGrid w:val="0"/>
        <w:spacing w:after="0" w:line="240" w:lineRule="auto"/>
        <w:rPr>
          <w:rFonts w:cstheme="minorHAnsi"/>
          <w:lang w:val="en-US"/>
        </w:rPr>
      </w:pPr>
    </w:p>
    <w:p w14:paraId="5CBB02AF" w14:textId="77777777" w:rsidR="0096035D" w:rsidRDefault="0096035D" w:rsidP="00D075C3">
      <w:pPr>
        <w:snapToGrid w:val="0"/>
        <w:spacing w:after="0" w:line="240" w:lineRule="auto"/>
        <w:rPr>
          <w:rFonts w:cstheme="minorHAnsi"/>
          <w:lang w:val="en-US"/>
        </w:rPr>
      </w:pPr>
    </w:p>
    <w:p w14:paraId="21F6729D" w14:textId="77777777" w:rsidR="0096035D" w:rsidRDefault="0096035D" w:rsidP="00D075C3">
      <w:pPr>
        <w:snapToGrid w:val="0"/>
        <w:spacing w:after="0" w:line="240" w:lineRule="auto"/>
        <w:rPr>
          <w:rFonts w:cstheme="minorHAnsi"/>
          <w:lang w:val="en-US"/>
        </w:rPr>
      </w:pPr>
    </w:p>
    <w:p w14:paraId="056EE628" w14:textId="77777777" w:rsidR="0096035D" w:rsidRDefault="0096035D" w:rsidP="00D075C3">
      <w:pPr>
        <w:snapToGrid w:val="0"/>
        <w:spacing w:after="0" w:line="240" w:lineRule="auto"/>
        <w:rPr>
          <w:rFonts w:cstheme="minorHAnsi"/>
          <w:lang w:val="en-US"/>
        </w:rPr>
      </w:pPr>
    </w:p>
    <w:p w14:paraId="77F2FE10" w14:textId="77777777" w:rsidR="0096035D" w:rsidRDefault="0096035D" w:rsidP="00D075C3">
      <w:pPr>
        <w:snapToGrid w:val="0"/>
        <w:spacing w:after="0" w:line="240" w:lineRule="auto"/>
        <w:rPr>
          <w:rFonts w:cstheme="minorHAnsi"/>
          <w:lang w:val="en-US"/>
        </w:rPr>
      </w:pPr>
    </w:p>
    <w:p w14:paraId="4EDC5E68" w14:textId="77777777" w:rsidR="0096035D" w:rsidRDefault="0096035D" w:rsidP="00D075C3">
      <w:pPr>
        <w:snapToGrid w:val="0"/>
        <w:spacing w:after="0" w:line="240" w:lineRule="auto"/>
        <w:rPr>
          <w:rFonts w:cstheme="minorHAnsi"/>
          <w:lang w:val="en-US"/>
        </w:rPr>
      </w:pPr>
    </w:p>
    <w:p w14:paraId="6A986F5B" w14:textId="77777777" w:rsidR="0096035D" w:rsidRDefault="0096035D" w:rsidP="00D075C3">
      <w:pPr>
        <w:snapToGrid w:val="0"/>
        <w:spacing w:after="0" w:line="240" w:lineRule="auto"/>
        <w:rPr>
          <w:rFonts w:cstheme="minorHAnsi"/>
          <w:lang w:val="en-US"/>
        </w:rPr>
      </w:pPr>
    </w:p>
    <w:p w14:paraId="7128A195" w14:textId="77777777" w:rsidR="0096035D" w:rsidRDefault="0096035D" w:rsidP="00D075C3">
      <w:pPr>
        <w:snapToGrid w:val="0"/>
        <w:spacing w:after="0" w:line="240" w:lineRule="auto"/>
        <w:rPr>
          <w:rFonts w:cstheme="minorHAnsi"/>
          <w:lang w:val="en-US"/>
        </w:rPr>
      </w:pPr>
    </w:p>
    <w:p w14:paraId="2B5B84F0" w14:textId="77777777" w:rsidR="0096035D" w:rsidRDefault="0096035D" w:rsidP="00D075C3">
      <w:pPr>
        <w:snapToGrid w:val="0"/>
        <w:spacing w:after="0" w:line="240" w:lineRule="auto"/>
        <w:rPr>
          <w:rFonts w:cstheme="minorHAnsi"/>
          <w:lang w:val="en-US"/>
        </w:rPr>
      </w:pPr>
    </w:p>
    <w:p w14:paraId="5191958D" w14:textId="77777777" w:rsidR="0096035D" w:rsidRDefault="0096035D" w:rsidP="00D075C3">
      <w:pPr>
        <w:snapToGrid w:val="0"/>
        <w:spacing w:after="0" w:line="240" w:lineRule="auto"/>
        <w:rPr>
          <w:rFonts w:cstheme="minorHAnsi"/>
          <w:lang w:val="en-US"/>
        </w:rPr>
      </w:pPr>
    </w:p>
    <w:p w14:paraId="346E12AC" w14:textId="77777777" w:rsidR="0096035D" w:rsidRDefault="0096035D" w:rsidP="00D075C3">
      <w:pPr>
        <w:snapToGrid w:val="0"/>
        <w:spacing w:after="0" w:line="240" w:lineRule="auto"/>
        <w:rPr>
          <w:rFonts w:cstheme="minorHAnsi"/>
          <w:lang w:val="en-US"/>
        </w:rPr>
      </w:pPr>
    </w:p>
    <w:p w14:paraId="0FBA0247" w14:textId="77777777" w:rsidR="0096035D" w:rsidRDefault="0096035D" w:rsidP="00D075C3">
      <w:pPr>
        <w:snapToGrid w:val="0"/>
        <w:spacing w:after="0" w:line="240" w:lineRule="auto"/>
        <w:rPr>
          <w:rFonts w:cstheme="minorHAnsi"/>
          <w:lang w:val="en-US"/>
        </w:rPr>
      </w:pPr>
    </w:p>
    <w:p w14:paraId="124C6966" w14:textId="77777777" w:rsidR="0096035D" w:rsidRDefault="0096035D" w:rsidP="00D075C3">
      <w:pPr>
        <w:snapToGrid w:val="0"/>
        <w:spacing w:after="0" w:line="240" w:lineRule="auto"/>
        <w:rPr>
          <w:rFonts w:cstheme="minorHAnsi"/>
          <w:lang w:val="en-US"/>
        </w:rPr>
      </w:pPr>
    </w:p>
    <w:p w14:paraId="3C0E9ADF" w14:textId="77777777" w:rsidR="0096035D" w:rsidRDefault="0096035D" w:rsidP="00D075C3">
      <w:pPr>
        <w:snapToGrid w:val="0"/>
        <w:spacing w:after="0" w:line="240" w:lineRule="auto"/>
        <w:rPr>
          <w:rFonts w:cstheme="minorHAnsi"/>
          <w:lang w:val="en-US"/>
        </w:rPr>
      </w:pPr>
    </w:p>
    <w:p w14:paraId="2A9F8483" w14:textId="77777777" w:rsidR="0096035D" w:rsidRDefault="0096035D" w:rsidP="00D075C3">
      <w:pPr>
        <w:snapToGrid w:val="0"/>
        <w:spacing w:after="0" w:line="240" w:lineRule="auto"/>
        <w:rPr>
          <w:rFonts w:cstheme="minorHAnsi"/>
          <w:lang w:val="en-US"/>
        </w:rPr>
      </w:pPr>
    </w:p>
    <w:p w14:paraId="7D71BC90" w14:textId="77777777" w:rsidR="0096035D" w:rsidRDefault="0096035D" w:rsidP="00D075C3">
      <w:pPr>
        <w:snapToGrid w:val="0"/>
        <w:spacing w:after="0" w:line="240" w:lineRule="auto"/>
        <w:rPr>
          <w:rFonts w:cstheme="minorHAnsi"/>
          <w:lang w:val="en-US"/>
        </w:rPr>
      </w:pPr>
    </w:p>
    <w:p w14:paraId="53DAAD06" w14:textId="77777777" w:rsidR="0096035D" w:rsidRDefault="0096035D" w:rsidP="00D075C3">
      <w:pPr>
        <w:snapToGrid w:val="0"/>
        <w:spacing w:after="0" w:line="240" w:lineRule="auto"/>
        <w:rPr>
          <w:rFonts w:cstheme="minorHAnsi"/>
          <w:lang w:val="en-US"/>
        </w:rPr>
      </w:pPr>
    </w:p>
    <w:p w14:paraId="58A8DBF0" w14:textId="77777777" w:rsidR="0096035D" w:rsidRDefault="0096035D" w:rsidP="00D075C3">
      <w:pPr>
        <w:snapToGrid w:val="0"/>
        <w:spacing w:after="0" w:line="240" w:lineRule="auto"/>
        <w:rPr>
          <w:rFonts w:cstheme="minorHAnsi"/>
          <w:lang w:val="en-US"/>
        </w:rPr>
      </w:pPr>
    </w:p>
    <w:p w14:paraId="69CA3368" w14:textId="77777777" w:rsidR="0096035D" w:rsidRDefault="0096035D" w:rsidP="00D075C3">
      <w:pPr>
        <w:snapToGrid w:val="0"/>
        <w:spacing w:after="0" w:line="240" w:lineRule="auto"/>
        <w:rPr>
          <w:rFonts w:cstheme="minorHAnsi"/>
          <w:lang w:val="en-US"/>
        </w:rPr>
      </w:pPr>
    </w:p>
    <w:p w14:paraId="13D746DB" w14:textId="77777777" w:rsidR="0096035D" w:rsidRDefault="0096035D" w:rsidP="00D075C3">
      <w:pPr>
        <w:snapToGrid w:val="0"/>
        <w:spacing w:after="0" w:line="240" w:lineRule="auto"/>
        <w:rPr>
          <w:rFonts w:cstheme="minorHAnsi"/>
          <w:lang w:val="en-US"/>
        </w:rPr>
      </w:pPr>
    </w:p>
    <w:p w14:paraId="7A768184" w14:textId="77777777" w:rsidR="0096035D" w:rsidRDefault="0096035D" w:rsidP="00D075C3">
      <w:pPr>
        <w:snapToGrid w:val="0"/>
        <w:spacing w:after="0" w:line="240" w:lineRule="auto"/>
        <w:rPr>
          <w:rFonts w:cstheme="minorHAnsi"/>
          <w:lang w:val="en-US"/>
        </w:rPr>
      </w:pPr>
    </w:p>
    <w:p w14:paraId="3330CC87" w14:textId="77777777" w:rsidR="0096035D" w:rsidRDefault="0096035D" w:rsidP="00D075C3">
      <w:pPr>
        <w:snapToGrid w:val="0"/>
        <w:spacing w:after="0" w:line="240" w:lineRule="auto"/>
        <w:rPr>
          <w:rFonts w:cstheme="minorHAnsi"/>
          <w:lang w:val="en-US"/>
        </w:rPr>
      </w:pPr>
    </w:p>
    <w:p w14:paraId="36BA4171" w14:textId="77777777" w:rsidR="00D075C3" w:rsidRPr="00616AA8" w:rsidRDefault="00000000" w:rsidP="004E0E7D">
      <w:pPr>
        <w:pStyle w:val="ListParagraph"/>
        <w:numPr>
          <w:ilvl w:val="1"/>
          <w:numId w:val="1"/>
        </w:numPr>
        <w:snapToGrid w:val="0"/>
        <w:spacing w:after="0" w:line="240" w:lineRule="auto"/>
        <w:contextualSpacing w:val="0"/>
        <w:rPr>
          <w:rFonts w:cstheme="minorHAnsi"/>
          <w:b/>
          <w:bCs/>
          <w:lang w:val="en-US"/>
        </w:rPr>
      </w:pPr>
      <w:r w:rsidRPr="006443F2">
        <w:rPr>
          <w:rFonts w:cstheme="minorHAnsi"/>
          <w:b/>
          <w:bCs/>
          <w:sz w:val="24"/>
          <w:szCs w:val="24"/>
          <w:lang w:val="en-US"/>
        </w:rPr>
        <w:lastRenderedPageBreak/>
        <w:t xml:space="preserve">Student: Yhasreen </w:t>
      </w:r>
      <w:r w:rsidR="00224935" w:rsidRPr="006443F2">
        <w:rPr>
          <w:rFonts w:cstheme="minorHAnsi"/>
          <w:b/>
          <w:bCs/>
          <w:sz w:val="24"/>
          <w:szCs w:val="24"/>
          <w:lang w:val="en-US"/>
        </w:rPr>
        <w:t>–</w:t>
      </w:r>
      <w:r w:rsidRPr="006443F2">
        <w:rPr>
          <w:rFonts w:cstheme="minorHAnsi"/>
          <w:b/>
          <w:bCs/>
          <w:sz w:val="24"/>
          <w:szCs w:val="24"/>
          <w:lang w:val="en-US"/>
        </w:rPr>
        <w:t xml:space="preserve"> AAPL Equity Investment </w:t>
      </w:r>
      <w:r w:rsidR="00957619" w:rsidRPr="006443F2">
        <w:rPr>
          <w:rFonts w:cstheme="minorHAnsi"/>
          <w:b/>
          <w:bCs/>
          <w:sz w:val="24"/>
          <w:szCs w:val="24"/>
          <w:lang w:val="en-US"/>
        </w:rPr>
        <w:t xml:space="preserve">focusing </w:t>
      </w:r>
      <w:r w:rsidR="009E61C9" w:rsidRPr="006443F2">
        <w:rPr>
          <w:rFonts w:cstheme="minorHAnsi"/>
          <w:b/>
          <w:bCs/>
          <w:sz w:val="24"/>
          <w:szCs w:val="24"/>
          <w:lang w:val="en-US"/>
        </w:rPr>
        <w:t>on ethical data consideration</w:t>
      </w:r>
    </w:p>
    <w:p w14:paraId="226D67D7" w14:textId="77777777" w:rsidR="00E82AAF" w:rsidRPr="00616AA8" w:rsidRDefault="00000000" w:rsidP="004E0E7D">
      <w:pPr>
        <w:pStyle w:val="ListParagraph"/>
        <w:numPr>
          <w:ilvl w:val="2"/>
          <w:numId w:val="1"/>
        </w:numPr>
        <w:snapToGrid w:val="0"/>
        <w:spacing w:after="0" w:line="240" w:lineRule="auto"/>
        <w:rPr>
          <w:rFonts w:cstheme="minorHAnsi"/>
          <w:b/>
          <w:bCs/>
          <w:u w:val="single"/>
          <w:lang w:val="en-US"/>
        </w:rPr>
      </w:pPr>
      <w:r w:rsidRPr="00616AA8">
        <w:rPr>
          <w:rFonts w:cstheme="minorHAnsi"/>
          <w:b/>
          <w:bCs/>
          <w:u w:val="single"/>
          <w:lang w:val="en-US"/>
        </w:rPr>
        <w:t>Problems:</w:t>
      </w:r>
    </w:p>
    <w:p w14:paraId="5A356A23" w14:textId="77777777" w:rsidR="00E82AAF" w:rsidRPr="00616AA8" w:rsidRDefault="00000000" w:rsidP="00BF7FA2">
      <w:pPr>
        <w:pStyle w:val="ListParagraph"/>
        <w:snapToGrid w:val="0"/>
        <w:spacing w:after="0" w:line="240" w:lineRule="auto"/>
        <w:ind w:left="1344"/>
        <w:rPr>
          <w:rFonts w:cstheme="minorHAnsi"/>
          <w:lang w:val="en-US"/>
        </w:rPr>
      </w:pPr>
      <w:r w:rsidRPr="00616AA8">
        <w:rPr>
          <w:rFonts w:cstheme="minorHAnsi"/>
          <w:lang w:val="en-US"/>
        </w:rPr>
        <w:t xml:space="preserve">In the milieu of digital information, the </w:t>
      </w:r>
      <w:r w:rsidR="00E32692" w:rsidRPr="00616AA8">
        <w:rPr>
          <w:rFonts w:cstheme="minorHAnsi"/>
          <w:lang w:val="en-US"/>
        </w:rPr>
        <w:t>tendency</w:t>
      </w:r>
      <w:r w:rsidRPr="00616AA8">
        <w:rPr>
          <w:rFonts w:cstheme="minorHAnsi"/>
          <w:lang w:val="en-US"/>
        </w:rPr>
        <w:t xml:space="preserve"> to </w:t>
      </w:r>
      <w:r w:rsidRPr="00616AA8">
        <w:rPr>
          <w:rFonts w:cstheme="minorHAnsi"/>
          <w:b/>
          <w:bCs/>
          <w:lang w:val="en-US"/>
        </w:rPr>
        <w:t>propagate propaganda and fake reviews</w:t>
      </w:r>
      <w:r w:rsidRPr="00616AA8">
        <w:rPr>
          <w:rFonts w:cstheme="minorHAnsi"/>
          <w:lang w:val="en-US"/>
        </w:rPr>
        <w:t xml:space="preserve"> represents a sinister ethical </w:t>
      </w:r>
      <w:r w:rsidR="00E32692" w:rsidRPr="00616AA8">
        <w:rPr>
          <w:rFonts w:cstheme="minorHAnsi"/>
          <w:lang w:val="en-US"/>
        </w:rPr>
        <w:t>dilemma</w:t>
      </w:r>
      <w:r w:rsidRPr="00616AA8">
        <w:rPr>
          <w:rFonts w:cstheme="minorHAnsi"/>
          <w:lang w:val="en-US"/>
        </w:rPr>
        <w:t>.</w:t>
      </w:r>
      <w:r w:rsidR="000E24B0" w:rsidRPr="00616AA8">
        <w:rPr>
          <w:rFonts w:cstheme="minorHAnsi"/>
          <w:lang w:val="en-US"/>
        </w:rPr>
        <w:t xml:space="preserve"> </w:t>
      </w:r>
      <w:r w:rsidR="00BF7FA2" w:rsidRPr="00616AA8">
        <w:rPr>
          <w:rFonts w:cstheme="minorHAnsi"/>
          <w:lang w:val="en-US"/>
        </w:rPr>
        <w:t xml:space="preserve">Consequently, ethical considerations are a grave matter and are meticulously observed in data collection practices for AAPL equity investment strategies. Hence, </w:t>
      </w:r>
      <w:r w:rsidR="00BF7FA2" w:rsidRPr="00616AA8">
        <w:rPr>
          <w:rFonts w:cstheme="minorHAnsi"/>
          <w:b/>
          <w:bCs/>
          <w:lang w:val="en-US"/>
        </w:rPr>
        <w:t>d</w:t>
      </w:r>
      <w:r w:rsidRPr="00616AA8">
        <w:rPr>
          <w:rFonts w:cstheme="minorHAnsi"/>
          <w:b/>
          <w:bCs/>
          <w:lang w:val="en-US"/>
        </w:rPr>
        <w:t>ata transparency</w:t>
      </w:r>
      <w:r w:rsidRPr="00616AA8">
        <w:rPr>
          <w:rFonts w:cstheme="minorHAnsi"/>
          <w:lang w:val="en-US"/>
        </w:rPr>
        <w:t xml:space="preserve"> is quintessential in maintaining the integral functioning of capital markets. Investment firms and algorithms should be forthright about the data sources and methodologies employed, thereby mitigating manipulative practices that can cause market distortions. Lack of transparency can be particularly deleterious for retail investors, who may have different information or understanding than institutional investors.</w:t>
      </w:r>
    </w:p>
    <w:p w14:paraId="4E35A20C" w14:textId="77777777" w:rsidR="00E82AAF" w:rsidRPr="00616AA8" w:rsidRDefault="00E82AAF" w:rsidP="00E82AAF">
      <w:pPr>
        <w:pStyle w:val="ListParagraph"/>
        <w:snapToGrid w:val="0"/>
        <w:spacing w:after="0" w:line="240" w:lineRule="auto"/>
        <w:ind w:left="1344"/>
        <w:rPr>
          <w:rFonts w:cstheme="minorHAnsi"/>
          <w:lang w:val="en-US"/>
        </w:rPr>
      </w:pPr>
    </w:p>
    <w:p w14:paraId="7A967E52" w14:textId="439765BB" w:rsidR="00E82AAF" w:rsidRPr="00616AA8" w:rsidRDefault="00000000" w:rsidP="004E0E7D">
      <w:pPr>
        <w:pStyle w:val="ListParagraph"/>
        <w:numPr>
          <w:ilvl w:val="2"/>
          <w:numId w:val="1"/>
        </w:numPr>
        <w:snapToGrid w:val="0"/>
        <w:spacing w:after="0" w:line="240" w:lineRule="auto"/>
        <w:rPr>
          <w:rFonts w:cstheme="minorHAnsi"/>
          <w:lang w:val="en-US"/>
        </w:rPr>
      </w:pPr>
      <w:r w:rsidRPr="00616AA8">
        <w:rPr>
          <w:rFonts w:cstheme="minorHAnsi"/>
          <w:lang w:val="en-US"/>
        </w:rPr>
        <w:t xml:space="preserve">As investment firms increasingly turn to alternative data sources, such as social media sentiments or geolocation data, the risk of encroaching upon individual </w:t>
      </w:r>
      <w:r w:rsidR="00BF7FA2" w:rsidRPr="00616AA8">
        <w:rPr>
          <w:rFonts w:cstheme="minorHAnsi"/>
          <w:lang w:val="en-US"/>
        </w:rPr>
        <w:t xml:space="preserve">data </w:t>
      </w:r>
      <w:r w:rsidRPr="00616AA8">
        <w:rPr>
          <w:rFonts w:cstheme="minorHAnsi"/>
          <w:lang w:val="en-US"/>
        </w:rPr>
        <w:t>privacy becomes substantial.</w:t>
      </w:r>
      <w:r w:rsidR="008F3B20" w:rsidRPr="00616AA8">
        <w:rPr>
          <w:rFonts w:cstheme="minorHAnsi"/>
          <w:b/>
          <w:bCs/>
          <w:lang w:val="en-US"/>
        </w:rPr>
        <w:t xml:space="preserve"> Data privacy intrusion</w:t>
      </w:r>
      <w:r w:rsidR="008F3B20" w:rsidRPr="00616AA8">
        <w:rPr>
          <w:rFonts w:cstheme="minorHAnsi"/>
          <w:lang w:val="en-US"/>
        </w:rPr>
        <w:t xml:space="preserve"> concerns are omnipresent in data collection efforts.</w:t>
      </w:r>
      <w:r w:rsidRPr="00616AA8">
        <w:rPr>
          <w:rFonts w:cstheme="minorHAnsi"/>
          <w:lang w:val="en-US"/>
        </w:rPr>
        <w:t xml:space="preserve"> It is imperious to reconcile data collection efforts with regulations like </w:t>
      </w:r>
      <w:r w:rsidR="00B6507C">
        <w:rPr>
          <w:rFonts w:cstheme="minorHAnsi"/>
          <w:lang w:val="en-US"/>
        </w:rPr>
        <w:t xml:space="preserve">General Data Protection Regulation, </w:t>
      </w:r>
      <w:r w:rsidRPr="00616AA8">
        <w:rPr>
          <w:rFonts w:cstheme="minorHAnsi"/>
          <w:lang w:val="en-US"/>
        </w:rPr>
        <w:t>GDPR and other privacy laws to eschew infringing upon individual privacy.</w:t>
      </w:r>
    </w:p>
    <w:p w14:paraId="7A79196E" w14:textId="77777777" w:rsidR="00E82AAF" w:rsidRPr="00616AA8" w:rsidRDefault="00E82AAF" w:rsidP="00E82AAF">
      <w:pPr>
        <w:pStyle w:val="ListParagraph"/>
        <w:snapToGrid w:val="0"/>
        <w:spacing w:after="0" w:line="240" w:lineRule="auto"/>
        <w:ind w:left="1344"/>
        <w:rPr>
          <w:rFonts w:cstheme="minorHAnsi"/>
          <w:lang w:val="en-US"/>
        </w:rPr>
      </w:pPr>
    </w:p>
    <w:p w14:paraId="12D184BA" w14:textId="77777777" w:rsidR="00E32692" w:rsidRPr="00616AA8" w:rsidRDefault="00000000" w:rsidP="004E0E7D">
      <w:pPr>
        <w:pStyle w:val="ListParagraph"/>
        <w:numPr>
          <w:ilvl w:val="2"/>
          <w:numId w:val="1"/>
        </w:numPr>
        <w:snapToGrid w:val="0"/>
        <w:spacing w:after="0" w:line="240" w:lineRule="auto"/>
        <w:rPr>
          <w:rFonts w:cstheme="minorHAnsi"/>
          <w:lang w:val="en-US"/>
        </w:rPr>
      </w:pPr>
      <w:r w:rsidRPr="00616AA8">
        <w:rPr>
          <w:rFonts w:cstheme="minorHAnsi"/>
          <w:lang w:val="en-US"/>
        </w:rPr>
        <w:t xml:space="preserve">Furthermore, </w:t>
      </w:r>
      <w:r w:rsidR="00372D03" w:rsidRPr="00616AA8">
        <w:rPr>
          <w:rFonts w:cstheme="minorHAnsi"/>
          <w:b/>
          <w:bCs/>
          <w:lang w:val="en-US"/>
        </w:rPr>
        <w:t>c</w:t>
      </w:r>
      <w:r w:rsidRPr="00616AA8">
        <w:rPr>
          <w:rFonts w:cstheme="minorHAnsi"/>
          <w:b/>
          <w:bCs/>
          <w:lang w:val="en-US"/>
        </w:rPr>
        <w:t>onflict</w:t>
      </w:r>
      <w:r w:rsidR="00772ED8" w:rsidRPr="00616AA8">
        <w:rPr>
          <w:rFonts w:cstheme="minorHAnsi"/>
          <w:b/>
          <w:bCs/>
          <w:lang w:val="en-US"/>
        </w:rPr>
        <w:t xml:space="preserve"> of</w:t>
      </w:r>
      <w:r w:rsidRPr="00616AA8">
        <w:rPr>
          <w:rFonts w:cstheme="minorHAnsi"/>
          <w:b/>
          <w:bCs/>
          <w:lang w:val="en-US"/>
        </w:rPr>
        <w:t xml:space="preserve"> interest</w:t>
      </w:r>
      <w:r w:rsidRPr="00616AA8">
        <w:rPr>
          <w:rFonts w:cstheme="minorHAnsi"/>
          <w:lang w:val="en-US"/>
        </w:rPr>
        <w:t xml:space="preserve"> further obfuscates ethical scopes, particularly when financial firms or analysts possess undisclosed affiliations or vested interests in AAPL, thereby warping analytical impartiality. The calculated dissemination of specious or misleading data for market manipulation or transient trading gains engenders ethical concerns.</w:t>
      </w:r>
    </w:p>
    <w:p w14:paraId="0ADD9F7A" w14:textId="77777777" w:rsidR="00E32692" w:rsidRPr="00616AA8" w:rsidRDefault="00E32692" w:rsidP="00CE4616">
      <w:pPr>
        <w:pStyle w:val="ListParagraph"/>
        <w:ind w:left="1344"/>
        <w:rPr>
          <w:rFonts w:cstheme="minorHAnsi"/>
          <w:lang w:val="en-US"/>
        </w:rPr>
      </w:pPr>
    </w:p>
    <w:p w14:paraId="733BBEDE" w14:textId="77777777" w:rsidR="00E82AAF" w:rsidRPr="00616AA8" w:rsidRDefault="00000000" w:rsidP="004E0E7D">
      <w:pPr>
        <w:pStyle w:val="ListParagraph"/>
        <w:numPr>
          <w:ilvl w:val="2"/>
          <w:numId w:val="1"/>
        </w:numPr>
        <w:snapToGrid w:val="0"/>
        <w:spacing w:after="0" w:line="240" w:lineRule="auto"/>
        <w:rPr>
          <w:rFonts w:cstheme="minorHAnsi"/>
          <w:lang w:val="en-US"/>
        </w:rPr>
      </w:pPr>
      <w:r w:rsidRPr="00616AA8">
        <w:rPr>
          <w:rFonts w:cstheme="minorHAnsi"/>
          <w:lang w:val="en-US"/>
        </w:rPr>
        <w:t>Lastly, concerns about</w:t>
      </w:r>
      <w:r w:rsidRPr="00616AA8">
        <w:rPr>
          <w:rFonts w:cstheme="minorHAnsi"/>
          <w:b/>
          <w:bCs/>
          <w:lang w:val="en-US"/>
        </w:rPr>
        <w:t xml:space="preserve"> data reliability</w:t>
      </w:r>
      <w:r w:rsidRPr="00616AA8">
        <w:rPr>
          <w:rFonts w:cstheme="minorHAnsi"/>
          <w:lang w:val="en-US"/>
        </w:rPr>
        <w:t xml:space="preserve"> </w:t>
      </w:r>
      <w:r w:rsidR="003B19C1" w:rsidRPr="00616AA8">
        <w:rPr>
          <w:rFonts w:cstheme="minorHAnsi"/>
          <w:lang w:val="en-US"/>
        </w:rPr>
        <w:t>are</w:t>
      </w:r>
      <w:r w:rsidRPr="00616AA8">
        <w:rPr>
          <w:rFonts w:cstheme="minorHAnsi"/>
          <w:lang w:val="en-US"/>
        </w:rPr>
        <w:t xml:space="preserve"> integral. If the data</w:t>
      </w:r>
      <w:r w:rsidR="00E32692" w:rsidRPr="00616AA8">
        <w:rPr>
          <w:rFonts w:cstheme="minorHAnsi"/>
          <w:lang w:val="en-US"/>
        </w:rPr>
        <w:t xml:space="preserve"> provenance</w:t>
      </w:r>
      <w:r w:rsidRPr="00616AA8">
        <w:rPr>
          <w:rFonts w:cstheme="minorHAnsi"/>
          <w:lang w:val="en-US"/>
        </w:rPr>
        <w:t xml:space="preserve"> </w:t>
      </w:r>
      <w:r w:rsidR="000E24B0" w:rsidRPr="00616AA8">
        <w:rPr>
          <w:rFonts w:cstheme="minorHAnsi"/>
          <w:lang w:val="en-US"/>
        </w:rPr>
        <w:t>is</w:t>
      </w:r>
      <w:r w:rsidRPr="00616AA8">
        <w:rPr>
          <w:rFonts w:cstheme="minorHAnsi"/>
          <w:lang w:val="en-US"/>
        </w:rPr>
        <w:t xml:space="preserve"> dubious or unreliable, then the algorithmic strategies based on such data could be fundamentally flawed, leading to financial loss and ethical concerns related to</w:t>
      </w:r>
      <w:r w:rsidRPr="00616AA8">
        <w:rPr>
          <w:rFonts w:cstheme="minorHAnsi"/>
          <w:b/>
          <w:bCs/>
          <w:color w:val="00B050"/>
          <w:lang w:val="en-US"/>
        </w:rPr>
        <w:t xml:space="preserve"> </w:t>
      </w:r>
      <w:r w:rsidRPr="00616AA8">
        <w:rPr>
          <w:rFonts w:cstheme="minorHAnsi"/>
          <w:lang w:val="en-US"/>
        </w:rPr>
        <w:t>malfeasance or negligence.</w:t>
      </w:r>
    </w:p>
    <w:p w14:paraId="561649A7" w14:textId="77777777" w:rsidR="009D2B93" w:rsidRDefault="009D2B93" w:rsidP="00E82AAF">
      <w:pPr>
        <w:pStyle w:val="ListParagraph"/>
        <w:snapToGrid w:val="0"/>
        <w:spacing w:after="0" w:line="240" w:lineRule="auto"/>
        <w:ind w:left="1344"/>
        <w:rPr>
          <w:rFonts w:cstheme="minorHAnsi"/>
          <w:lang w:val="en-US"/>
        </w:rPr>
      </w:pPr>
    </w:p>
    <w:p w14:paraId="33EB6564" w14:textId="77777777" w:rsidR="00004014" w:rsidRPr="00616AA8" w:rsidRDefault="00004014" w:rsidP="00E82AAF">
      <w:pPr>
        <w:pStyle w:val="ListParagraph"/>
        <w:snapToGrid w:val="0"/>
        <w:spacing w:after="0" w:line="240" w:lineRule="auto"/>
        <w:ind w:left="1344"/>
        <w:rPr>
          <w:rFonts w:cstheme="minorHAnsi"/>
          <w:lang w:val="en-US"/>
        </w:rPr>
      </w:pPr>
    </w:p>
    <w:p w14:paraId="30146103" w14:textId="77777777" w:rsidR="00E82AAF" w:rsidRPr="00616AA8" w:rsidRDefault="00000000" w:rsidP="004E0E7D">
      <w:pPr>
        <w:pStyle w:val="ListParagraph"/>
        <w:numPr>
          <w:ilvl w:val="2"/>
          <w:numId w:val="1"/>
        </w:numPr>
        <w:snapToGrid w:val="0"/>
        <w:spacing w:after="0" w:line="240" w:lineRule="auto"/>
        <w:contextualSpacing w:val="0"/>
        <w:rPr>
          <w:rFonts w:cstheme="minorHAnsi"/>
          <w:b/>
          <w:bCs/>
          <w:u w:val="single"/>
          <w:lang w:val="en-US"/>
        </w:rPr>
      </w:pPr>
      <w:r w:rsidRPr="00616AA8">
        <w:rPr>
          <w:rFonts w:cstheme="minorHAnsi"/>
          <w:b/>
          <w:bCs/>
          <w:u w:val="single"/>
          <w:lang w:val="en-US"/>
        </w:rPr>
        <w:t>Solutions:</w:t>
      </w:r>
    </w:p>
    <w:p w14:paraId="18DA85A9" w14:textId="311D275E" w:rsidR="00A960F0" w:rsidRPr="00603232" w:rsidRDefault="00000000" w:rsidP="004E0E7D">
      <w:pPr>
        <w:pStyle w:val="ListParagraph"/>
        <w:numPr>
          <w:ilvl w:val="2"/>
          <w:numId w:val="1"/>
        </w:numPr>
        <w:snapToGrid w:val="0"/>
        <w:spacing w:after="0" w:line="240" w:lineRule="auto"/>
        <w:contextualSpacing w:val="0"/>
        <w:rPr>
          <w:rFonts w:cstheme="minorHAnsi"/>
          <w:lang w:val="en-US"/>
        </w:rPr>
      </w:pPr>
      <w:r w:rsidRPr="00616AA8">
        <w:rPr>
          <w:rFonts w:cstheme="minorHAnsi"/>
          <w:lang w:val="en-US"/>
        </w:rPr>
        <w:t xml:space="preserve">Adopting several best practices is imperative to </w:t>
      </w:r>
      <w:r w:rsidR="003B19C1" w:rsidRPr="00616AA8">
        <w:rPr>
          <w:rFonts w:cstheme="minorHAnsi"/>
          <w:lang w:val="en-US"/>
        </w:rPr>
        <w:t>supplement</w:t>
      </w:r>
      <w:r w:rsidRPr="00616AA8">
        <w:rPr>
          <w:rFonts w:cstheme="minorHAnsi"/>
          <w:lang w:val="en-US"/>
        </w:rPr>
        <w:t xml:space="preserve"> </w:t>
      </w:r>
      <w:r w:rsidR="003B19C1" w:rsidRPr="00616AA8">
        <w:rPr>
          <w:rFonts w:cstheme="minorHAnsi"/>
          <w:lang w:val="en-US"/>
        </w:rPr>
        <w:t xml:space="preserve">data collection </w:t>
      </w:r>
      <w:r w:rsidRPr="00616AA8">
        <w:rPr>
          <w:rFonts w:cstheme="minorHAnsi"/>
          <w:lang w:val="en-US"/>
        </w:rPr>
        <w:t xml:space="preserve">complexities associated with Apple Inc.'s equity investment. In navigating the diverse ethical quagmires in data collection for AAPL equity investment, certain best practices serve as palliative measures. A rigorous data curation and verification methodology is imperative to </w:t>
      </w:r>
      <w:r w:rsidRPr="00616AA8">
        <w:rPr>
          <w:rFonts w:cstheme="minorHAnsi"/>
          <w:b/>
          <w:bCs/>
          <w:lang w:val="en-US"/>
        </w:rPr>
        <w:t>counteract propaganda and fake reviews</w:t>
      </w:r>
      <w:r w:rsidRPr="00616AA8">
        <w:rPr>
          <w:rFonts w:cstheme="minorHAnsi"/>
          <w:lang w:val="en-US"/>
        </w:rPr>
        <w:t xml:space="preserve">. Employing sophisticated machine learning algorithms to detect aberrations or inconsistencies in data can flag potentially fraudulent or misleading information. </w:t>
      </w:r>
      <w:r w:rsidRPr="00603232">
        <w:rPr>
          <w:rFonts w:cstheme="minorHAnsi"/>
          <w:b/>
          <w:bCs/>
          <w:lang w:val="en-US"/>
        </w:rPr>
        <w:t xml:space="preserve">Algorithmic </w:t>
      </w:r>
      <w:r w:rsidR="008E79F5" w:rsidRPr="00603232">
        <w:rPr>
          <w:rFonts w:cstheme="minorHAnsi"/>
          <w:b/>
          <w:bCs/>
          <w:lang w:val="en-US"/>
        </w:rPr>
        <w:t>a</w:t>
      </w:r>
      <w:r w:rsidRPr="00603232">
        <w:rPr>
          <w:rFonts w:cstheme="minorHAnsi"/>
          <w:b/>
          <w:bCs/>
          <w:lang w:val="en-US"/>
        </w:rPr>
        <w:t>uditing</w:t>
      </w:r>
      <w:r w:rsidRPr="00603232">
        <w:rPr>
          <w:rFonts w:cstheme="minorHAnsi"/>
          <w:lang w:val="en-US"/>
        </w:rPr>
        <w:t xml:space="preserve"> should be compulsory for investment strategies based on data analytics to ensure ethical algorithmic practices, thereby mitigating biases and unintended market manipulations.</w:t>
      </w:r>
    </w:p>
    <w:p w14:paraId="12466882" w14:textId="77777777" w:rsidR="002D3701" w:rsidRPr="00616AA8" w:rsidRDefault="002D3701" w:rsidP="002D3701">
      <w:pPr>
        <w:pStyle w:val="ListParagraph"/>
        <w:snapToGrid w:val="0"/>
        <w:spacing w:after="0" w:line="240" w:lineRule="auto"/>
        <w:ind w:left="1344"/>
        <w:contextualSpacing w:val="0"/>
        <w:rPr>
          <w:rFonts w:cstheme="minorHAnsi"/>
          <w:lang w:val="en-US"/>
        </w:rPr>
      </w:pPr>
    </w:p>
    <w:p w14:paraId="3223FAF9" w14:textId="1A092AD0" w:rsidR="000E24B0" w:rsidRPr="00603232" w:rsidRDefault="00000000" w:rsidP="004E0E7D">
      <w:pPr>
        <w:pStyle w:val="ListParagraph"/>
        <w:numPr>
          <w:ilvl w:val="2"/>
          <w:numId w:val="1"/>
        </w:numPr>
        <w:snapToGrid w:val="0"/>
        <w:spacing w:after="0" w:line="240" w:lineRule="auto"/>
        <w:rPr>
          <w:rFonts w:cstheme="minorHAnsi"/>
          <w:lang w:val="en-US"/>
        </w:rPr>
      </w:pPr>
      <w:r w:rsidRPr="00616AA8">
        <w:rPr>
          <w:rFonts w:cstheme="minorHAnsi"/>
          <w:b/>
          <w:bCs/>
          <w:lang w:val="en-US"/>
        </w:rPr>
        <w:t xml:space="preserve">Transparency </w:t>
      </w:r>
      <w:r w:rsidRPr="00616AA8">
        <w:rPr>
          <w:rFonts w:cstheme="minorHAnsi"/>
          <w:lang w:val="en-US"/>
        </w:rPr>
        <w:t xml:space="preserve">is an antidote to conflicts of interest and intentionally misleading data. Transparency entails disclosing data sources, methodologies, and potential affiliations or vested interests. </w:t>
      </w:r>
      <w:r w:rsidR="00CA1CE9" w:rsidRPr="00603232">
        <w:rPr>
          <w:rFonts w:cstheme="minorHAnsi"/>
          <w:lang w:val="en-US"/>
        </w:rPr>
        <w:t>Affliction s</w:t>
      </w:r>
      <w:r w:rsidRPr="00603232">
        <w:rPr>
          <w:rFonts w:cstheme="minorHAnsi"/>
          <w:lang w:val="en-US"/>
        </w:rPr>
        <w:t xml:space="preserve">imilar to the </w:t>
      </w:r>
      <w:r w:rsidR="00AB7A20" w:rsidRPr="00603232">
        <w:rPr>
          <w:rFonts w:cstheme="minorHAnsi"/>
          <w:lang w:val="en-US"/>
        </w:rPr>
        <w:t xml:space="preserve">Securities Exchange Commission, </w:t>
      </w:r>
      <w:r w:rsidRPr="00603232">
        <w:rPr>
          <w:rFonts w:cstheme="minorHAnsi"/>
          <w:lang w:val="en-US"/>
        </w:rPr>
        <w:t>SEC in the United States, regulatory bodies could mandate such disclosures, enhancing accountability</w:t>
      </w:r>
      <w:r w:rsidR="009001D8" w:rsidRPr="00603232">
        <w:rPr>
          <w:rFonts w:cstheme="minorHAnsi"/>
          <w:lang w:val="en-US"/>
        </w:rPr>
        <w:t xml:space="preserve"> from within the investing company.</w:t>
      </w:r>
    </w:p>
    <w:p w14:paraId="296001B1" w14:textId="77777777" w:rsidR="002D3701" w:rsidRPr="00616AA8" w:rsidRDefault="002D3701" w:rsidP="002D3701">
      <w:pPr>
        <w:pStyle w:val="ListParagraph"/>
        <w:snapToGrid w:val="0"/>
        <w:spacing w:after="0" w:line="240" w:lineRule="auto"/>
        <w:ind w:left="1344"/>
        <w:rPr>
          <w:rFonts w:cstheme="minorHAnsi"/>
          <w:lang w:val="en-US"/>
        </w:rPr>
      </w:pPr>
    </w:p>
    <w:p w14:paraId="632DB7F8" w14:textId="177A3635" w:rsidR="000E24B0" w:rsidRPr="00616AA8" w:rsidRDefault="00000000" w:rsidP="004E0E7D">
      <w:pPr>
        <w:pStyle w:val="ListParagraph"/>
        <w:numPr>
          <w:ilvl w:val="2"/>
          <w:numId w:val="1"/>
        </w:numPr>
        <w:snapToGrid w:val="0"/>
        <w:spacing w:after="0" w:line="240" w:lineRule="auto"/>
        <w:contextualSpacing w:val="0"/>
        <w:rPr>
          <w:rFonts w:cstheme="minorHAnsi"/>
          <w:lang w:val="en-US"/>
        </w:rPr>
      </w:pPr>
      <w:r w:rsidRPr="00616AA8">
        <w:rPr>
          <w:rFonts w:cstheme="minorHAnsi"/>
          <w:b/>
          <w:bCs/>
          <w:lang w:val="en-US"/>
        </w:rPr>
        <w:t>Credible data</w:t>
      </w:r>
      <w:r w:rsidRPr="00616AA8">
        <w:rPr>
          <w:rFonts w:cstheme="minorHAnsi"/>
          <w:lang w:val="en-US"/>
        </w:rPr>
        <w:t xml:space="preserve"> minimizes the risk of data corruption or adulteration and ensures a reliable foundational base for decision-making. Lastly, </w:t>
      </w:r>
      <w:r w:rsidRPr="00616AA8">
        <w:rPr>
          <w:rFonts w:cstheme="minorHAnsi"/>
          <w:b/>
          <w:bCs/>
          <w:lang w:val="en-US"/>
        </w:rPr>
        <w:t>data privacy</w:t>
      </w:r>
      <w:r w:rsidRPr="00616AA8">
        <w:rPr>
          <w:rFonts w:cstheme="minorHAnsi"/>
          <w:lang w:val="en-US"/>
        </w:rPr>
        <w:t xml:space="preserve"> can be respected by adhering to established data protection laws such as GDPR in Europe or </w:t>
      </w:r>
      <w:r w:rsidR="008E79F5">
        <w:rPr>
          <w:rFonts w:cstheme="minorHAnsi"/>
          <w:lang w:val="en-US"/>
        </w:rPr>
        <w:t xml:space="preserve">California Consumer Privacy Act, </w:t>
      </w:r>
      <w:r w:rsidRPr="00616AA8">
        <w:rPr>
          <w:rFonts w:cstheme="minorHAnsi"/>
          <w:lang w:val="en-US"/>
        </w:rPr>
        <w:t xml:space="preserve">CCPA in California. Explicit consent for data collection and clarity about data usage can go a long way in protecting individual privacy. </w:t>
      </w:r>
    </w:p>
    <w:p w14:paraId="6BF788AC" w14:textId="77777777" w:rsidR="002D3701" w:rsidRDefault="002D3701" w:rsidP="002D3701">
      <w:pPr>
        <w:pStyle w:val="ListParagraph"/>
        <w:snapToGrid w:val="0"/>
        <w:spacing w:after="0" w:line="240" w:lineRule="auto"/>
        <w:ind w:left="1344"/>
        <w:contextualSpacing w:val="0"/>
        <w:rPr>
          <w:rFonts w:cstheme="minorHAnsi"/>
          <w:lang w:val="en-US"/>
        </w:rPr>
      </w:pPr>
    </w:p>
    <w:p w14:paraId="2B7DE407" w14:textId="77777777" w:rsidR="00113AFD" w:rsidRDefault="00113AFD" w:rsidP="002D3701">
      <w:pPr>
        <w:pStyle w:val="ListParagraph"/>
        <w:snapToGrid w:val="0"/>
        <w:spacing w:after="0" w:line="240" w:lineRule="auto"/>
        <w:ind w:left="1344"/>
        <w:contextualSpacing w:val="0"/>
        <w:rPr>
          <w:rFonts w:cstheme="minorHAnsi"/>
          <w:lang w:val="en-US"/>
        </w:rPr>
      </w:pPr>
    </w:p>
    <w:p w14:paraId="3119630D" w14:textId="77777777" w:rsidR="00113AFD" w:rsidRDefault="00113AFD" w:rsidP="002D3701">
      <w:pPr>
        <w:pStyle w:val="ListParagraph"/>
        <w:snapToGrid w:val="0"/>
        <w:spacing w:after="0" w:line="240" w:lineRule="auto"/>
        <w:ind w:left="1344"/>
        <w:contextualSpacing w:val="0"/>
        <w:rPr>
          <w:rFonts w:cstheme="minorHAnsi"/>
          <w:lang w:val="en-US"/>
        </w:rPr>
      </w:pPr>
    </w:p>
    <w:p w14:paraId="4A5A36C7" w14:textId="77777777" w:rsidR="00113AFD" w:rsidRDefault="00113AFD" w:rsidP="002D3701">
      <w:pPr>
        <w:pStyle w:val="ListParagraph"/>
        <w:snapToGrid w:val="0"/>
        <w:spacing w:after="0" w:line="240" w:lineRule="auto"/>
        <w:ind w:left="1344"/>
        <w:contextualSpacing w:val="0"/>
        <w:rPr>
          <w:rFonts w:cstheme="minorHAnsi"/>
          <w:lang w:val="en-US"/>
        </w:rPr>
      </w:pPr>
    </w:p>
    <w:p w14:paraId="12D59726" w14:textId="77777777" w:rsidR="00113AFD" w:rsidRDefault="00113AFD" w:rsidP="002D3701">
      <w:pPr>
        <w:pStyle w:val="ListParagraph"/>
        <w:snapToGrid w:val="0"/>
        <w:spacing w:after="0" w:line="240" w:lineRule="auto"/>
        <w:ind w:left="1344"/>
        <w:contextualSpacing w:val="0"/>
        <w:rPr>
          <w:rFonts w:cstheme="minorHAnsi"/>
          <w:lang w:val="en-US"/>
        </w:rPr>
      </w:pPr>
    </w:p>
    <w:p w14:paraId="504063D4" w14:textId="77777777" w:rsidR="00113AFD" w:rsidRPr="00616AA8" w:rsidRDefault="00113AFD" w:rsidP="002D3701">
      <w:pPr>
        <w:pStyle w:val="ListParagraph"/>
        <w:snapToGrid w:val="0"/>
        <w:spacing w:after="0" w:line="240" w:lineRule="auto"/>
        <w:ind w:left="1344"/>
        <w:contextualSpacing w:val="0"/>
        <w:rPr>
          <w:rFonts w:cstheme="minorHAnsi"/>
          <w:lang w:val="en-US"/>
        </w:rPr>
      </w:pPr>
    </w:p>
    <w:p w14:paraId="124317B0" w14:textId="77777777" w:rsidR="00A960F0" w:rsidRPr="00616AA8" w:rsidRDefault="00A960F0" w:rsidP="006436AF">
      <w:pPr>
        <w:pStyle w:val="ListParagraph"/>
        <w:ind w:left="1344"/>
        <w:rPr>
          <w:rFonts w:cstheme="minorHAnsi"/>
          <w:lang w:val="en-US"/>
        </w:rPr>
      </w:pPr>
    </w:p>
    <w:p w14:paraId="763F9AEE" w14:textId="101F8689" w:rsidR="00113AFD" w:rsidRPr="006443F2" w:rsidRDefault="00113AFD" w:rsidP="00113AFD">
      <w:pPr>
        <w:pStyle w:val="ListParagraph"/>
        <w:numPr>
          <w:ilvl w:val="1"/>
          <w:numId w:val="1"/>
        </w:numPr>
        <w:snapToGrid w:val="0"/>
        <w:spacing w:after="0" w:line="240" w:lineRule="auto"/>
        <w:contextualSpacing w:val="0"/>
        <w:rPr>
          <w:rFonts w:cstheme="minorHAnsi"/>
          <w:b/>
          <w:bCs/>
          <w:sz w:val="24"/>
          <w:szCs w:val="24"/>
          <w:lang w:val="en-US"/>
        </w:rPr>
      </w:pPr>
      <w:r w:rsidRPr="006443F2">
        <w:rPr>
          <w:rFonts w:cstheme="minorHAnsi"/>
          <w:b/>
          <w:bCs/>
          <w:sz w:val="24"/>
          <w:szCs w:val="24"/>
          <w:lang w:val="en-US"/>
        </w:rPr>
        <w:lastRenderedPageBreak/>
        <w:t>Student:</w:t>
      </w:r>
      <w:r w:rsidRPr="006443F2">
        <w:rPr>
          <w:rFonts w:cstheme="minorHAnsi"/>
          <w:b/>
          <w:bCs/>
          <w:sz w:val="24"/>
          <w:szCs w:val="24"/>
        </w:rPr>
        <w:t xml:space="preserve"> </w:t>
      </w:r>
      <w:r w:rsidRPr="006443F2">
        <w:rPr>
          <w:rFonts w:cstheme="minorHAnsi"/>
          <w:b/>
          <w:bCs/>
          <w:sz w:val="24"/>
          <w:szCs w:val="24"/>
          <w:lang w:val="en-US"/>
        </w:rPr>
        <w:t>Ebenezer -</w:t>
      </w:r>
      <w:r w:rsidRPr="0025710F">
        <w:rPr>
          <w:rFonts w:cstheme="minorHAnsi"/>
          <w:b/>
          <w:bCs/>
          <w:sz w:val="24"/>
          <w:szCs w:val="24"/>
          <w:lang w:val="en-US"/>
        </w:rPr>
        <w:t>– illiquid Investment</w:t>
      </w:r>
    </w:p>
    <w:p w14:paraId="0127A6A2" w14:textId="77777777" w:rsidR="00113AFD" w:rsidRPr="00616AA8" w:rsidRDefault="00113AFD" w:rsidP="00113AFD">
      <w:pPr>
        <w:pStyle w:val="ListParagraph"/>
        <w:snapToGrid w:val="0"/>
        <w:spacing w:after="0" w:line="240" w:lineRule="auto"/>
        <w:ind w:left="936"/>
        <w:contextualSpacing w:val="0"/>
        <w:rPr>
          <w:rFonts w:cstheme="minorHAnsi"/>
          <w:b/>
          <w:bCs/>
          <w:lang w:val="en-US"/>
        </w:rPr>
      </w:pPr>
    </w:p>
    <w:p w14:paraId="2B4DC066" w14:textId="77777777" w:rsidR="007E055B" w:rsidRPr="007E055B" w:rsidRDefault="007E055B" w:rsidP="007E055B">
      <w:pPr>
        <w:pStyle w:val="ListParagraph"/>
        <w:rPr>
          <w:rFonts w:cstheme="minorHAnsi"/>
          <w:b/>
          <w:bCs/>
          <w:lang w:val="en-US"/>
        </w:rPr>
      </w:pPr>
      <w:r w:rsidRPr="007E055B">
        <w:rPr>
          <w:rFonts w:cstheme="minorHAnsi"/>
          <w:b/>
          <w:bCs/>
          <w:lang w:val="en-US"/>
        </w:rPr>
        <w:t>Ethical Challenges:</w:t>
      </w:r>
    </w:p>
    <w:p w14:paraId="60DADE9F" w14:textId="77777777" w:rsidR="007E055B" w:rsidRPr="007E055B" w:rsidRDefault="007E055B" w:rsidP="007E055B">
      <w:pPr>
        <w:pStyle w:val="ListParagraph"/>
        <w:rPr>
          <w:rFonts w:cstheme="minorHAnsi"/>
          <w:lang w:val="en-US"/>
        </w:rPr>
      </w:pPr>
      <w:r w:rsidRPr="007E055B">
        <w:rPr>
          <w:rFonts w:cstheme="minorHAnsi"/>
          <w:lang w:val="en-US"/>
        </w:rPr>
        <w:t>• Fraudulent Listings: Real estate agents or sellers may engage in unethical practices by listing a</w:t>
      </w:r>
    </w:p>
    <w:p w14:paraId="479B643C" w14:textId="77777777" w:rsidR="007E055B" w:rsidRPr="007E055B" w:rsidRDefault="007E055B" w:rsidP="007E055B">
      <w:pPr>
        <w:pStyle w:val="ListParagraph"/>
        <w:rPr>
          <w:rFonts w:cstheme="minorHAnsi"/>
          <w:lang w:val="en-US"/>
        </w:rPr>
      </w:pPr>
      <w:r w:rsidRPr="007E055B">
        <w:rPr>
          <w:rFonts w:cstheme="minorHAnsi"/>
          <w:lang w:val="en-US"/>
        </w:rPr>
        <w:t>property that doesn't exist or misrepresenting its characteristics. This could deceive potential buyers or</w:t>
      </w:r>
    </w:p>
    <w:p w14:paraId="2F612FE8" w14:textId="77777777" w:rsidR="007E055B" w:rsidRPr="007E055B" w:rsidRDefault="007E055B" w:rsidP="007E055B">
      <w:pPr>
        <w:pStyle w:val="ListParagraph"/>
        <w:rPr>
          <w:rFonts w:cstheme="minorHAnsi"/>
          <w:lang w:val="en-US"/>
        </w:rPr>
      </w:pPr>
      <w:r w:rsidRPr="007E055B">
        <w:rPr>
          <w:rFonts w:cstheme="minorHAnsi"/>
          <w:lang w:val="en-US"/>
        </w:rPr>
        <w:t>investors.</w:t>
      </w:r>
    </w:p>
    <w:p w14:paraId="3E77B684" w14:textId="77777777" w:rsidR="007E055B" w:rsidRPr="007E055B" w:rsidRDefault="007E055B" w:rsidP="007E055B">
      <w:pPr>
        <w:pStyle w:val="ListParagraph"/>
        <w:rPr>
          <w:rFonts w:cstheme="minorHAnsi"/>
          <w:lang w:val="en-US"/>
        </w:rPr>
      </w:pPr>
      <w:r w:rsidRPr="007E055B">
        <w:rPr>
          <w:rFonts w:cstheme="minorHAnsi"/>
          <w:lang w:val="en-US"/>
        </w:rPr>
        <w:t>• Dual Agency: When a real estate agent represents both the buyer and the seller in a transaction, it</w:t>
      </w:r>
    </w:p>
    <w:p w14:paraId="11A1BAA0" w14:textId="77777777" w:rsidR="007E055B" w:rsidRPr="007E055B" w:rsidRDefault="007E055B" w:rsidP="007E055B">
      <w:pPr>
        <w:pStyle w:val="ListParagraph"/>
        <w:rPr>
          <w:rFonts w:cstheme="minorHAnsi"/>
          <w:lang w:val="en-US"/>
        </w:rPr>
      </w:pPr>
      <w:r w:rsidRPr="007E055B">
        <w:rPr>
          <w:rFonts w:cstheme="minorHAnsi"/>
          <w:lang w:val="en-US"/>
        </w:rPr>
        <w:t>can lead to a conflict of interest. This scenario can raise ethical questions about whose interests the agent</w:t>
      </w:r>
    </w:p>
    <w:p w14:paraId="04814958" w14:textId="77777777" w:rsidR="007E055B" w:rsidRPr="007E055B" w:rsidRDefault="007E055B" w:rsidP="007E055B">
      <w:pPr>
        <w:pStyle w:val="ListParagraph"/>
        <w:rPr>
          <w:rFonts w:cstheme="minorHAnsi"/>
          <w:lang w:val="en-US"/>
        </w:rPr>
      </w:pPr>
      <w:r w:rsidRPr="007E055B">
        <w:rPr>
          <w:rFonts w:cstheme="minorHAnsi"/>
          <w:lang w:val="en-US"/>
        </w:rPr>
        <w:t>truly represents.</w:t>
      </w:r>
    </w:p>
    <w:p w14:paraId="6EE777CD" w14:textId="77777777" w:rsidR="007E055B" w:rsidRPr="007E055B" w:rsidRDefault="007E055B" w:rsidP="007E055B">
      <w:pPr>
        <w:pStyle w:val="ListParagraph"/>
        <w:rPr>
          <w:rFonts w:cstheme="minorHAnsi"/>
          <w:lang w:val="en-US"/>
        </w:rPr>
      </w:pPr>
      <w:r w:rsidRPr="007E055B">
        <w:rPr>
          <w:rFonts w:cstheme="minorHAnsi"/>
          <w:lang w:val="en-US"/>
        </w:rPr>
        <w:t>• Inaccurate Property History: Hiding or failing to disclose a property's problematic history, such as</w:t>
      </w:r>
    </w:p>
    <w:p w14:paraId="40EBF493" w14:textId="77777777" w:rsidR="007E055B" w:rsidRPr="007E055B" w:rsidRDefault="007E055B" w:rsidP="007E055B">
      <w:pPr>
        <w:pStyle w:val="ListParagraph"/>
        <w:rPr>
          <w:rFonts w:cstheme="minorHAnsi"/>
          <w:lang w:val="en-US"/>
        </w:rPr>
      </w:pPr>
      <w:r w:rsidRPr="007E055B">
        <w:rPr>
          <w:rFonts w:cstheme="minorHAnsi"/>
          <w:lang w:val="en-US"/>
        </w:rPr>
        <w:t>prior structural issues or environmental concerns, is considered unethical and may have legal</w:t>
      </w:r>
    </w:p>
    <w:p w14:paraId="3712840B" w14:textId="77777777" w:rsidR="007E055B" w:rsidRPr="007E055B" w:rsidRDefault="007E055B" w:rsidP="007E055B">
      <w:pPr>
        <w:pStyle w:val="ListParagraph"/>
        <w:rPr>
          <w:rFonts w:cstheme="minorHAnsi"/>
          <w:lang w:val="en-US"/>
        </w:rPr>
      </w:pPr>
      <w:r w:rsidRPr="007E055B">
        <w:rPr>
          <w:rFonts w:cstheme="minorHAnsi"/>
          <w:lang w:val="en-US"/>
        </w:rPr>
        <w:t>consequences.</w:t>
      </w:r>
    </w:p>
    <w:p w14:paraId="5C606F43" w14:textId="77777777" w:rsidR="007E055B" w:rsidRPr="007E055B" w:rsidRDefault="007E055B" w:rsidP="007E055B">
      <w:pPr>
        <w:pStyle w:val="ListParagraph"/>
        <w:rPr>
          <w:rFonts w:cstheme="minorHAnsi"/>
          <w:lang w:val="en-US"/>
        </w:rPr>
      </w:pPr>
      <w:r w:rsidRPr="007E055B">
        <w:rPr>
          <w:rFonts w:cstheme="minorHAnsi"/>
          <w:lang w:val="en-US"/>
        </w:rPr>
        <w:t>• Privacy Violations: Gathering personal information about potential buyers or renters without</w:t>
      </w:r>
    </w:p>
    <w:p w14:paraId="7A99524D" w14:textId="77777777" w:rsidR="007E055B" w:rsidRPr="007E055B" w:rsidRDefault="007E055B" w:rsidP="007E055B">
      <w:pPr>
        <w:pStyle w:val="ListParagraph"/>
        <w:rPr>
          <w:rFonts w:cstheme="minorHAnsi"/>
          <w:lang w:val="en-US"/>
        </w:rPr>
      </w:pPr>
      <w:r w:rsidRPr="007E055B">
        <w:rPr>
          <w:rFonts w:cstheme="minorHAnsi"/>
          <w:lang w:val="en-US"/>
        </w:rPr>
        <w:t>consent and using it unethically, such as for discriminatory purposes, is a significant ethical</w:t>
      </w:r>
    </w:p>
    <w:p w14:paraId="66F74291" w14:textId="77777777" w:rsidR="007E055B" w:rsidRPr="007E055B" w:rsidRDefault="007E055B" w:rsidP="007E055B">
      <w:pPr>
        <w:pStyle w:val="ListParagraph"/>
        <w:rPr>
          <w:rFonts w:cstheme="minorHAnsi"/>
          <w:lang w:val="en-US"/>
        </w:rPr>
      </w:pPr>
      <w:r w:rsidRPr="007E055B">
        <w:rPr>
          <w:rFonts w:cstheme="minorHAnsi"/>
          <w:lang w:val="en-US"/>
        </w:rPr>
        <w:t>concern.</w:t>
      </w:r>
    </w:p>
    <w:p w14:paraId="36C19269" w14:textId="77777777" w:rsidR="007E055B" w:rsidRPr="007E055B" w:rsidRDefault="007E055B" w:rsidP="007E055B">
      <w:pPr>
        <w:pStyle w:val="ListParagraph"/>
        <w:rPr>
          <w:rFonts w:cstheme="minorHAnsi"/>
          <w:lang w:val="en-US"/>
        </w:rPr>
      </w:pPr>
      <w:r w:rsidRPr="007E055B">
        <w:rPr>
          <w:rFonts w:cstheme="minorHAnsi"/>
          <w:lang w:val="en-US"/>
        </w:rPr>
        <w:t>• Deceptive Staging: Staging a property to appear more appealing than it is by using misleading</w:t>
      </w:r>
    </w:p>
    <w:p w14:paraId="3B1AA8E7" w14:textId="77777777" w:rsidR="007E055B" w:rsidRPr="007E055B" w:rsidRDefault="007E055B" w:rsidP="007E055B">
      <w:pPr>
        <w:pStyle w:val="ListParagraph"/>
        <w:rPr>
          <w:rFonts w:cstheme="minorHAnsi"/>
          <w:lang w:val="en-US"/>
        </w:rPr>
      </w:pPr>
      <w:r w:rsidRPr="007E055B">
        <w:rPr>
          <w:rFonts w:cstheme="minorHAnsi"/>
          <w:lang w:val="en-US"/>
        </w:rPr>
        <w:t>décor or lighting can be viewed as unethical if it misrepresents the property's actual condition.</w:t>
      </w:r>
    </w:p>
    <w:p w14:paraId="08CE68D5" w14:textId="77777777" w:rsidR="007E055B" w:rsidRPr="007E055B" w:rsidRDefault="007E055B" w:rsidP="007E055B">
      <w:pPr>
        <w:pStyle w:val="ListParagraph"/>
        <w:rPr>
          <w:rFonts w:cstheme="minorHAnsi"/>
          <w:lang w:val="en-US"/>
        </w:rPr>
      </w:pPr>
    </w:p>
    <w:p w14:paraId="71986EB8" w14:textId="77777777" w:rsidR="007E055B" w:rsidRPr="007E055B" w:rsidRDefault="007E055B" w:rsidP="007E055B">
      <w:pPr>
        <w:pStyle w:val="ListParagraph"/>
        <w:rPr>
          <w:rFonts w:cstheme="minorHAnsi"/>
          <w:b/>
          <w:bCs/>
          <w:lang w:val="en-US"/>
        </w:rPr>
      </w:pPr>
      <w:r w:rsidRPr="007E055B">
        <w:rPr>
          <w:rFonts w:cstheme="minorHAnsi"/>
          <w:b/>
          <w:bCs/>
          <w:lang w:val="en-US"/>
        </w:rPr>
        <w:t>Best Practices:</w:t>
      </w:r>
    </w:p>
    <w:p w14:paraId="7FDC83A6" w14:textId="77777777" w:rsidR="007E055B" w:rsidRPr="007E055B" w:rsidRDefault="007E055B" w:rsidP="007E055B">
      <w:pPr>
        <w:pStyle w:val="ListParagraph"/>
        <w:rPr>
          <w:rFonts w:cstheme="minorHAnsi"/>
          <w:lang w:val="en-US"/>
        </w:rPr>
      </w:pPr>
      <w:r w:rsidRPr="007E055B">
        <w:rPr>
          <w:rFonts w:cstheme="minorHAnsi"/>
          <w:lang w:val="en-US"/>
        </w:rPr>
        <w:t>• Transparency: Maintain transparency throughout the real estate transaction. Accurately represent</w:t>
      </w:r>
    </w:p>
    <w:p w14:paraId="49B36C6B" w14:textId="77777777" w:rsidR="007E055B" w:rsidRPr="007E055B" w:rsidRDefault="007E055B" w:rsidP="007E055B">
      <w:pPr>
        <w:pStyle w:val="ListParagraph"/>
        <w:rPr>
          <w:rFonts w:cstheme="minorHAnsi"/>
          <w:lang w:val="en-US"/>
        </w:rPr>
      </w:pPr>
      <w:r w:rsidRPr="007E055B">
        <w:rPr>
          <w:rFonts w:cstheme="minorHAnsi"/>
          <w:lang w:val="en-US"/>
        </w:rPr>
        <w:t>the property, its condition, and history to potential buyers or investors. This includes disclosing any known</w:t>
      </w:r>
    </w:p>
    <w:p w14:paraId="03531B1E" w14:textId="77777777" w:rsidR="007E055B" w:rsidRPr="007E055B" w:rsidRDefault="007E055B" w:rsidP="007E055B">
      <w:pPr>
        <w:pStyle w:val="ListParagraph"/>
        <w:rPr>
          <w:rFonts w:cstheme="minorHAnsi"/>
          <w:lang w:val="en-US"/>
        </w:rPr>
      </w:pPr>
      <w:r w:rsidRPr="007E055B">
        <w:rPr>
          <w:rFonts w:cstheme="minorHAnsi"/>
          <w:lang w:val="en-US"/>
        </w:rPr>
        <w:t>issues or potential risks.</w:t>
      </w:r>
    </w:p>
    <w:p w14:paraId="26440400" w14:textId="77777777" w:rsidR="007E055B" w:rsidRPr="007E055B" w:rsidRDefault="007E055B" w:rsidP="007E055B">
      <w:pPr>
        <w:pStyle w:val="ListParagraph"/>
        <w:rPr>
          <w:rFonts w:cstheme="minorHAnsi"/>
          <w:lang w:val="en-US"/>
        </w:rPr>
      </w:pPr>
      <w:r w:rsidRPr="007E055B">
        <w:rPr>
          <w:rFonts w:cstheme="minorHAnsi"/>
          <w:lang w:val="en-US"/>
        </w:rPr>
        <w:t>• Clear Documentation: Ensure all agreements, contracts, and terms are clearly documented and</w:t>
      </w:r>
    </w:p>
    <w:p w14:paraId="1A5A2D07" w14:textId="77777777" w:rsidR="007E055B" w:rsidRPr="007E055B" w:rsidRDefault="007E055B" w:rsidP="007E055B">
      <w:pPr>
        <w:pStyle w:val="ListParagraph"/>
        <w:rPr>
          <w:rFonts w:cstheme="minorHAnsi"/>
          <w:lang w:val="en-US"/>
        </w:rPr>
      </w:pPr>
      <w:r w:rsidRPr="007E055B">
        <w:rPr>
          <w:rFonts w:cstheme="minorHAnsi"/>
          <w:lang w:val="en-US"/>
        </w:rPr>
        <w:t>easily understood. Avoid overly complex or intentionally confusing language in contracts.</w:t>
      </w:r>
    </w:p>
    <w:p w14:paraId="107E126E" w14:textId="77777777" w:rsidR="007E055B" w:rsidRPr="007E055B" w:rsidRDefault="007E055B" w:rsidP="007E055B">
      <w:pPr>
        <w:pStyle w:val="ListParagraph"/>
        <w:rPr>
          <w:rFonts w:cstheme="minorHAnsi"/>
          <w:lang w:val="en-US"/>
        </w:rPr>
      </w:pPr>
      <w:r w:rsidRPr="007E055B">
        <w:rPr>
          <w:rFonts w:cstheme="minorHAnsi"/>
          <w:lang w:val="en-US"/>
        </w:rPr>
        <w:t>• Avoid Dual Agency: In cases where a potential conflict of interest could arise, it's best to avoid dual</w:t>
      </w:r>
    </w:p>
    <w:p w14:paraId="4F95B1DE" w14:textId="77777777" w:rsidR="007E055B" w:rsidRPr="007E055B" w:rsidRDefault="007E055B" w:rsidP="007E055B">
      <w:pPr>
        <w:pStyle w:val="ListParagraph"/>
        <w:rPr>
          <w:rFonts w:cstheme="minorHAnsi"/>
          <w:lang w:val="en-US"/>
        </w:rPr>
      </w:pPr>
      <w:r w:rsidRPr="007E055B">
        <w:rPr>
          <w:rFonts w:cstheme="minorHAnsi"/>
          <w:lang w:val="en-US"/>
        </w:rPr>
        <w:t>agency. Real estate agents should represent either the buyer or the seller but not both in a single</w:t>
      </w:r>
    </w:p>
    <w:p w14:paraId="3CD57C6C" w14:textId="77777777" w:rsidR="007E055B" w:rsidRPr="007E055B" w:rsidRDefault="007E055B" w:rsidP="007E055B">
      <w:pPr>
        <w:pStyle w:val="ListParagraph"/>
        <w:rPr>
          <w:rFonts w:cstheme="minorHAnsi"/>
          <w:lang w:val="en-US"/>
        </w:rPr>
      </w:pPr>
      <w:r w:rsidRPr="007E055B">
        <w:rPr>
          <w:rFonts w:cstheme="minorHAnsi"/>
          <w:lang w:val="en-US"/>
        </w:rPr>
        <w:t>transaction.</w:t>
      </w:r>
    </w:p>
    <w:p w14:paraId="65130EDA" w14:textId="77777777" w:rsidR="007E055B" w:rsidRPr="007E055B" w:rsidRDefault="007E055B" w:rsidP="007E055B">
      <w:pPr>
        <w:pStyle w:val="ListParagraph"/>
        <w:rPr>
          <w:rFonts w:cstheme="minorHAnsi"/>
          <w:lang w:val="en-US"/>
        </w:rPr>
      </w:pPr>
      <w:r w:rsidRPr="007E055B">
        <w:rPr>
          <w:rFonts w:cstheme="minorHAnsi"/>
          <w:lang w:val="en-US"/>
        </w:rPr>
        <w:t>.</w:t>
      </w:r>
    </w:p>
    <w:p w14:paraId="272DB64F" w14:textId="77777777" w:rsidR="007E055B" w:rsidRPr="007E055B" w:rsidRDefault="007E055B" w:rsidP="007E055B">
      <w:pPr>
        <w:pStyle w:val="ListParagraph"/>
        <w:rPr>
          <w:rFonts w:cstheme="minorHAnsi"/>
          <w:lang w:val="en-US"/>
        </w:rPr>
      </w:pPr>
      <w:r w:rsidRPr="007E055B">
        <w:rPr>
          <w:rFonts w:cstheme="minorHAnsi"/>
          <w:lang w:val="en-US"/>
        </w:rPr>
        <w:t>• Consumer Education: Educate buyers, renters, and investors about their rights and the process</w:t>
      </w:r>
    </w:p>
    <w:p w14:paraId="1FB7CADE" w14:textId="77777777" w:rsidR="007E055B" w:rsidRPr="007E055B" w:rsidRDefault="007E055B" w:rsidP="007E055B">
      <w:pPr>
        <w:pStyle w:val="ListParagraph"/>
        <w:rPr>
          <w:rFonts w:cstheme="minorHAnsi"/>
          <w:lang w:val="en-US"/>
        </w:rPr>
      </w:pPr>
      <w:r w:rsidRPr="007E055B">
        <w:rPr>
          <w:rFonts w:cstheme="minorHAnsi"/>
          <w:lang w:val="en-US"/>
        </w:rPr>
        <w:t>involved in real estate transactions. Informed consumers are better equipped to make ethical choices.</w:t>
      </w:r>
    </w:p>
    <w:p w14:paraId="68EE7C24" w14:textId="77777777" w:rsidR="007E055B" w:rsidRPr="007E055B" w:rsidRDefault="007E055B" w:rsidP="007E055B">
      <w:pPr>
        <w:pStyle w:val="ListParagraph"/>
        <w:rPr>
          <w:rFonts w:cstheme="minorHAnsi"/>
          <w:lang w:val="en-US"/>
        </w:rPr>
      </w:pPr>
      <w:r w:rsidRPr="007E055B">
        <w:rPr>
          <w:rFonts w:cstheme="minorHAnsi"/>
          <w:lang w:val="en-US"/>
        </w:rPr>
        <w:t>• Disclosure of Fees and Costs: Provide a complete breakdown of all fees and costs associated with a</w:t>
      </w:r>
    </w:p>
    <w:p w14:paraId="201D5496" w14:textId="77777777" w:rsidR="007E055B" w:rsidRPr="007E055B" w:rsidRDefault="007E055B" w:rsidP="007E055B">
      <w:pPr>
        <w:pStyle w:val="ListParagraph"/>
        <w:rPr>
          <w:rFonts w:cstheme="minorHAnsi"/>
          <w:lang w:val="en-US"/>
        </w:rPr>
      </w:pPr>
      <w:r w:rsidRPr="007E055B">
        <w:rPr>
          <w:rFonts w:cstheme="minorHAnsi"/>
          <w:lang w:val="en-US"/>
        </w:rPr>
        <w:t>real estate transaction. Buyers and investors should be aware of all financial aspects before making</w:t>
      </w:r>
    </w:p>
    <w:p w14:paraId="2042BA5D" w14:textId="77777777" w:rsidR="007E055B" w:rsidRPr="007E055B" w:rsidRDefault="007E055B" w:rsidP="007E055B">
      <w:pPr>
        <w:pStyle w:val="ListParagraph"/>
        <w:rPr>
          <w:rFonts w:cstheme="minorHAnsi"/>
          <w:lang w:val="en-US"/>
        </w:rPr>
      </w:pPr>
      <w:r w:rsidRPr="007E055B">
        <w:rPr>
          <w:rFonts w:cstheme="minorHAnsi"/>
          <w:lang w:val="en-US"/>
        </w:rPr>
        <w:t>decisions.</w:t>
      </w:r>
    </w:p>
    <w:p w14:paraId="3AF43A48" w14:textId="77777777" w:rsidR="007E055B" w:rsidRPr="007E055B" w:rsidRDefault="007E055B" w:rsidP="007E055B">
      <w:pPr>
        <w:pStyle w:val="ListParagraph"/>
        <w:rPr>
          <w:rFonts w:cstheme="minorHAnsi"/>
          <w:lang w:val="en-US"/>
        </w:rPr>
      </w:pPr>
      <w:r w:rsidRPr="007E055B">
        <w:rPr>
          <w:rFonts w:cstheme="minorHAnsi"/>
          <w:lang w:val="en-US"/>
        </w:rPr>
        <w:t>• Whistleblower Protections: Establish procedures or mechanisms that protect individuals who report</w:t>
      </w:r>
    </w:p>
    <w:p w14:paraId="32F06F50" w14:textId="466CB459" w:rsidR="000A4FF0" w:rsidRPr="00616AA8" w:rsidRDefault="007E055B" w:rsidP="007E055B">
      <w:pPr>
        <w:pStyle w:val="ListParagraph"/>
        <w:rPr>
          <w:rFonts w:cstheme="minorHAnsi"/>
          <w:lang w:val="en-US"/>
        </w:rPr>
      </w:pPr>
      <w:r w:rsidRPr="007E055B">
        <w:rPr>
          <w:rFonts w:cstheme="minorHAnsi"/>
          <w:lang w:val="en-US"/>
        </w:rPr>
        <w:t>unethical practices within the real estate industry. This can encourage transparency and accountability.</w:t>
      </w:r>
    </w:p>
    <w:p w14:paraId="4CEB28A1" w14:textId="77777777" w:rsidR="000A4FF0" w:rsidRPr="00616AA8" w:rsidRDefault="000A4FF0" w:rsidP="006436AF">
      <w:pPr>
        <w:pStyle w:val="ListParagraph"/>
        <w:ind w:left="1344"/>
        <w:rPr>
          <w:rFonts w:cstheme="minorHAnsi"/>
          <w:lang w:val="en-US"/>
        </w:rPr>
      </w:pPr>
    </w:p>
    <w:p w14:paraId="748276C9" w14:textId="77777777" w:rsidR="000A4FF0" w:rsidRPr="00616AA8" w:rsidRDefault="000A4FF0" w:rsidP="006436AF">
      <w:pPr>
        <w:pStyle w:val="ListParagraph"/>
        <w:ind w:left="1344"/>
        <w:rPr>
          <w:rFonts w:cstheme="minorHAnsi"/>
          <w:lang w:val="en-US"/>
        </w:rPr>
      </w:pPr>
    </w:p>
    <w:p w14:paraId="1211FACA" w14:textId="77777777" w:rsidR="00003F02" w:rsidRDefault="00003F02" w:rsidP="002D3701">
      <w:pPr>
        <w:pStyle w:val="ListParagraph"/>
        <w:rPr>
          <w:rFonts w:cstheme="minorHAnsi"/>
          <w:lang w:val="en-US"/>
        </w:rPr>
      </w:pPr>
    </w:p>
    <w:p w14:paraId="2DC09B7F" w14:textId="77777777" w:rsidR="007E055B" w:rsidRDefault="007E055B" w:rsidP="002D3701">
      <w:pPr>
        <w:pStyle w:val="ListParagraph"/>
        <w:rPr>
          <w:rFonts w:cstheme="minorHAnsi"/>
          <w:lang w:val="en-US"/>
        </w:rPr>
      </w:pPr>
    </w:p>
    <w:p w14:paraId="71DBFAC3" w14:textId="77777777" w:rsidR="007E055B" w:rsidRDefault="007E055B" w:rsidP="002D3701">
      <w:pPr>
        <w:pStyle w:val="ListParagraph"/>
        <w:rPr>
          <w:rFonts w:cstheme="minorHAnsi"/>
          <w:lang w:val="en-US"/>
        </w:rPr>
      </w:pPr>
    </w:p>
    <w:p w14:paraId="0E027AC1" w14:textId="77777777" w:rsidR="007E055B" w:rsidRDefault="007E055B" w:rsidP="002D3701">
      <w:pPr>
        <w:pStyle w:val="ListParagraph"/>
        <w:rPr>
          <w:rFonts w:cstheme="minorHAnsi"/>
          <w:lang w:val="en-US"/>
        </w:rPr>
      </w:pPr>
    </w:p>
    <w:p w14:paraId="00A3A23F" w14:textId="77777777" w:rsidR="007E055B" w:rsidRDefault="007E055B" w:rsidP="002D3701">
      <w:pPr>
        <w:pStyle w:val="ListParagraph"/>
        <w:rPr>
          <w:rFonts w:cstheme="minorHAnsi"/>
          <w:lang w:val="en-US"/>
        </w:rPr>
      </w:pPr>
    </w:p>
    <w:p w14:paraId="69F9574A" w14:textId="77777777" w:rsidR="007E055B" w:rsidRDefault="007E055B" w:rsidP="002D3701">
      <w:pPr>
        <w:pStyle w:val="ListParagraph"/>
        <w:rPr>
          <w:rFonts w:cstheme="minorHAnsi"/>
          <w:lang w:val="en-US"/>
        </w:rPr>
      </w:pPr>
    </w:p>
    <w:p w14:paraId="386D40E0" w14:textId="77777777" w:rsidR="007E055B" w:rsidRDefault="007E055B" w:rsidP="002D3701">
      <w:pPr>
        <w:pStyle w:val="ListParagraph"/>
        <w:rPr>
          <w:rFonts w:cstheme="minorHAnsi"/>
          <w:lang w:val="en-US"/>
        </w:rPr>
      </w:pPr>
    </w:p>
    <w:p w14:paraId="126E4A97" w14:textId="77777777" w:rsidR="007E055B" w:rsidRDefault="007E055B" w:rsidP="002D3701">
      <w:pPr>
        <w:pStyle w:val="ListParagraph"/>
        <w:rPr>
          <w:rFonts w:cstheme="minorHAnsi"/>
          <w:lang w:val="en-US"/>
        </w:rPr>
      </w:pPr>
    </w:p>
    <w:p w14:paraId="51BADFE0" w14:textId="77777777" w:rsidR="007E055B" w:rsidRDefault="007E055B" w:rsidP="002D3701">
      <w:pPr>
        <w:pStyle w:val="ListParagraph"/>
        <w:rPr>
          <w:rFonts w:cstheme="minorHAnsi"/>
          <w:lang w:val="en-US"/>
        </w:rPr>
      </w:pPr>
    </w:p>
    <w:p w14:paraId="64D66721" w14:textId="77777777" w:rsidR="007E055B" w:rsidRDefault="007E055B" w:rsidP="002D3701">
      <w:pPr>
        <w:pStyle w:val="ListParagraph"/>
        <w:rPr>
          <w:rFonts w:cstheme="minorHAnsi"/>
          <w:lang w:val="en-US"/>
        </w:rPr>
      </w:pPr>
    </w:p>
    <w:p w14:paraId="67D04A86" w14:textId="77777777" w:rsidR="007E055B" w:rsidRDefault="007E055B" w:rsidP="002D3701">
      <w:pPr>
        <w:pStyle w:val="ListParagraph"/>
        <w:rPr>
          <w:rFonts w:cstheme="minorHAnsi"/>
          <w:lang w:val="en-US"/>
        </w:rPr>
      </w:pPr>
    </w:p>
    <w:p w14:paraId="5E290FD7" w14:textId="77777777" w:rsidR="007E055B" w:rsidRDefault="007E055B" w:rsidP="002D3701">
      <w:pPr>
        <w:pStyle w:val="ListParagraph"/>
        <w:rPr>
          <w:rFonts w:cstheme="minorHAnsi"/>
          <w:lang w:val="en-US"/>
        </w:rPr>
      </w:pPr>
    </w:p>
    <w:p w14:paraId="1E769AC6" w14:textId="77777777" w:rsidR="007E055B" w:rsidRDefault="007E055B" w:rsidP="002D3701">
      <w:pPr>
        <w:pStyle w:val="ListParagraph"/>
        <w:rPr>
          <w:rFonts w:cstheme="minorHAnsi"/>
          <w:lang w:val="en-US"/>
        </w:rPr>
      </w:pPr>
    </w:p>
    <w:p w14:paraId="25014DBB" w14:textId="77777777" w:rsidR="007E055B" w:rsidRPr="00616AA8" w:rsidRDefault="007E055B" w:rsidP="002D3701">
      <w:pPr>
        <w:pStyle w:val="ListParagraph"/>
        <w:rPr>
          <w:rFonts w:cstheme="minorHAnsi"/>
          <w:lang w:val="en-US"/>
        </w:rPr>
      </w:pPr>
    </w:p>
    <w:p w14:paraId="5FFE8F2D" w14:textId="77777777" w:rsidR="00E53F7E" w:rsidRPr="00676FC1" w:rsidRDefault="00000000" w:rsidP="004E0E7D">
      <w:pPr>
        <w:pStyle w:val="ListParagraph"/>
        <w:numPr>
          <w:ilvl w:val="0"/>
          <w:numId w:val="1"/>
        </w:numPr>
        <w:snapToGrid w:val="0"/>
        <w:spacing w:after="0" w:line="240" w:lineRule="auto"/>
        <w:rPr>
          <w:rFonts w:cstheme="minorHAnsi"/>
          <w:b/>
          <w:bCs/>
          <w:sz w:val="28"/>
          <w:szCs w:val="28"/>
          <w:lang w:val="en-US"/>
        </w:rPr>
      </w:pPr>
      <w:r w:rsidRPr="00676FC1">
        <w:rPr>
          <w:rFonts w:cstheme="minorHAnsi"/>
          <w:b/>
          <w:bCs/>
          <w:sz w:val="28"/>
          <w:szCs w:val="28"/>
          <w:lang w:val="en-US"/>
        </w:rPr>
        <w:t xml:space="preserve">Step </w:t>
      </w:r>
      <w:r w:rsidR="00165AD1" w:rsidRPr="00676FC1">
        <w:rPr>
          <w:rFonts w:cstheme="minorHAnsi"/>
          <w:b/>
          <w:bCs/>
          <w:sz w:val="28"/>
          <w:szCs w:val="28"/>
          <w:lang w:val="en-US"/>
        </w:rPr>
        <w:t>5</w:t>
      </w:r>
      <w:r w:rsidRPr="00676FC1">
        <w:rPr>
          <w:rFonts w:cstheme="minorHAnsi"/>
          <w:b/>
          <w:bCs/>
          <w:sz w:val="28"/>
          <w:szCs w:val="28"/>
          <w:lang w:val="en-US"/>
        </w:rPr>
        <w:t>. Risk Management for money lending scenarios.</w:t>
      </w:r>
    </w:p>
    <w:p w14:paraId="43C78B1D" w14:textId="77777777" w:rsidR="00CC5F74" w:rsidRPr="006443F2" w:rsidRDefault="00000000" w:rsidP="004E0E7D">
      <w:pPr>
        <w:pStyle w:val="ListParagraph"/>
        <w:numPr>
          <w:ilvl w:val="1"/>
          <w:numId w:val="1"/>
        </w:numPr>
        <w:snapToGrid w:val="0"/>
        <w:spacing w:after="0" w:line="240" w:lineRule="auto"/>
        <w:contextualSpacing w:val="0"/>
        <w:rPr>
          <w:rFonts w:cstheme="minorHAnsi"/>
          <w:b/>
          <w:bCs/>
          <w:sz w:val="24"/>
          <w:szCs w:val="24"/>
          <w:lang w:val="en-US"/>
        </w:rPr>
      </w:pPr>
      <w:r w:rsidRPr="006443F2">
        <w:rPr>
          <w:rFonts w:cstheme="minorHAnsi"/>
          <w:b/>
          <w:bCs/>
          <w:sz w:val="24"/>
          <w:szCs w:val="24"/>
          <w:lang w:val="en-US"/>
        </w:rPr>
        <w:t>Student:</w:t>
      </w:r>
      <w:r w:rsidRPr="006443F2">
        <w:rPr>
          <w:rFonts w:cstheme="minorHAnsi"/>
          <w:b/>
          <w:bCs/>
          <w:sz w:val="24"/>
          <w:szCs w:val="24"/>
        </w:rPr>
        <w:t xml:space="preserve"> </w:t>
      </w:r>
      <w:r w:rsidRPr="006443F2">
        <w:rPr>
          <w:rFonts w:cstheme="minorHAnsi"/>
          <w:b/>
          <w:bCs/>
          <w:sz w:val="24"/>
          <w:szCs w:val="24"/>
          <w:lang w:val="en-US"/>
        </w:rPr>
        <w:t xml:space="preserve">Oratile Personal unsecured loan at a fixed rate - Credit Card. </w:t>
      </w:r>
    </w:p>
    <w:p w14:paraId="75D1EE64" w14:textId="77777777" w:rsidR="004E0E7D" w:rsidRPr="00616AA8" w:rsidRDefault="004E0E7D" w:rsidP="004E0E7D">
      <w:pPr>
        <w:pStyle w:val="ListParagraph"/>
        <w:snapToGrid w:val="0"/>
        <w:spacing w:after="0" w:line="240" w:lineRule="auto"/>
        <w:ind w:left="936"/>
        <w:contextualSpacing w:val="0"/>
        <w:rPr>
          <w:rFonts w:cstheme="minorHAnsi"/>
          <w:b/>
          <w:bCs/>
          <w:lang w:val="en-US"/>
        </w:rPr>
      </w:pPr>
    </w:p>
    <w:p w14:paraId="39CCDBAC" w14:textId="1C6866A0" w:rsidR="00CC5F74" w:rsidRDefault="004E0E7D" w:rsidP="00B21A83">
      <w:pPr>
        <w:snapToGrid w:val="0"/>
        <w:spacing w:after="0" w:line="240" w:lineRule="auto"/>
        <w:ind w:left="720"/>
        <w:rPr>
          <w:rFonts w:cstheme="minorHAnsi"/>
          <w:lang w:val="en-US"/>
        </w:rPr>
      </w:pPr>
      <w:r>
        <w:rPr>
          <w:rFonts w:ascii="Calibri" w:hAnsi="Calibri" w:cs="Calibri"/>
          <w:noProof/>
          <w:color w:val="000000"/>
          <w:bdr w:val="none" w:sz="0" w:space="0" w:color="auto" w:frame="1"/>
        </w:rPr>
        <w:drawing>
          <wp:inline distT="0" distB="0" distL="0" distR="0" wp14:anchorId="74146B4C" wp14:editId="4D63D53A">
            <wp:extent cx="5952490" cy="4178174"/>
            <wp:effectExtent l="0" t="0" r="0" b="0"/>
            <wp:docPr id="41303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4365" cy="4179490"/>
                    </a:xfrm>
                    <a:prstGeom prst="rect">
                      <a:avLst/>
                    </a:prstGeom>
                    <a:noFill/>
                    <a:ln>
                      <a:noFill/>
                    </a:ln>
                  </pic:spPr>
                </pic:pic>
              </a:graphicData>
            </a:graphic>
          </wp:inline>
        </w:drawing>
      </w:r>
    </w:p>
    <w:p w14:paraId="0A2478A9" w14:textId="77777777" w:rsidR="000B24FF" w:rsidRDefault="000B24FF" w:rsidP="00B21A83">
      <w:pPr>
        <w:snapToGrid w:val="0"/>
        <w:spacing w:after="0" w:line="240" w:lineRule="auto"/>
        <w:ind w:left="720"/>
        <w:rPr>
          <w:rFonts w:cstheme="minorHAnsi"/>
          <w:lang w:val="en-US"/>
        </w:rPr>
      </w:pPr>
    </w:p>
    <w:p w14:paraId="6D318D57" w14:textId="77777777" w:rsidR="000B24FF" w:rsidRDefault="000B24FF" w:rsidP="00B21A83">
      <w:pPr>
        <w:snapToGrid w:val="0"/>
        <w:spacing w:after="0" w:line="240" w:lineRule="auto"/>
        <w:ind w:left="720"/>
        <w:rPr>
          <w:rFonts w:cstheme="minorHAnsi"/>
          <w:lang w:val="en-US"/>
        </w:rPr>
      </w:pPr>
    </w:p>
    <w:p w14:paraId="51D0155C" w14:textId="77777777" w:rsidR="000B24FF" w:rsidRDefault="000B24FF" w:rsidP="00B21A83">
      <w:pPr>
        <w:snapToGrid w:val="0"/>
        <w:spacing w:after="0" w:line="240" w:lineRule="auto"/>
        <w:ind w:left="720"/>
        <w:rPr>
          <w:rFonts w:cstheme="minorHAnsi"/>
          <w:lang w:val="en-US"/>
        </w:rPr>
      </w:pPr>
    </w:p>
    <w:p w14:paraId="44D67725" w14:textId="32EB59EA" w:rsidR="004E0E7D" w:rsidRDefault="004E0E7D" w:rsidP="00B21A83">
      <w:pPr>
        <w:snapToGrid w:val="0"/>
        <w:spacing w:after="0" w:line="240" w:lineRule="auto"/>
        <w:ind w:left="720"/>
        <w:rPr>
          <w:rFonts w:cstheme="minorHAnsi"/>
          <w:lang w:val="en-US"/>
        </w:rPr>
      </w:pPr>
      <w:r>
        <w:rPr>
          <w:rFonts w:ascii="Calibri" w:hAnsi="Calibri" w:cs="Calibri"/>
          <w:noProof/>
          <w:color w:val="000000"/>
          <w:bdr w:val="none" w:sz="0" w:space="0" w:color="auto" w:frame="1"/>
        </w:rPr>
        <w:lastRenderedPageBreak/>
        <w:drawing>
          <wp:inline distT="0" distB="0" distL="0" distR="0" wp14:anchorId="5C5FD642" wp14:editId="161779E8">
            <wp:extent cx="5942965" cy="4015212"/>
            <wp:effectExtent l="0" t="0" r="635" b="4445"/>
            <wp:docPr id="121727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176" cy="4020084"/>
                    </a:xfrm>
                    <a:prstGeom prst="rect">
                      <a:avLst/>
                    </a:prstGeom>
                    <a:noFill/>
                    <a:ln>
                      <a:noFill/>
                    </a:ln>
                  </pic:spPr>
                </pic:pic>
              </a:graphicData>
            </a:graphic>
          </wp:inline>
        </w:drawing>
      </w:r>
    </w:p>
    <w:p w14:paraId="2394AE90" w14:textId="77777777" w:rsidR="004E0E7D" w:rsidRDefault="004E0E7D" w:rsidP="00B21A83">
      <w:pPr>
        <w:snapToGrid w:val="0"/>
        <w:spacing w:after="0" w:line="240" w:lineRule="auto"/>
        <w:ind w:left="720"/>
        <w:rPr>
          <w:rFonts w:cstheme="minorHAnsi"/>
          <w:lang w:val="en-US"/>
        </w:rPr>
      </w:pPr>
    </w:p>
    <w:p w14:paraId="2BCF0B8C" w14:textId="77777777" w:rsidR="004E0E7D" w:rsidRDefault="004E0E7D" w:rsidP="004E0E7D">
      <w:pPr>
        <w:pStyle w:val="NormalWeb"/>
        <w:spacing w:before="0" w:beforeAutospacing="0" w:after="254" w:afterAutospacing="0"/>
        <w:ind w:hanging="10"/>
      </w:pPr>
      <w:r>
        <w:rPr>
          <w:rFonts w:ascii="Calibri" w:hAnsi="Calibri" w:cs="Calibri"/>
          <w:b/>
          <w:bCs/>
          <w:color w:val="000000"/>
          <w:sz w:val="22"/>
          <w:szCs w:val="22"/>
        </w:rPr>
        <w:t>Risk Management Assessment for Market Entry and Credit Score Calculation</w:t>
      </w:r>
    </w:p>
    <w:p w14:paraId="40FABF3E" w14:textId="77777777" w:rsidR="004E0E7D" w:rsidRDefault="004E0E7D" w:rsidP="004E0E7D">
      <w:pPr>
        <w:pStyle w:val="NormalWeb"/>
        <w:spacing w:before="0" w:beforeAutospacing="0" w:after="200" w:afterAutospacing="0"/>
      </w:pPr>
      <w:r>
        <w:rPr>
          <w:rFonts w:ascii="Calibri" w:hAnsi="Calibri" w:cs="Calibri"/>
          <w:color w:val="000000"/>
          <w:sz w:val="22"/>
          <w:szCs w:val="22"/>
        </w:rPr>
        <w:t>Introduction </w:t>
      </w:r>
    </w:p>
    <w:p w14:paraId="6E878F01" w14:textId="77777777" w:rsidR="004E0E7D" w:rsidRDefault="004E0E7D" w:rsidP="004E0E7D">
      <w:pPr>
        <w:pStyle w:val="NormalWeb"/>
        <w:spacing w:before="0" w:beforeAutospacing="0" w:after="200" w:afterAutospacing="0"/>
      </w:pPr>
      <w:r>
        <w:rPr>
          <w:rFonts w:ascii="Calibri" w:hAnsi="Calibri" w:cs="Calibri"/>
          <w:color w:val="000000"/>
          <w:sz w:val="22"/>
          <w:szCs w:val="22"/>
        </w:rPr>
        <w:t>In the credit card lending industry, we perform risk management assessments for market entry and credit scoring. To help the finance team make decisions, we created two Python functions. The first function determines whether entering the credit card lending business is appropriate based on macroeconomic considerations, and the second function determines the credit rating of the potential borrower. </w:t>
      </w:r>
    </w:p>
    <w:p w14:paraId="6185FF44" w14:textId="77777777" w:rsidR="004E0E7D" w:rsidRDefault="004E0E7D" w:rsidP="004E0E7D">
      <w:pPr>
        <w:pStyle w:val="NormalWeb"/>
        <w:spacing w:before="0" w:beforeAutospacing="0" w:after="200" w:afterAutospacing="0"/>
      </w:pPr>
      <w:r>
        <w:rPr>
          <w:rFonts w:ascii="Calibri" w:hAnsi="Calibri" w:cs="Calibri"/>
          <w:color w:val="000000"/>
          <w:sz w:val="22"/>
          <w:szCs w:val="22"/>
        </w:rPr>
        <w:t>1. Market Assessment </w:t>
      </w:r>
    </w:p>
    <w:p w14:paraId="6C9EAEBD" w14:textId="77777777" w:rsidR="004E0E7D" w:rsidRDefault="004E0E7D" w:rsidP="004E0E7D">
      <w:pPr>
        <w:pStyle w:val="NormalWeb"/>
        <w:spacing w:before="0" w:beforeAutospacing="0" w:after="200" w:afterAutospacing="0"/>
      </w:pPr>
      <w:r>
        <w:rPr>
          <w:rFonts w:ascii="Calibri" w:hAnsi="Calibri" w:cs="Calibri"/>
          <w:color w:val="000000"/>
          <w:sz w:val="22"/>
          <w:szCs w:val="22"/>
        </w:rPr>
        <w:t>To consider whether it is appropriate to engage in the credit card lending business, the market assessment function evaluates macroeconomic indicators such as inflation rate and unemployment rate. It gives a simple binary answer as to whether current market conditions are favorable or not. However, more indicators and external data sources should be used in in-depth market research. Market assessment risks include: </w:t>
      </w:r>
    </w:p>
    <w:p w14:paraId="1EA27D1A" w14:textId="77777777" w:rsidR="004E0E7D" w:rsidRDefault="004E0E7D" w:rsidP="004E0E7D">
      <w:pPr>
        <w:pStyle w:val="NormalWeb"/>
        <w:spacing w:before="0" w:beforeAutospacing="0" w:after="200" w:afterAutospacing="0"/>
      </w:pPr>
      <w:r>
        <w:rPr>
          <w:rFonts w:ascii="Calibri" w:hAnsi="Calibri" w:cs="Calibri"/>
          <w:color w:val="000000"/>
          <w:sz w:val="22"/>
          <w:szCs w:val="22"/>
        </w:rPr>
        <w:t>A. Data quality: </w:t>
      </w:r>
    </w:p>
    <w:p w14:paraId="5AA60C69" w14:textId="77777777" w:rsidR="004E0E7D" w:rsidRDefault="004E0E7D" w:rsidP="004E0E7D">
      <w:pPr>
        <w:pStyle w:val="NormalWeb"/>
        <w:spacing w:before="0" w:beforeAutospacing="0" w:after="200" w:afterAutospacing="0"/>
      </w:pPr>
      <w:r>
        <w:rPr>
          <w:rFonts w:ascii="Calibri" w:hAnsi="Calibri" w:cs="Calibri"/>
          <w:color w:val="000000"/>
          <w:sz w:val="22"/>
          <w:szCs w:val="22"/>
        </w:rPr>
        <w:t>Accurate and timely macroeconomic data is essential to making informed market entry decisions. Using outdated or unreliable data can lead to misjudgment of market conditions. </w:t>
      </w:r>
    </w:p>
    <w:p w14:paraId="2F36FA4D" w14:textId="77777777" w:rsidR="004E0E7D" w:rsidRDefault="004E0E7D" w:rsidP="004E0E7D">
      <w:pPr>
        <w:pStyle w:val="NormalWeb"/>
        <w:spacing w:before="0" w:beforeAutospacing="0" w:after="200" w:afterAutospacing="0"/>
      </w:pPr>
      <w:r>
        <w:rPr>
          <w:rFonts w:ascii="Calibri" w:hAnsi="Calibri" w:cs="Calibri"/>
          <w:color w:val="000000"/>
          <w:sz w:val="22"/>
          <w:szCs w:val="22"/>
        </w:rPr>
        <w:t>B. The incomplete picture: </w:t>
      </w:r>
    </w:p>
    <w:p w14:paraId="6B2D33DC" w14:textId="77777777" w:rsidR="004E0E7D" w:rsidRDefault="004E0E7D" w:rsidP="004E0E7D">
      <w:pPr>
        <w:pStyle w:val="NormalWeb"/>
        <w:spacing w:before="0" w:beforeAutospacing="0" w:after="200" w:afterAutospacing="0"/>
      </w:pPr>
      <w:r>
        <w:rPr>
          <w:rFonts w:ascii="Calibri" w:hAnsi="Calibri" w:cs="Calibri"/>
          <w:color w:val="000000"/>
          <w:sz w:val="22"/>
          <w:szCs w:val="22"/>
        </w:rPr>
        <w:t>Market complexity may not be fully captured by a small set of macroeconomic indicators. To fully understand the potential risks and opportunities, further examination is necessary. </w:t>
      </w:r>
    </w:p>
    <w:p w14:paraId="402B8199" w14:textId="77777777" w:rsidR="004E0E7D" w:rsidRDefault="004E0E7D" w:rsidP="004E0E7D">
      <w:pPr>
        <w:pStyle w:val="NormalWeb"/>
        <w:spacing w:before="0" w:beforeAutospacing="0" w:after="200" w:afterAutospacing="0"/>
      </w:pPr>
      <w:r>
        <w:rPr>
          <w:rFonts w:ascii="Calibri" w:hAnsi="Calibri" w:cs="Calibri"/>
          <w:color w:val="000000"/>
          <w:sz w:val="22"/>
          <w:szCs w:val="22"/>
        </w:rPr>
        <w:t>C. Market Volatility: </w:t>
      </w:r>
    </w:p>
    <w:p w14:paraId="60179C07" w14:textId="77777777" w:rsidR="004E0E7D" w:rsidRDefault="004E0E7D" w:rsidP="004E0E7D">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The viability of market penetration tactics can be affected by rapid changes in market circumstances and macroeconomic indicators. </w:t>
      </w:r>
    </w:p>
    <w:p w14:paraId="4AF1C174" w14:textId="77777777" w:rsidR="0096035D" w:rsidRDefault="0096035D" w:rsidP="004E0E7D">
      <w:pPr>
        <w:pStyle w:val="NormalWeb"/>
        <w:spacing w:before="0" w:beforeAutospacing="0" w:after="200" w:afterAutospacing="0"/>
      </w:pPr>
    </w:p>
    <w:p w14:paraId="04C9A365" w14:textId="77777777" w:rsidR="004E0E7D" w:rsidRDefault="004E0E7D" w:rsidP="004E0E7D">
      <w:pPr>
        <w:pStyle w:val="NormalWeb"/>
        <w:spacing w:before="0" w:beforeAutospacing="0" w:after="200" w:afterAutospacing="0"/>
      </w:pPr>
      <w:r>
        <w:rPr>
          <w:rFonts w:ascii="Calibri" w:hAnsi="Calibri" w:cs="Calibri"/>
          <w:color w:val="000000"/>
          <w:sz w:val="22"/>
          <w:szCs w:val="22"/>
        </w:rPr>
        <w:lastRenderedPageBreak/>
        <w:t>Best Practices: </w:t>
      </w:r>
    </w:p>
    <w:p w14:paraId="468E0DEB" w14:textId="77777777" w:rsidR="004E0E7D" w:rsidRDefault="004E0E7D" w:rsidP="004E0E7D">
      <w:pPr>
        <w:pStyle w:val="NormalWeb"/>
        <w:spacing w:before="0" w:beforeAutospacing="0" w:after="200" w:afterAutospacing="0"/>
      </w:pPr>
      <w:r>
        <w:rPr>
          <w:rFonts w:ascii="Calibri" w:hAnsi="Calibri" w:cs="Calibri"/>
          <w:color w:val="000000"/>
          <w:sz w:val="22"/>
          <w:szCs w:val="22"/>
        </w:rPr>
        <w:t>● To get a complete picture of market circumstances, use a variety of macroeconomic indicators. </w:t>
      </w:r>
    </w:p>
    <w:p w14:paraId="52B8BB00" w14:textId="77777777" w:rsidR="004E0E7D" w:rsidRDefault="004E0E7D" w:rsidP="004E0E7D">
      <w:pPr>
        <w:pStyle w:val="NormalWeb"/>
        <w:spacing w:before="0" w:beforeAutospacing="0" w:after="200" w:afterAutospacing="0"/>
      </w:pPr>
      <w:r>
        <w:rPr>
          <w:rFonts w:ascii="Calibri" w:hAnsi="Calibri" w:cs="Calibri"/>
          <w:color w:val="000000"/>
          <w:sz w:val="22"/>
          <w:szCs w:val="22"/>
        </w:rPr>
        <w:t>● Utilize historical data to examine previous market changes and determine how they affected the credit card lending industry. </w:t>
      </w:r>
    </w:p>
    <w:p w14:paraId="13EAC58C" w14:textId="77777777" w:rsidR="004E0E7D" w:rsidRDefault="004E0E7D" w:rsidP="004E0E7D">
      <w:pPr>
        <w:pStyle w:val="NormalWeb"/>
        <w:spacing w:before="0" w:beforeAutospacing="0" w:after="200" w:afterAutospacing="0"/>
      </w:pPr>
      <w:r>
        <w:rPr>
          <w:rFonts w:ascii="Calibri" w:hAnsi="Calibri" w:cs="Calibri"/>
          <w:color w:val="000000"/>
          <w:sz w:val="22"/>
          <w:szCs w:val="22"/>
        </w:rPr>
        <w:t>● Macroeconomic considerations should be continuously monitored, and the assessment should be updated periodically to reflect shifting market conditions. </w:t>
      </w:r>
    </w:p>
    <w:p w14:paraId="30A93778" w14:textId="77777777" w:rsidR="004E0E7D" w:rsidRDefault="004E0E7D" w:rsidP="004E0E7D">
      <w:pPr>
        <w:pStyle w:val="NormalWeb"/>
        <w:spacing w:before="0" w:beforeAutospacing="0" w:after="200" w:afterAutospacing="0"/>
      </w:pPr>
      <w:r>
        <w:rPr>
          <w:rFonts w:ascii="Calibri" w:hAnsi="Calibri" w:cs="Calibri"/>
          <w:color w:val="000000"/>
          <w:sz w:val="22"/>
          <w:szCs w:val="22"/>
        </w:rPr>
        <w:t>2. Credit Score Calculation </w:t>
      </w:r>
    </w:p>
    <w:p w14:paraId="66C1C57E" w14:textId="477A97F4" w:rsidR="004E0E7D" w:rsidRDefault="004E0E7D" w:rsidP="004E0E7D">
      <w:pPr>
        <w:pStyle w:val="NormalWeb"/>
        <w:spacing w:before="0" w:beforeAutospacing="0" w:after="200" w:afterAutospacing="0"/>
      </w:pPr>
      <w:r>
        <w:rPr>
          <w:rFonts w:ascii="Calibri" w:hAnsi="Calibri" w:cs="Calibri"/>
          <w:color w:val="000000"/>
          <w:sz w:val="22"/>
          <w:szCs w:val="22"/>
        </w:rPr>
        <w:t xml:space="preserve">The function used to calculate credit scores accepts a number of input parameters, including debt-to-income ratio, income, and credit history. It then uses a basic scoring algorithm to generate a credit score. Please note that this is a simplified version, </w:t>
      </w:r>
      <w:r w:rsidR="002D648A">
        <w:rPr>
          <w:rFonts w:ascii="Calibri" w:hAnsi="Calibri" w:cs="Calibri"/>
          <w:color w:val="000000"/>
          <w:sz w:val="22"/>
          <w:szCs w:val="22"/>
        </w:rPr>
        <w:t>and in</w:t>
      </w:r>
      <w:r>
        <w:rPr>
          <w:rFonts w:ascii="Calibri" w:hAnsi="Calibri" w:cs="Calibri"/>
          <w:color w:val="000000"/>
          <w:sz w:val="22"/>
          <w:szCs w:val="22"/>
        </w:rPr>
        <w:t xml:space="preserve"> real-life situations, more complex and informative models will be used to generate an accurate credit score. Here are the risks involved in calculating credit scores: </w:t>
      </w:r>
    </w:p>
    <w:p w14:paraId="32C256E1" w14:textId="77777777" w:rsidR="004E0E7D" w:rsidRDefault="004E0E7D" w:rsidP="004E0E7D">
      <w:pPr>
        <w:pStyle w:val="NormalWeb"/>
        <w:spacing w:before="0" w:beforeAutospacing="0" w:after="200" w:afterAutospacing="0"/>
      </w:pPr>
      <w:r>
        <w:rPr>
          <w:rFonts w:ascii="Calibri" w:hAnsi="Calibri" w:cs="Calibri"/>
          <w:color w:val="000000"/>
          <w:sz w:val="22"/>
          <w:szCs w:val="22"/>
        </w:rPr>
        <w:t>A. Data quality: </w:t>
      </w:r>
    </w:p>
    <w:p w14:paraId="648BC2FD" w14:textId="77777777" w:rsidR="004E0E7D" w:rsidRDefault="004E0E7D" w:rsidP="004E0E7D">
      <w:pPr>
        <w:pStyle w:val="NormalWeb"/>
        <w:spacing w:before="0" w:beforeAutospacing="0" w:after="200" w:afterAutospacing="0"/>
      </w:pPr>
      <w:r>
        <w:rPr>
          <w:rFonts w:ascii="Calibri" w:hAnsi="Calibri" w:cs="Calibri"/>
          <w:color w:val="000000"/>
          <w:sz w:val="22"/>
          <w:szCs w:val="22"/>
        </w:rPr>
        <w:t>To produce an accurate credit score, input data must be complete and accurate. The risk to the lending process is due to inaccurate or missing data, which can lead to inaccurate credit assessments. </w:t>
      </w:r>
    </w:p>
    <w:p w14:paraId="60C4482A" w14:textId="77777777" w:rsidR="004E0E7D" w:rsidRDefault="004E0E7D" w:rsidP="004E0E7D">
      <w:pPr>
        <w:pStyle w:val="NormalWeb"/>
        <w:spacing w:before="0" w:beforeAutospacing="0" w:after="200" w:afterAutospacing="0"/>
      </w:pPr>
      <w:r>
        <w:rPr>
          <w:rFonts w:ascii="Calibri" w:hAnsi="Calibri" w:cs="Calibri"/>
          <w:color w:val="000000"/>
          <w:sz w:val="22"/>
          <w:szCs w:val="22"/>
        </w:rPr>
        <w:t>B. Model Accuracy: </w:t>
      </w:r>
    </w:p>
    <w:p w14:paraId="65114E72" w14:textId="77777777" w:rsidR="004E0E7D" w:rsidRDefault="004E0E7D" w:rsidP="004E0E7D">
      <w:pPr>
        <w:pStyle w:val="NormalWeb"/>
        <w:spacing w:before="0" w:beforeAutospacing="0" w:after="200" w:afterAutospacing="0"/>
      </w:pPr>
      <w:r>
        <w:rPr>
          <w:rFonts w:ascii="Calibri" w:hAnsi="Calibri" w:cs="Calibri"/>
          <w:color w:val="000000"/>
          <w:sz w:val="22"/>
          <w:szCs w:val="22"/>
        </w:rPr>
        <w:t>The simplicity of the current model may not fully explain all relevant aspects that influence solvency. To reduce credit scoring errors, more complex models need to be deployed along with continuous validation. </w:t>
      </w:r>
    </w:p>
    <w:p w14:paraId="63FB476D" w14:textId="77777777" w:rsidR="004E0E7D" w:rsidRDefault="004E0E7D" w:rsidP="004E0E7D">
      <w:pPr>
        <w:pStyle w:val="NormalWeb"/>
        <w:spacing w:before="0" w:beforeAutospacing="0" w:after="200" w:afterAutospacing="0"/>
      </w:pPr>
      <w:r>
        <w:rPr>
          <w:rFonts w:ascii="Calibri" w:hAnsi="Calibri" w:cs="Calibri"/>
          <w:color w:val="000000"/>
          <w:sz w:val="22"/>
          <w:szCs w:val="22"/>
        </w:rPr>
        <w:t>C. Ethical Considerations: </w:t>
      </w:r>
    </w:p>
    <w:p w14:paraId="39EFFC89" w14:textId="0FA7B7E8" w:rsidR="004E0E7D" w:rsidRDefault="004E0E7D" w:rsidP="004E0E7D">
      <w:pPr>
        <w:pStyle w:val="NormalWeb"/>
        <w:spacing w:before="0" w:beforeAutospacing="0" w:after="200" w:afterAutospacing="0"/>
      </w:pPr>
      <w:r>
        <w:rPr>
          <w:rFonts w:ascii="Calibri" w:hAnsi="Calibri" w:cs="Calibri"/>
          <w:color w:val="000000"/>
          <w:sz w:val="22"/>
          <w:szCs w:val="22"/>
        </w:rPr>
        <w:t xml:space="preserve">It is important to ensure the ethical collection and use of personal data. To protect sensitive customer information, </w:t>
      </w:r>
      <w:r w:rsidR="002D648A">
        <w:rPr>
          <w:rFonts w:ascii="Calibri" w:hAnsi="Calibri" w:cs="Calibri"/>
          <w:color w:val="000000"/>
          <w:sz w:val="22"/>
          <w:szCs w:val="22"/>
        </w:rPr>
        <w:t>appropriate data</w:t>
      </w:r>
      <w:r>
        <w:rPr>
          <w:rFonts w:ascii="Calibri" w:hAnsi="Calibri" w:cs="Calibri"/>
          <w:color w:val="000000"/>
          <w:sz w:val="22"/>
          <w:szCs w:val="22"/>
        </w:rPr>
        <w:t xml:space="preserve"> protection and authorization procedures must be in place. </w:t>
      </w:r>
    </w:p>
    <w:p w14:paraId="46B7E8BD" w14:textId="77777777" w:rsidR="004E0E7D" w:rsidRDefault="004E0E7D" w:rsidP="004E0E7D">
      <w:pPr>
        <w:pStyle w:val="NormalWeb"/>
        <w:spacing w:before="0" w:beforeAutospacing="0" w:after="200" w:afterAutospacing="0"/>
      </w:pPr>
      <w:r>
        <w:rPr>
          <w:rFonts w:ascii="Calibri" w:hAnsi="Calibri" w:cs="Calibri"/>
          <w:color w:val="000000"/>
          <w:sz w:val="22"/>
          <w:szCs w:val="22"/>
        </w:rPr>
        <w:t>Best practices: </w:t>
      </w:r>
    </w:p>
    <w:p w14:paraId="186873C1" w14:textId="2BE49946" w:rsidR="004E0E7D" w:rsidRDefault="004E0E7D" w:rsidP="004E0E7D">
      <w:pPr>
        <w:pStyle w:val="NormalWeb"/>
        <w:spacing w:before="0" w:beforeAutospacing="0" w:after="200" w:afterAutospacing="0"/>
      </w:pPr>
      <w:r>
        <w:rPr>
          <w:rFonts w:ascii="Calibri" w:hAnsi="Calibri" w:cs="Calibri"/>
          <w:color w:val="000000"/>
          <w:sz w:val="22"/>
          <w:szCs w:val="22"/>
        </w:rPr>
        <w:t xml:space="preserve">● Regularly review and </w:t>
      </w:r>
      <w:r w:rsidR="002D648A">
        <w:rPr>
          <w:rFonts w:ascii="Calibri" w:hAnsi="Calibri" w:cs="Calibri"/>
          <w:color w:val="000000"/>
          <w:sz w:val="22"/>
          <w:szCs w:val="22"/>
        </w:rPr>
        <w:t>revise credit</w:t>
      </w:r>
      <w:r>
        <w:rPr>
          <w:rFonts w:ascii="Calibri" w:hAnsi="Calibri" w:cs="Calibri"/>
          <w:color w:val="000000"/>
          <w:sz w:val="22"/>
          <w:szCs w:val="22"/>
        </w:rPr>
        <w:t xml:space="preserve"> scoring models to incorporate new risk factors and improve accuracy. </w:t>
      </w:r>
    </w:p>
    <w:p w14:paraId="7A2D6576" w14:textId="77777777" w:rsidR="004E0E7D" w:rsidRDefault="004E0E7D" w:rsidP="004E0E7D">
      <w:pPr>
        <w:pStyle w:val="NormalWeb"/>
        <w:spacing w:before="0" w:beforeAutospacing="0" w:after="200" w:afterAutospacing="0"/>
      </w:pPr>
      <w:r>
        <w:rPr>
          <w:rFonts w:ascii="Calibri" w:hAnsi="Calibri" w:cs="Calibri"/>
          <w:color w:val="000000"/>
          <w:sz w:val="22"/>
          <w:szCs w:val="22"/>
        </w:rPr>
        <w:t>● To ensure the accuracy and reliability of your data, implement data cleaning and validation processes. </w:t>
      </w:r>
    </w:p>
    <w:p w14:paraId="3A9A6278" w14:textId="77777777" w:rsidR="004E0E7D" w:rsidRDefault="004E0E7D" w:rsidP="004E0E7D">
      <w:pPr>
        <w:pStyle w:val="NormalWeb"/>
        <w:spacing w:before="0" w:beforeAutospacing="0" w:after="200" w:afterAutospacing="0"/>
      </w:pPr>
      <w:r>
        <w:rPr>
          <w:rFonts w:ascii="Calibri" w:hAnsi="Calibri" w:cs="Calibri"/>
          <w:color w:val="000000"/>
          <w:sz w:val="22"/>
          <w:szCs w:val="22"/>
        </w:rPr>
        <w:t>● Comply with data privacy laws and obtain explicit consent from customers before using their information for credit scoring. </w:t>
      </w:r>
    </w:p>
    <w:p w14:paraId="4FC06026" w14:textId="77777777" w:rsidR="004E0E7D" w:rsidRDefault="004E0E7D" w:rsidP="004E0E7D">
      <w:pPr>
        <w:pStyle w:val="NormalWeb"/>
        <w:spacing w:before="0" w:beforeAutospacing="0" w:after="200" w:afterAutospacing="0"/>
      </w:pPr>
      <w:r>
        <w:rPr>
          <w:rFonts w:ascii="Calibri" w:hAnsi="Calibri" w:cs="Calibri"/>
          <w:color w:val="000000"/>
          <w:sz w:val="22"/>
          <w:szCs w:val="22"/>
        </w:rPr>
        <w:t>Conclusion </w:t>
      </w:r>
    </w:p>
    <w:p w14:paraId="7DA533B7" w14:textId="17B1E268" w:rsidR="002537AA" w:rsidRPr="002D648A" w:rsidRDefault="004E0E7D" w:rsidP="002D648A">
      <w:pPr>
        <w:pStyle w:val="NormalWeb"/>
        <w:spacing w:before="0" w:beforeAutospacing="0" w:after="200" w:afterAutospacing="0"/>
      </w:pPr>
      <w:r>
        <w:rPr>
          <w:rFonts w:ascii="Calibri" w:hAnsi="Calibri" w:cs="Calibri"/>
          <w:color w:val="000000"/>
          <w:sz w:val="22"/>
          <w:szCs w:val="22"/>
        </w:rPr>
        <w:t>Adding market analysis and credit scoring capabilities will improve the finance team's  strategic decision-making ability while minimizing potential risk. However, to ensure the reliability and accuracy of the assessment process, continuous improvement, data quality control and ethical considerations are important. Finance teams can easily navigate the credit markets and capture profitable opportunities while minimizing potential risks by following best practices and remaining vigilant.</w:t>
      </w:r>
    </w:p>
    <w:p w14:paraId="14BCC7C7" w14:textId="77777777" w:rsidR="000B24FF" w:rsidRDefault="000B24FF" w:rsidP="00B21A83">
      <w:pPr>
        <w:snapToGrid w:val="0"/>
        <w:spacing w:after="0" w:line="240" w:lineRule="auto"/>
        <w:ind w:left="720"/>
        <w:rPr>
          <w:rFonts w:cstheme="minorHAnsi"/>
          <w:lang w:val="en-US"/>
        </w:rPr>
      </w:pPr>
    </w:p>
    <w:p w14:paraId="6B9A4EEC" w14:textId="77777777" w:rsidR="000B24FF" w:rsidRDefault="000B24FF" w:rsidP="00B21A83">
      <w:pPr>
        <w:snapToGrid w:val="0"/>
        <w:spacing w:after="0" w:line="240" w:lineRule="auto"/>
        <w:ind w:left="720"/>
        <w:rPr>
          <w:rFonts w:cstheme="minorHAnsi"/>
          <w:lang w:val="en-US"/>
        </w:rPr>
      </w:pPr>
    </w:p>
    <w:p w14:paraId="421D1DA5" w14:textId="77777777" w:rsidR="000B24FF" w:rsidRDefault="000B24FF" w:rsidP="00B21A83">
      <w:pPr>
        <w:snapToGrid w:val="0"/>
        <w:spacing w:after="0" w:line="240" w:lineRule="auto"/>
        <w:ind w:left="720"/>
        <w:rPr>
          <w:rFonts w:cstheme="minorHAnsi"/>
          <w:lang w:val="en-US"/>
        </w:rPr>
      </w:pPr>
    </w:p>
    <w:p w14:paraId="135B73B0" w14:textId="77777777" w:rsidR="000B24FF" w:rsidRDefault="000B24FF" w:rsidP="00B21A83">
      <w:pPr>
        <w:snapToGrid w:val="0"/>
        <w:spacing w:after="0" w:line="240" w:lineRule="auto"/>
        <w:ind w:left="720"/>
        <w:rPr>
          <w:rFonts w:cstheme="minorHAnsi"/>
          <w:lang w:val="en-US"/>
        </w:rPr>
      </w:pPr>
    </w:p>
    <w:p w14:paraId="4AFCCD59" w14:textId="77777777" w:rsidR="000B24FF" w:rsidRDefault="000B24FF" w:rsidP="00B21A83">
      <w:pPr>
        <w:snapToGrid w:val="0"/>
        <w:spacing w:after="0" w:line="240" w:lineRule="auto"/>
        <w:ind w:left="720"/>
        <w:rPr>
          <w:rFonts w:cstheme="minorHAnsi"/>
          <w:lang w:val="en-US"/>
        </w:rPr>
      </w:pPr>
    </w:p>
    <w:p w14:paraId="4FA3769A" w14:textId="77777777" w:rsidR="000B24FF" w:rsidRDefault="000B24FF" w:rsidP="00B21A83">
      <w:pPr>
        <w:snapToGrid w:val="0"/>
        <w:spacing w:after="0" w:line="240" w:lineRule="auto"/>
        <w:ind w:left="720"/>
        <w:rPr>
          <w:rFonts w:cstheme="minorHAnsi"/>
          <w:lang w:val="en-US"/>
        </w:rPr>
      </w:pPr>
    </w:p>
    <w:p w14:paraId="40158362" w14:textId="77777777" w:rsidR="00584AAE" w:rsidRPr="002D648A" w:rsidRDefault="00584AAE" w:rsidP="002D648A">
      <w:pPr>
        <w:snapToGrid w:val="0"/>
        <w:spacing w:after="0" w:line="240" w:lineRule="auto"/>
        <w:rPr>
          <w:rFonts w:cstheme="minorHAnsi"/>
          <w:b/>
          <w:bCs/>
          <w:lang w:val="en-US"/>
        </w:rPr>
      </w:pPr>
    </w:p>
    <w:p w14:paraId="77A00F2E" w14:textId="77777777" w:rsidR="00616AA8" w:rsidRDefault="00616AA8" w:rsidP="009F4DDF">
      <w:pPr>
        <w:pStyle w:val="ListParagraph"/>
        <w:snapToGrid w:val="0"/>
        <w:spacing w:after="0" w:line="240" w:lineRule="auto"/>
        <w:ind w:left="360"/>
        <w:contextualSpacing w:val="0"/>
        <w:rPr>
          <w:rFonts w:cstheme="minorHAnsi"/>
          <w:b/>
          <w:bCs/>
          <w:lang w:val="en-US"/>
        </w:rPr>
      </w:pPr>
    </w:p>
    <w:p w14:paraId="2BC4776B" w14:textId="77777777" w:rsidR="00616AA8" w:rsidRDefault="00616AA8" w:rsidP="009F4DDF">
      <w:pPr>
        <w:pStyle w:val="ListParagraph"/>
        <w:snapToGrid w:val="0"/>
        <w:spacing w:after="0" w:line="240" w:lineRule="auto"/>
        <w:ind w:left="360"/>
        <w:contextualSpacing w:val="0"/>
        <w:rPr>
          <w:rFonts w:cstheme="minorHAnsi"/>
          <w:b/>
          <w:bCs/>
          <w:lang w:val="en-US"/>
        </w:rPr>
      </w:pPr>
    </w:p>
    <w:p w14:paraId="18FB1D09" w14:textId="77777777" w:rsidR="00DE53BD" w:rsidRDefault="00DE53BD" w:rsidP="009F4DDF">
      <w:pPr>
        <w:pStyle w:val="ListParagraph"/>
        <w:snapToGrid w:val="0"/>
        <w:spacing w:after="0" w:line="240" w:lineRule="auto"/>
        <w:ind w:left="360"/>
        <w:contextualSpacing w:val="0"/>
        <w:rPr>
          <w:rFonts w:cstheme="minorHAnsi"/>
          <w:b/>
          <w:bCs/>
          <w:lang w:val="en-US"/>
        </w:rPr>
      </w:pPr>
    </w:p>
    <w:p w14:paraId="79A50581" w14:textId="77777777" w:rsidR="00F4266C" w:rsidRPr="00676FC1" w:rsidRDefault="00000000" w:rsidP="004E0E7D">
      <w:pPr>
        <w:pStyle w:val="ListParagraph"/>
        <w:numPr>
          <w:ilvl w:val="0"/>
          <w:numId w:val="1"/>
        </w:numPr>
        <w:snapToGrid w:val="0"/>
        <w:spacing w:after="0" w:line="240" w:lineRule="auto"/>
        <w:rPr>
          <w:rFonts w:cstheme="minorHAnsi"/>
          <w:b/>
          <w:bCs/>
          <w:sz w:val="28"/>
          <w:szCs w:val="28"/>
          <w:lang w:val="en-US"/>
        </w:rPr>
      </w:pPr>
      <w:r w:rsidRPr="00676FC1">
        <w:rPr>
          <w:rFonts w:cstheme="minorHAnsi"/>
          <w:b/>
          <w:bCs/>
          <w:sz w:val="28"/>
          <w:szCs w:val="28"/>
          <w:lang w:val="en-US"/>
        </w:rPr>
        <w:t xml:space="preserve">Step 6. </w:t>
      </w:r>
      <w:r w:rsidR="009F4DDF" w:rsidRPr="00676FC1">
        <w:rPr>
          <w:rFonts w:cstheme="minorHAnsi"/>
          <w:b/>
          <w:bCs/>
          <w:sz w:val="28"/>
          <w:szCs w:val="28"/>
          <w:lang w:val="en-US"/>
        </w:rPr>
        <w:t>Risk Management for security lending scenarios</w:t>
      </w:r>
      <w:r w:rsidR="00165AD1" w:rsidRPr="00676FC1">
        <w:rPr>
          <w:rFonts w:cstheme="minorHAnsi"/>
          <w:b/>
          <w:bCs/>
          <w:sz w:val="28"/>
          <w:szCs w:val="28"/>
          <w:lang w:val="en-US"/>
        </w:rPr>
        <w:t>.</w:t>
      </w:r>
    </w:p>
    <w:p w14:paraId="4AD124A4" w14:textId="77777777" w:rsidR="00BA5DD4" w:rsidRPr="006443F2" w:rsidRDefault="00000000" w:rsidP="004E0E7D">
      <w:pPr>
        <w:pStyle w:val="ListParagraph"/>
        <w:numPr>
          <w:ilvl w:val="1"/>
          <w:numId w:val="1"/>
        </w:numPr>
        <w:snapToGrid w:val="0"/>
        <w:spacing w:after="0" w:line="240" w:lineRule="auto"/>
        <w:contextualSpacing w:val="0"/>
        <w:rPr>
          <w:rFonts w:cstheme="minorHAnsi"/>
          <w:b/>
          <w:bCs/>
          <w:sz w:val="24"/>
          <w:szCs w:val="24"/>
          <w:lang w:val="en-US"/>
        </w:rPr>
      </w:pPr>
      <w:r w:rsidRPr="006443F2">
        <w:rPr>
          <w:rFonts w:cstheme="minorHAnsi"/>
          <w:b/>
          <w:bCs/>
          <w:sz w:val="24"/>
          <w:szCs w:val="24"/>
          <w:lang w:val="en-US"/>
        </w:rPr>
        <w:t>Student: Yhasreen</w:t>
      </w:r>
      <w:r w:rsidR="00C656AA" w:rsidRPr="006443F2">
        <w:rPr>
          <w:rFonts w:cstheme="minorHAnsi"/>
          <w:b/>
          <w:bCs/>
          <w:sz w:val="24"/>
          <w:szCs w:val="24"/>
          <w:lang w:val="en-US"/>
        </w:rPr>
        <w:t xml:space="preserve"> - </w:t>
      </w:r>
      <w:r w:rsidR="00E50DB3" w:rsidRPr="006443F2">
        <w:rPr>
          <w:rFonts w:cstheme="minorHAnsi"/>
          <w:b/>
          <w:bCs/>
          <w:sz w:val="24"/>
          <w:szCs w:val="24"/>
          <w:lang w:val="en-US"/>
        </w:rPr>
        <w:t xml:space="preserve">AAPL </w:t>
      </w:r>
      <w:r w:rsidR="00B073C0" w:rsidRPr="006443F2">
        <w:rPr>
          <w:rFonts w:cstheme="minorHAnsi"/>
          <w:b/>
          <w:bCs/>
          <w:sz w:val="24"/>
          <w:szCs w:val="24"/>
          <w:lang w:val="en-US"/>
        </w:rPr>
        <w:t>Equity</w:t>
      </w:r>
      <w:r w:rsidRPr="006443F2">
        <w:rPr>
          <w:rFonts w:cstheme="minorHAnsi"/>
          <w:b/>
          <w:bCs/>
          <w:sz w:val="24"/>
          <w:szCs w:val="24"/>
          <w:lang w:val="en-US"/>
        </w:rPr>
        <w:t xml:space="preserve"> Investment</w:t>
      </w:r>
      <w:r w:rsidR="00165AD1" w:rsidRPr="006443F2">
        <w:rPr>
          <w:rFonts w:cstheme="minorHAnsi"/>
          <w:b/>
          <w:bCs/>
          <w:sz w:val="24"/>
          <w:szCs w:val="24"/>
          <w:lang w:val="en-US"/>
        </w:rPr>
        <w:t xml:space="preserve"> </w:t>
      </w:r>
    </w:p>
    <w:p w14:paraId="54778E4E" w14:textId="77777777" w:rsidR="00730160" w:rsidRPr="00616AA8" w:rsidRDefault="00730160" w:rsidP="00730160">
      <w:pPr>
        <w:pStyle w:val="ListParagraph"/>
        <w:snapToGrid w:val="0"/>
        <w:spacing w:after="0" w:line="240" w:lineRule="auto"/>
        <w:ind w:left="936"/>
        <w:contextualSpacing w:val="0"/>
        <w:rPr>
          <w:rFonts w:cstheme="minorHAnsi"/>
          <w:b/>
          <w:bCs/>
          <w:lang w:val="en-US"/>
        </w:rPr>
      </w:pPr>
    </w:p>
    <w:p w14:paraId="099B214D" w14:textId="77777777" w:rsidR="00155FC7" w:rsidRPr="00616AA8" w:rsidRDefault="00000000" w:rsidP="004E0E7D">
      <w:pPr>
        <w:pStyle w:val="ListParagraph"/>
        <w:numPr>
          <w:ilvl w:val="2"/>
          <w:numId w:val="1"/>
        </w:numPr>
        <w:snapToGrid w:val="0"/>
        <w:spacing w:after="0" w:line="240" w:lineRule="auto"/>
        <w:contextualSpacing w:val="0"/>
        <w:rPr>
          <w:rFonts w:cstheme="minorHAnsi"/>
          <w:u w:val="single"/>
          <w:lang w:val="en-US"/>
        </w:rPr>
      </w:pPr>
      <w:r w:rsidRPr="00616AA8">
        <w:rPr>
          <w:rFonts w:cstheme="minorHAnsi"/>
          <w:u w:val="single"/>
          <w:lang w:val="en-US"/>
        </w:rPr>
        <w:t xml:space="preserve">Python </w:t>
      </w:r>
      <w:r w:rsidR="00A10B16" w:rsidRPr="00616AA8">
        <w:rPr>
          <w:rFonts w:cstheme="minorHAnsi"/>
          <w:u w:val="single"/>
          <w:lang w:val="en-US"/>
        </w:rPr>
        <w:t xml:space="preserve">Graphical </w:t>
      </w:r>
      <w:r w:rsidR="00676FC1" w:rsidRPr="00616AA8">
        <w:rPr>
          <w:rFonts w:cstheme="minorHAnsi"/>
          <w:u w:val="single"/>
          <w:lang w:val="en-US"/>
        </w:rPr>
        <w:t>Result</w:t>
      </w:r>
      <w:r w:rsidR="00CA5CEA" w:rsidRPr="00616AA8">
        <w:rPr>
          <w:rFonts w:cstheme="minorHAnsi"/>
          <w:u w:val="single"/>
          <w:lang w:val="en-US"/>
        </w:rPr>
        <w:t xml:space="preserve"> </w:t>
      </w:r>
      <w:r w:rsidR="00C911B0" w:rsidRPr="00616AA8">
        <w:rPr>
          <w:rFonts w:cstheme="minorHAnsi"/>
          <w:u w:val="single"/>
          <w:lang w:val="en-US"/>
        </w:rPr>
        <w:t>on propose AAPL investment strategies.</w:t>
      </w:r>
    </w:p>
    <w:p w14:paraId="1F594E15" w14:textId="77777777" w:rsidR="00927E1F" w:rsidRPr="00616AA8" w:rsidRDefault="00927E1F" w:rsidP="00927E1F">
      <w:pPr>
        <w:pStyle w:val="ListParagraph"/>
        <w:snapToGrid w:val="0"/>
        <w:spacing w:after="0" w:line="240" w:lineRule="auto"/>
        <w:ind w:left="1344"/>
        <w:contextualSpacing w:val="0"/>
        <w:rPr>
          <w:rFonts w:cstheme="minorHAnsi"/>
          <w:lang w:val="en-US"/>
        </w:rPr>
      </w:pPr>
    </w:p>
    <w:p w14:paraId="40153D91" w14:textId="77777777" w:rsidR="00B95285" w:rsidRDefault="00000000" w:rsidP="004E0E7D">
      <w:pPr>
        <w:pStyle w:val="ListParagraph"/>
        <w:numPr>
          <w:ilvl w:val="3"/>
          <w:numId w:val="1"/>
        </w:numPr>
        <w:snapToGrid w:val="0"/>
        <w:spacing w:after="0" w:line="240" w:lineRule="auto"/>
        <w:contextualSpacing w:val="0"/>
        <w:rPr>
          <w:rFonts w:cstheme="minorHAnsi"/>
          <w:sz w:val="20"/>
          <w:szCs w:val="20"/>
          <w:lang w:val="en-US"/>
        </w:rPr>
      </w:pPr>
      <w:r>
        <w:rPr>
          <w:noProof/>
        </w:rPr>
        <w:drawing>
          <wp:inline distT="0" distB="0" distL="0" distR="0" wp14:anchorId="67AD10E2" wp14:editId="756DA05D">
            <wp:extent cx="5256211" cy="2537827"/>
            <wp:effectExtent l="0" t="0" r="1905" b="0"/>
            <wp:docPr id="678358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58059"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90607" cy="2554434"/>
                    </a:xfrm>
                    <a:prstGeom prst="rect">
                      <a:avLst/>
                    </a:prstGeom>
                    <a:noFill/>
                    <a:ln>
                      <a:noFill/>
                    </a:ln>
                  </pic:spPr>
                </pic:pic>
              </a:graphicData>
            </a:graphic>
          </wp:inline>
        </w:drawing>
      </w:r>
    </w:p>
    <w:p w14:paraId="09E7B786" w14:textId="1FE062B2" w:rsidR="00BE0BAC" w:rsidRDefault="008A2003" w:rsidP="004E0E7D">
      <w:pPr>
        <w:pStyle w:val="ListParagraph"/>
        <w:numPr>
          <w:ilvl w:val="3"/>
          <w:numId w:val="1"/>
        </w:numPr>
        <w:snapToGrid w:val="0"/>
        <w:spacing w:after="0" w:line="240" w:lineRule="auto"/>
        <w:contextualSpacing w:val="0"/>
        <w:rPr>
          <w:rFonts w:cstheme="minorHAnsi"/>
          <w:sz w:val="20"/>
          <w:szCs w:val="20"/>
          <w:lang w:val="en-US"/>
        </w:rPr>
      </w:pPr>
      <w:r>
        <w:rPr>
          <w:noProof/>
        </w:rPr>
        <w:drawing>
          <wp:inline distT="0" distB="0" distL="0" distR="0" wp14:anchorId="7E37164F" wp14:editId="225FD820">
            <wp:extent cx="3943350" cy="704850"/>
            <wp:effectExtent l="0" t="0" r="0" b="0"/>
            <wp:docPr id="153833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32010" name=""/>
                    <pic:cNvPicPr/>
                  </pic:nvPicPr>
                  <pic:blipFill>
                    <a:blip r:embed="rId13"/>
                    <a:stretch>
                      <a:fillRect/>
                    </a:stretch>
                  </pic:blipFill>
                  <pic:spPr>
                    <a:xfrm>
                      <a:off x="0" y="0"/>
                      <a:ext cx="3943350" cy="704850"/>
                    </a:xfrm>
                    <a:prstGeom prst="rect">
                      <a:avLst/>
                    </a:prstGeom>
                  </pic:spPr>
                </pic:pic>
              </a:graphicData>
            </a:graphic>
          </wp:inline>
        </w:drawing>
      </w:r>
    </w:p>
    <w:p w14:paraId="19784CF9" w14:textId="77777777" w:rsidR="00730160" w:rsidRPr="00616AA8" w:rsidRDefault="00730160" w:rsidP="00730160">
      <w:pPr>
        <w:pStyle w:val="ListParagraph"/>
        <w:snapToGrid w:val="0"/>
        <w:spacing w:after="0" w:line="240" w:lineRule="auto"/>
        <w:ind w:left="1824"/>
        <w:contextualSpacing w:val="0"/>
        <w:rPr>
          <w:rFonts w:cstheme="minorHAnsi"/>
          <w:lang w:val="en-US"/>
        </w:rPr>
      </w:pPr>
    </w:p>
    <w:p w14:paraId="6FB5FEF4" w14:textId="77777777" w:rsidR="00EB1756" w:rsidRPr="00616AA8" w:rsidRDefault="00000000" w:rsidP="004E0E7D">
      <w:pPr>
        <w:pStyle w:val="ListParagraph"/>
        <w:numPr>
          <w:ilvl w:val="3"/>
          <w:numId w:val="1"/>
        </w:numPr>
        <w:snapToGrid w:val="0"/>
        <w:spacing w:after="0" w:line="240" w:lineRule="auto"/>
        <w:contextualSpacing w:val="0"/>
        <w:rPr>
          <w:rFonts w:cstheme="minorHAnsi"/>
          <w:color w:val="00B050"/>
          <w:lang w:val="en-US"/>
        </w:rPr>
      </w:pPr>
      <w:r w:rsidRPr="00616AA8">
        <w:rPr>
          <w:rFonts w:cstheme="minorHAnsi"/>
          <w:lang w:val="en-US"/>
        </w:rPr>
        <w:t>Python code that simulates an AAPL equity investment strategy, encapsulating ethical considerations</w:t>
      </w:r>
      <w:r w:rsidR="00CA5CEA" w:rsidRPr="00616AA8">
        <w:rPr>
          <w:rFonts w:cstheme="minorHAnsi"/>
          <w:lang w:val="en-US"/>
        </w:rPr>
        <w:t xml:space="preserve"> </w:t>
      </w:r>
      <w:r w:rsidRPr="00616AA8">
        <w:rPr>
          <w:rFonts w:cstheme="minorHAnsi"/>
          <w:lang w:val="en-US"/>
        </w:rPr>
        <w:t xml:space="preserve">surrounding data collection based on </w:t>
      </w:r>
      <w:r w:rsidR="00CA5CEA" w:rsidRPr="00616AA8">
        <w:rPr>
          <w:rFonts w:cstheme="minorHAnsi"/>
          <w:lang w:val="en-US"/>
        </w:rPr>
        <w:t xml:space="preserve">market sentiment. Market sentiment data is vile with deceptive propaganda propagation and fake news. </w:t>
      </w:r>
      <w:r w:rsidR="0020661D" w:rsidRPr="00616AA8">
        <w:rPr>
          <w:rFonts w:cstheme="minorHAnsi"/>
          <w:lang w:val="en-US"/>
        </w:rPr>
        <w:t>T</w:t>
      </w:r>
      <w:r w:rsidRPr="00616AA8">
        <w:rPr>
          <w:rFonts w:cstheme="minorHAnsi"/>
          <w:lang w:val="en-US"/>
        </w:rPr>
        <w:t>he proposed investment strategies would encapsulate various stages, from data collection to signal validation and final visualization. This schema can be visually interpreted through a flowchart tool for a more straightforward comprehension.</w:t>
      </w:r>
      <w:r w:rsidRPr="00616AA8">
        <w:rPr>
          <w:rFonts w:cstheme="minorHAnsi"/>
          <w:color w:val="00B050"/>
          <w:lang w:val="en-US"/>
        </w:rPr>
        <w:t xml:space="preserve"> </w:t>
      </w:r>
    </w:p>
    <w:p w14:paraId="2FD7A507" w14:textId="77777777" w:rsidR="005E55D3" w:rsidRDefault="005E55D3" w:rsidP="00EB1756">
      <w:pPr>
        <w:pStyle w:val="ListParagraph"/>
        <w:snapToGrid w:val="0"/>
        <w:spacing w:after="0" w:line="240" w:lineRule="auto"/>
        <w:ind w:left="1824"/>
        <w:contextualSpacing w:val="0"/>
        <w:rPr>
          <w:rFonts w:cstheme="minorHAnsi"/>
          <w:color w:val="00B050"/>
          <w:lang w:val="en-US"/>
        </w:rPr>
      </w:pPr>
    </w:p>
    <w:p w14:paraId="2F47F762" w14:textId="77777777" w:rsidR="00676FC1" w:rsidRPr="00616AA8" w:rsidRDefault="00000000" w:rsidP="004E0E7D">
      <w:pPr>
        <w:pStyle w:val="ListParagraph"/>
        <w:numPr>
          <w:ilvl w:val="2"/>
          <w:numId w:val="1"/>
        </w:numPr>
        <w:snapToGrid w:val="0"/>
        <w:spacing w:after="0" w:line="240" w:lineRule="auto"/>
        <w:contextualSpacing w:val="0"/>
        <w:rPr>
          <w:rFonts w:cstheme="minorHAnsi"/>
          <w:u w:val="single"/>
          <w:lang w:val="en-US"/>
        </w:rPr>
      </w:pPr>
      <w:r w:rsidRPr="00616AA8">
        <w:rPr>
          <w:rFonts w:cstheme="minorHAnsi"/>
          <w:u w:val="single"/>
          <w:lang w:val="en-US"/>
        </w:rPr>
        <w:t>Workflow diagram</w:t>
      </w:r>
      <w:r w:rsidR="00555BEB" w:rsidRPr="00616AA8">
        <w:rPr>
          <w:rFonts w:cstheme="minorHAnsi"/>
          <w:u w:val="single"/>
          <w:lang w:val="en-US"/>
        </w:rPr>
        <w:t xml:space="preserve"> on proposed AAPL </w:t>
      </w:r>
      <w:bookmarkStart w:id="1" w:name="_Hlk148436560"/>
      <w:r w:rsidR="00555BEB" w:rsidRPr="00616AA8">
        <w:rPr>
          <w:rFonts w:cstheme="minorHAnsi"/>
          <w:u w:val="single"/>
          <w:lang w:val="en-US"/>
        </w:rPr>
        <w:t>investment strategies.</w:t>
      </w:r>
      <w:bookmarkEnd w:id="1"/>
    </w:p>
    <w:p w14:paraId="76EA4244" w14:textId="77777777" w:rsidR="00676FC1" w:rsidRPr="00616AA8" w:rsidRDefault="00000000" w:rsidP="004E0E7D">
      <w:pPr>
        <w:pStyle w:val="ListParagraph"/>
        <w:numPr>
          <w:ilvl w:val="3"/>
          <w:numId w:val="1"/>
        </w:numPr>
        <w:snapToGrid w:val="0"/>
        <w:spacing w:after="0" w:line="240" w:lineRule="auto"/>
        <w:contextualSpacing w:val="0"/>
        <w:rPr>
          <w:rFonts w:cstheme="minorHAnsi"/>
          <w:lang w:val="en-US"/>
        </w:rPr>
      </w:pPr>
      <w:r w:rsidRPr="00616AA8">
        <w:rPr>
          <w:rFonts w:cstheme="minorHAnsi"/>
          <w:noProof/>
          <w:lang w:val="en-US"/>
        </w:rPr>
        <w:drawing>
          <wp:inline distT="0" distB="0" distL="0" distR="0" wp14:anchorId="3E564D69" wp14:editId="56B91D2A">
            <wp:extent cx="5372735" cy="3187700"/>
            <wp:effectExtent l="0" t="0" r="0" b="12700"/>
            <wp:docPr id="206968697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9638F27" w14:textId="77777777" w:rsidR="000B24FF" w:rsidRPr="000B24FF" w:rsidRDefault="000B24FF" w:rsidP="000B24FF">
      <w:pPr>
        <w:pStyle w:val="ListParagraph"/>
        <w:rPr>
          <w:rFonts w:cstheme="minorHAnsi"/>
          <w:lang w:val="en-US"/>
        </w:rPr>
      </w:pPr>
    </w:p>
    <w:p w14:paraId="6FA0B7D7" w14:textId="17AE199F" w:rsidR="004B56F6" w:rsidRPr="00616AA8" w:rsidRDefault="00000000" w:rsidP="004E0E7D">
      <w:pPr>
        <w:pStyle w:val="ListParagraph"/>
        <w:numPr>
          <w:ilvl w:val="3"/>
          <w:numId w:val="1"/>
        </w:numPr>
        <w:snapToGrid w:val="0"/>
        <w:spacing w:after="0" w:line="240" w:lineRule="auto"/>
        <w:rPr>
          <w:rFonts w:cstheme="minorHAnsi"/>
          <w:lang w:val="en-US"/>
        </w:rPr>
      </w:pPr>
      <w:r w:rsidRPr="00616AA8">
        <w:rPr>
          <w:rFonts w:cstheme="minorHAnsi"/>
          <w:lang w:val="en-US"/>
        </w:rPr>
        <w:lastRenderedPageBreak/>
        <w:t xml:space="preserve">This flowchart outlines a step-by-step process through which each investor instance navigates a series of ethical checks for data accuracy </w:t>
      </w:r>
      <w:r w:rsidR="00D13766" w:rsidRPr="00616AA8">
        <w:rPr>
          <w:rFonts w:cstheme="minorHAnsi"/>
          <w:lang w:val="en-US"/>
        </w:rPr>
        <w:t xml:space="preserve">and privacy </w:t>
      </w:r>
      <w:r w:rsidRPr="00616AA8">
        <w:rPr>
          <w:rFonts w:cstheme="minorHAnsi"/>
          <w:lang w:val="en-US"/>
        </w:rPr>
        <w:t>before arriving at an investment decision based on the</w:t>
      </w:r>
      <w:r w:rsidR="000512CA" w:rsidRPr="00616AA8">
        <w:rPr>
          <w:rFonts w:cstheme="minorHAnsi"/>
          <w:lang w:val="en-US"/>
        </w:rPr>
        <w:t xml:space="preserve"> matching trading signals</w:t>
      </w:r>
      <w:r w:rsidRPr="00616AA8">
        <w:rPr>
          <w:rFonts w:cstheme="minorHAnsi"/>
          <w:lang w:val="en-US"/>
        </w:rPr>
        <w:t>.</w:t>
      </w:r>
    </w:p>
    <w:p w14:paraId="03B9A3CD" w14:textId="77777777" w:rsidR="00555BEB" w:rsidRPr="00616AA8" w:rsidRDefault="00555BEB" w:rsidP="004B56F6">
      <w:pPr>
        <w:pStyle w:val="ListParagraph"/>
        <w:snapToGrid w:val="0"/>
        <w:spacing w:after="0" w:line="240" w:lineRule="auto"/>
        <w:ind w:left="1824"/>
        <w:contextualSpacing w:val="0"/>
        <w:rPr>
          <w:rFonts w:cstheme="minorHAnsi"/>
          <w:lang w:val="en-US"/>
        </w:rPr>
      </w:pPr>
    </w:p>
    <w:p w14:paraId="03CDAA25" w14:textId="77777777" w:rsidR="00655908" w:rsidRPr="00616AA8" w:rsidRDefault="00000000" w:rsidP="004E0E7D">
      <w:pPr>
        <w:pStyle w:val="ListParagraph"/>
        <w:numPr>
          <w:ilvl w:val="3"/>
          <w:numId w:val="1"/>
        </w:numPr>
        <w:snapToGrid w:val="0"/>
        <w:spacing w:after="0" w:line="240" w:lineRule="auto"/>
        <w:contextualSpacing w:val="0"/>
        <w:rPr>
          <w:rFonts w:cstheme="minorHAnsi"/>
          <w:lang w:val="en-US"/>
        </w:rPr>
      </w:pPr>
      <w:r w:rsidRPr="00616AA8">
        <w:rPr>
          <w:rFonts w:cstheme="minorHAnsi"/>
          <w:b/>
          <w:bCs/>
          <w:lang w:val="en-US"/>
        </w:rPr>
        <w:t>Step 1.:</w:t>
      </w:r>
      <w:r w:rsidRPr="00616AA8">
        <w:rPr>
          <w:rFonts w:cstheme="minorHAnsi"/>
          <w:lang w:val="en-US"/>
        </w:rPr>
        <w:t xml:space="preserve"> </w:t>
      </w:r>
      <w:r w:rsidR="000469BC" w:rsidRPr="00616AA8">
        <w:rPr>
          <w:rFonts w:cstheme="minorHAnsi"/>
          <w:lang w:val="en-US"/>
        </w:rPr>
        <w:t>Gather</w:t>
      </w:r>
      <w:r w:rsidRPr="00616AA8">
        <w:rPr>
          <w:rFonts w:cstheme="minorHAnsi"/>
          <w:lang w:val="en-US"/>
        </w:rPr>
        <w:t xml:space="preserve"> AAPL </w:t>
      </w:r>
      <w:r w:rsidR="002D24EE" w:rsidRPr="00616AA8">
        <w:rPr>
          <w:rFonts w:cstheme="minorHAnsi"/>
          <w:lang w:val="en-US"/>
        </w:rPr>
        <w:t>equity</w:t>
      </w:r>
      <w:r w:rsidRPr="00616AA8">
        <w:rPr>
          <w:rFonts w:cstheme="minorHAnsi"/>
          <w:lang w:val="en-US"/>
        </w:rPr>
        <w:t xml:space="preserve"> price</w:t>
      </w:r>
      <w:r w:rsidR="002D24EE" w:rsidRPr="00616AA8">
        <w:rPr>
          <w:rFonts w:cstheme="minorHAnsi"/>
          <w:lang w:val="en-US"/>
        </w:rPr>
        <w:t xml:space="preserve"> </w:t>
      </w:r>
      <w:r w:rsidR="000469BC" w:rsidRPr="00616AA8">
        <w:rPr>
          <w:rFonts w:cstheme="minorHAnsi"/>
          <w:lang w:val="en-US"/>
        </w:rPr>
        <w:t xml:space="preserve">data </w:t>
      </w:r>
      <w:r w:rsidRPr="00616AA8">
        <w:rPr>
          <w:rFonts w:cstheme="minorHAnsi"/>
          <w:lang w:val="en-US"/>
        </w:rPr>
        <w:t>and</w:t>
      </w:r>
      <w:r w:rsidR="002D24EE" w:rsidRPr="00616AA8">
        <w:rPr>
          <w:rFonts w:cstheme="minorHAnsi"/>
          <w:lang w:val="en-US"/>
        </w:rPr>
        <w:t xml:space="preserve"> market sentiment data</w:t>
      </w:r>
      <w:r w:rsidRPr="00616AA8">
        <w:rPr>
          <w:rFonts w:cstheme="minorHAnsi"/>
          <w:lang w:val="en-US"/>
        </w:rPr>
        <w:t>.</w:t>
      </w:r>
    </w:p>
    <w:p w14:paraId="0405098A" w14:textId="77777777" w:rsidR="00730160" w:rsidRPr="00616AA8" w:rsidRDefault="00730160" w:rsidP="00730160">
      <w:pPr>
        <w:pStyle w:val="ListParagraph"/>
        <w:snapToGrid w:val="0"/>
        <w:spacing w:after="0" w:line="240" w:lineRule="auto"/>
        <w:ind w:left="1824"/>
        <w:contextualSpacing w:val="0"/>
        <w:rPr>
          <w:rFonts w:cstheme="minorHAnsi"/>
          <w:lang w:val="en-US"/>
        </w:rPr>
      </w:pPr>
    </w:p>
    <w:p w14:paraId="504B9A2B" w14:textId="77777777" w:rsidR="00FE09D3" w:rsidRPr="00616AA8" w:rsidRDefault="00000000" w:rsidP="004E0E7D">
      <w:pPr>
        <w:pStyle w:val="ListParagraph"/>
        <w:numPr>
          <w:ilvl w:val="3"/>
          <w:numId w:val="1"/>
        </w:numPr>
        <w:snapToGrid w:val="0"/>
        <w:spacing w:after="0" w:line="240" w:lineRule="auto"/>
        <w:rPr>
          <w:rFonts w:cstheme="minorHAnsi"/>
          <w:lang w:val="en-US"/>
        </w:rPr>
      </w:pPr>
      <w:r w:rsidRPr="00616AA8">
        <w:rPr>
          <w:rFonts w:cstheme="minorHAnsi"/>
          <w:b/>
          <w:bCs/>
          <w:lang w:val="en-US"/>
        </w:rPr>
        <w:t>Step 2.:</w:t>
      </w:r>
      <w:r w:rsidRPr="00616AA8">
        <w:rPr>
          <w:rFonts w:cstheme="minorHAnsi"/>
          <w:lang w:val="en-US"/>
        </w:rPr>
        <w:t xml:space="preserve"> Calculate Technical Indicator</w:t>
      </w:r>
    </w:p>
    <w:p w14:paraId="7F6655CF" w14:textId="77777777" w:rsidR="00FE09D3" w:rsidRPr="00616AA8" w:rsidRDefault="00000000" w:rsidP="004E0E7D">
      <w:pPr>
        <w:pStyle w:val="ListParagraph"/>
        <w:numPr>
          <w:ilvl w:val="4"/>
          <w:numId w:val="1"/>
        </w:numPr>
        <w:snapToGrid w:val="0"/>
        <w:spacing w:after="0" w:line="240" w:lineRule="auto"/>
        <w:rPr>
          <w:rFonts w:cstheme="minorHAnsi"/>
          <w:lang w:val="en-US"/>
        </w:rPr>
      </w:pPr>
      <w:r w:rsidRPr="00616AA8">
        <w:rPr>
          <w:rFonts w:cstheme="minorHAnsi"/>
          <w:lang w:val="en-US"/>
        </w:rPr>
        <w:t>Calculate the 14-day moving average.</w:t>
      </w:r>
    </w:p>
    <w:p w14:paraId="13F6DF83" w14:textId="77777777" w:rsidR="00655908" w:rsidRPr="00616AA8" w:rsidRDefault="00000000" w:rsidP="004E0E7D">
      <w:pPr>
        <w:pStyle w:val="ListParagraph"/>
        <w:numPr>
          <w:ilvl w:val="4"/>
          <w:numId w:val="1"/>
        </w:numPr>
        <w:snapToGrid w:val="0"/>
        <w:spacing w:after="0" w:line="240" w:lineRule="auto"/>
        <w:contextualSpacing w:val="0"/>
        <w:rPr>
          <w:rFonts w:cstheme="minorHAnsi"/>
          <w:lang w:val="en-US"/>
        </w:rPr>
      </w:pPr>
      <w:r w:rsidRPr="00616AA8">
        <w:rPr>
          <w:rFonts w:cstheme="minorHAnsi"/>
          <w:lang w:val="en-US"/>
        </w:rPr>
        <w:t>Calculate the Relative Strength Index</w:t>
      </w:r>
      <w:r w:rsidR="009777E2" w:rsidRPr="00616AA8">
        <w:rPr>
          <w:rFonts w:cstheme="minorHAnsi"/>
          <w:lang w:val="en-US"/>
        </w:rPr>
        <w:t>, RSI</w:t>
      </w:r>
      <w:r w:rsidRPr="00616AA8">
        <w:rPr>
          <w:rFonts w:cstheme="minorHAnsi"/>
          <w:lang w:val="en-US"/>
        </w:rPr>
        <w:t>.</w:t>
      </w:r>
    </w:p>
    <w:p w14:paraId="00E95B11" w14:textId="77777777" w:rsidR="008E1276" w:rsidRDefault="00000000" w:rsidP="004E0E7D">
      <w:pPr>
        <w:pStyle w:val="ListParagraph"/>
        <w:numPr>
          <w:ilvl w:val="4"/>
          <w:numId w:val="1"/>
        </w:numPr>
        <w:snapToGrid w:val="0"/>
        <w:spacing w:after="0" w:line="240" w:lineRule="auto"/>
        <w:contextualSpacing w:val="0"/>
        <w:rPr>
          <w:rFonts w:cstheme="minorHAnsi"/>
          <w:lang w:val="en-US"/>
        </w:rPr>
      </w:pPr>
      <w:r w:rsidRPr="00616AA8">
        <w:rPr>
          <w:rFonts w:cstheme="minorHAnsi"/>
          <w:lang w:val="en-US"/>
        </w:rPr>
        <w:t>Calculate Bolinger Band</w:t>
      </w:r>
    </w:p>
    <w:p w14:paraId="1BD3426C" w14:textId="77777777" w:rsidR="00347490" w:rsidRPr="00616AA8" w:rsidRDefault="00347490" w:rsidP="00347490">
      <w:pPr>
        <w:pStyle w:val="ListParagraph"/>
        <w:numPr>
          <w:ilvl w:val="4"/>
          <w:numId w:val="1"/>
        </w:numPr>
        <w:snapToGrid w:val="0"/>
        <w:spacing w:after="0" w:line="240" w:lineRule="auto"/>
        <w:rPr>
          <w:rFonts w:cstheme="minorHAnsi"/>
          <w:lang w:val="en-US"/>
        </w:rPr>
      </w:pPr>
      <w:r w:rsidRPr="00616AA8">
        <w:rPr>
          <w:rFonts w:cstheme="minorHAnsi"/>
          <w:lang w:val="en-US"/>
        </w:rPr>
        <w:t xml:space="preserve">Identify if there is a mismatch between the generated market sentiment signal and the confirmed signal based on technical indicators. </w:t>
      </w:r>
    </w:p>
    <w:p w14:paraId="7508285F" w14:textId="77777777" w:rsidR="00347490" w:rsidRPr="00616AA8" w:rsidRDefault="00347490" w:rsidP="00347490">
      <w:pPr>
        <w:pStyle w:val="ListParagraph"/>
        <w:numPr>
          <w:ilvl w:val="4"/>
          <w:numId w:val="1"/>
        </w:numPr>
        <w:snapToGrid w:val="0"/>
        <w:spacing w:after="0" w:line="240" w:lineRule="auto"/>
        <w:rPr>
          <w:rFonts w:cstheme="minorHAnsi"/>
          <w:lang w:val="en-US"/>
        </w:rPr>
      </w:pPr>
      <w:r w:rsidRPr="00616AA8">
        <w:rPr>
          <w:rFonts w:cstheme="minorHAnsi"/>
          <w:lang w:val="en-US"/>
        </w:rPr>
        <w:t>Yes: match confirmation between market sentiment and price movement to invest.</w:t>
      </w:r>
    </w:p>
    <w:p w14:paraId="5501A911" w14:textId="77777777" w:rsidR="00347490" w:rsidRDefault="00347490" w:rsidP="00347490">
      <w:pPr>
        <w:pStyle w:val="ListParagraph"/>
        <w:numPr>
          <w:ilvl w:val="4"/>
          <w:numId w:val="1"/>
        </w:numPr>
        <w:snapToGrid w:val="0"/>
        <w:spacing w:after="0" w:line="240" w:lineRule="auto"/>
        <w:contextualSpacing w:val="0"/>
        <w:rPr>
          <w:rFonts w:cstheme="minorHAnsi"/>
          <w:lang w:val="en-US"/>
        </w:rPr>
      </w:pPr>
      <w:r w:rsidRPr="00616AA8">
        <w:rPr>
          <w:rFonts w:cstheme="minorHAnsi"/>
          <w:lang w:val="en-US"/>
        </w:rPr>
        <w:t>No: mismatch between market sentiment and price movement to invest.</w:t>
      </w:r>
    </w:p>
    <w:p w14:paraId="135750AD" w14:textId="77777777" w:rsidR="00B87C61" w:rsidRPr="00616AA8" w:rsidRDefault="00B87C61" w:rsidP="00B87C61">
      <w:pPr>
        <w:pStyle w:val="ListParagraph"/>
        <w:rPr>
          <w:rFonts w:cstheme="minorHAnsi"/>
          <w:b/>
          <w:bCs/>
          <w:lang w:val="en-US"/>
        </w:rPr>
      </w:pPr>
    </w:p>
    <w:p w14:paraId="17BECADA" w14:textId="77777777" w:rsidR="00BC6816" w:rsidRPr="00616AA8" w:rsidRDefault="00000000" w:rsidP="004E0E7D">
      <w:pPr>
        <w:pStyle w:val="ListParagraph"/>
        <w:numPr>
          <w:ilvl w:val="3"/>
          <w:numId w:val="1"/>
        </w:numPr>
        <w:snapToGrid w:val="0"/>
        <w:spacing w:after="0" w:line="240" w:lineRule="auto"/>
        <w:rPr>
          <w:rFonts w:cstheme="minorHAnsi"/>
          <w:lang w:val="en-US"/>
        </w:rPr>
      </w:pPr>
      <w:r w:rsidRPr="00616AA8">
        <w:rPr>
          <w:rFonts w:cstheme="minorHAnsi"/>
          <w:b/>
          <w:bCs/>
          <w:lang w:val="en-US"/>
        </w:rPr>
        <w:t>Step 3.:</w:t>
      </w:r>
      <w:r w:rsidRPr="00616AA8">
        <w:rPr>
          <w:rFonts w:cstheme="minorHAnsi"/>
          <w:lang w:val="en-US"/>
        </w:rPr>
        <w:t xml:space="preserve"> Ethical Data Considerations</w:t>
      </w:r>
    </w:p>
    <w:p w14:paraId="0D78CF8C" w14:textId="77777777" w:rsidR="00BC6816" w:rsidRPr="00616AA8" w:rsidRDefault="00000000" w:rsidP="004E0E7D">
      <w:pPr>
        <w:pStyle w:val="ListParagraph"/>
        <w:numPr>
          <w:ilvl w:val="4"/>
          <w:numId w:val="1"/>
        </w:numPr>
        <w:snapToGrid w:val="0"/>
        <w:spacing w:after="0" w:line="240" w:lineRule="auto"/>
        <w:rPr>
          <w:rFonts w:cstheme="minorHAnsi"/>
          <w:lang w:val="en-US"/>
        </w:rPr>
      </w:pPr>
      <w:r w:rsidRPr="00616AA8">
        <w:rPr>
          <w:rFonts w:cstheme="minorHAnsi"/>
          <w:lang w:val="en-US"/>
        </w:rPr>
        <w:t>Data Accuracy Validation</w:t>
      </w:r>
    </w:p>
    <w:p w14:paraId="6EBEEE7C" w14:textId="55E20993" w:rsidR="00BC6816" w:rsidRPr="00616AA8" w:rsidRDefault="00000000" w:rsidP="004E0E7D">
      <w:pPr>
        <w:pStyle w:val="ListParagraph"/>
        <w:numPr>
          <w:ilvl w:val="5"/>
          <w:numId w:val="1"/>
        </w:numPr>
        <w:snapToGrid w:val="0"/>
        <w:spacing w:after="0" w:line="240" w:lineRule="auto"/>
        <w:rPr>
          <w:rFonts w:cstheme="minorHAnsi"/>
          <w:lang w:val="en-US"/>
        </w:rPr>
      </w:pPr>
      <w:r w:rsidRPr="00616AA8">
        <w:rPr>
          <w:rFonts w:cstheme="minorHAnsi"/>
          <w:lang w:val="en-US"/>
        </w:rPr>
        <w:t xml:space="preserve">Is the stock price </w:t>
      </w:r>
      <w:r w:rsidR="004432D5" w:rsidRPr="00616AA8">
        <w:rPr>
          <w:rFonts w:cstheme="minorHAnsi"/>
          <w:lang w:val="en-US"/>
        </w:rPr>
        <w:t>containing</w:t>
      </w:r>
      <w:r w:rsidR="00004014">
        <w:rPr>
          <w:rFonts w:cstheme="minorHAnsi"/>
          <w:lang w:val="en-US"/>
        </w:rPr>
        <w:t xml:space="preserve"> any missing or null</w:t>
      </w:r>
      <w:r w:rsidR="004432D5" w:rsidRPr="00616AA8">
        <w:rPr>
          <w:rFonts w:cstheme="minorHAnsi"/>
          <w:lang w:val="en-US"/>
        </w:rPr>
        <w:t xml:space="preserve"> values</w:t>
      </w:r>
      <w:r w:rsidRPr="00616AA8">
        <w:rPr>
          <w:rFonts w:cstheme="minorHAnsi"/>
          <w:lang w:val="en-US"/>
        </w:rPr>
        <w:t>?</w:t>
      </w:r>
    </w:p>
    <w:p w14:paraId="2DCFEB38" w14:textId="77777777" w:rsidR="00BC6816" w:rsidRPr="00616AA8" w:rsidRDefault="00000000" w:rsidP="004E0E7D">
      <w:pPr>
        <w:pStyle w:val="ListParagraph"/>
        <w:numPr>
          <w:ilvl w:val="5"/>
          <w:numId w:val="1"/>
        </w:numPr>
        <w:snapToGrid w:val="0"/>
        <w:spacing w:after="0" w:line="240" w:lineRule="auto"/>
        <w:rPr>
          <w:rFonts w:cstheme="minorHAnsi"/>
          <w:lang w:val="en-US"/>
        </w:rPr>
      </w:pPr>
      <w:r w:rsidRPr="00616AA8">
        <w:rPr>
          <w:rFonts w:cstheme="minorHAnsi"/>
          <w:lang w:val="en-US"/>
        </w:rPr>
        <w:t>Yes: Continue</w:t>
      </w:r>
    </w:p>
    <w:p w14:paraId="1C7F8F40" w14:textId="77777777" w:rsidR="004432D5" w:rsidRPr="00616AA8" w:rsidRDefault="00000000" w:rsidP="004E0E7D">
      <w:pPr>
        <w:pStyle w:val="ListParagraph"/>
        <w:numPr>
          <w:ilvl w:val="5"/>
          <w:numId w:val="1"/>
        </w:numPr>
        <w:snapToGrid w:val="0"/>
        <w:spacing w:after="0" w:line="240" w:lineRule="auto"/>
        <w:rPr>
          <w:rFonts w:cstheme="minorHAnsi"/>
          <w:lang w:val="en-US"/>
        </w:rPr>
      </w:pPr>
      <w:r w:rsidRPr="00616AA8">
        <w:rPr>
          <w:rFonts w:cstheme="minorHAnsi"/>
          <w:lang w:val="en-US"/>
        </w:rPr>
        <w:t>No: Throw error, abort operation</w:t>
      </w:r>
    </w:p>
    <w:p w14:paraId="64A73DCC" w14:textId="77777777" w:rsidR="00BC6816" w:rsidRPr="00616AA8" w:rsidRDefault="00000000" w:rsidP="004E0E7D">
      <w:pPr>
        <w:pStyle w:val="ListParagraph"/>
        <w:numPr>
          <w:ilvl w:val="5"/>
          <w:numId w:val="1"/>
        </w:numPr>
        <w:snapToGrid w:val="0"/>
        <w:spacing w:after="0" w:line="240" w:lineRule="auto"/>
        <w:rPr>
          <w:rFonts w:cstheme="minorHAnsi"/>
          <w:lang w:val="en-US"/>
        </w:rPr>
      </w:pPr>
      <w:r w:rsidRPr="00616AA8">
        <w:rPr>
          <w:rFonts w:cstheme="minorHAnsi"/>
          <w:lang w:val="en-US"/>
        </w:rPr>
        <w:t>Check if the data retrieved are accurate, as inaccurate data can lead to wrong decisions.</w:t>
      </w:r>
    </w:p>
    <w:p w14:paraId="7EFABA1C" w14:textId="77777777" w:rsidR="004432D5" w:rsidRPr="00616AA8" w:rsidRDefault="004432D5" w:rsidP="004432D5">
      <w:pPr>
        <w:pStyle w:val="ListParagraph"/>
        <w:snapToGrid w:val="0"/>
        <w:spacing w:after="0" w:line="240" w:lineRule="auto"/>
        <w:ind w:left="2784"/>
        <w:rPr>
          <w:rFonts w:cstheme="minorHAnsi"/>
          <w:lang w:val="en-US"/>
        </w:rPr>
      </w:pPr>
    </w:p>
    <w:p w14:paraId="73C2BFCD" w14:textId="77777777" w:rsidR="00BC6816" w:rsidRPr="00616AA8" w:rsidRDefault="00000000" w:rsidP="004E0E7D">
      <w:pPr>
        <w:pStyle w:val="ListParagraph"/>
        <w:numPr>
          <w:ilvl w:val="4"/>
          <w:numId w:val="1"/>
        </w:numPr>
        <w:snapToGrid w:val="0"/>
        <w:spacing w:after="0" w:line="240" w:lineRule="auto"/>
        <w:rPr>
          <w:rFonts w:cstheme="minorHAnsi"/>
          <w:lang w:val="en-US"/>
        </w:rPr>
      </w:pPr>
      <w:r w:rsidRPr="00616AA8">
        <w:rPr>
          <w:rFonts w:cstheme="minorHAnsi"/>
          <w:lang w:val="en-US"/>
        </w:rPr>
        <w:t>Data Privacy Restriction</w:t>
      </w:r>
    </w:p>
    <w:p w14:paraId="11451097" w14:textId="77777777" w:rsidR="004432D5" w:rsidRPr="00616AA8" w:rsidRDefault="00000000" w:rsidP="004E0E7D">
      <w:pPr>
        <w:pStyle w:val="ListParagraph"/>
        <w:numPr>
          <w:ilvl w:val="5"/>
          <w:numId w:val="1"/>
        </w:numPr>
        <w:snapToGrid w:val="0"/>
        <w:spacing w:after="0" w:line="240" w:lineRule="auto"/>
        <w:rPr>
          <w:rFonts w:cstheme="minorHAnsi"/>
          <w:lang w:val="en-US"/>
        </w:rPr>
      </w:pPr>
      <w:r w:rsidRPr="00616AA8">
        <w:rPr>
          <w:rFonts w:cstheme="minorHAnsi"/>
          <w:lang w:val="en-US"/>
        </w:rPr>
        <w:t xml:space="preserve">Remove sensitive data </w:t>
      </w:r>
      <w:r w:rsidR="00DC367D" w:rsidRPr="00616AA8">
        <w:rPr>
          <w:rFonts w:cstheme="minorHAnsi"/>
          <w:lang w:val="en-US"/>
        </w:rPr>
        <w:t xml:space="preserve">such as </w:t>
      </w:r>
      <w:r w:rsidRPr="00616AA8">
        <w:rPr>
          <w:rFonts w:cstheme="minorHAnsi"/>
          <w:lang w:val="en-US"/>
        </w:rPr>
        <w:t>insider information for unauthorized investors.</w:t>
      </w:r>
    </w:p>
    <w:p w14:paraId="219A20BD" w14:textId="77777777" w:rsidR="00BC6816" w:rsidRPr="00616AA8" w:rsidRDefault="00000000" w:rsidP="004E0E7D">
      <w:pPr>
        <w:pStyle w:val="ListParagraph"/>
        <w:numPr>
          <w:ilvl w:val="5"/>
          <w:numId w:val="1"/>
        </w:numPr>
        <w:snapToGrid w:val="0"/>
        <w:spacing w:after="0" w:line="240" w:lineRule="auto"/>
        <w:rPr>
          <w:rFonts w:cstheme="minorHAnsi"/>
          <w:lang w:val="en-US"/>
        </w:rPr>
      </w:pPr>
      <w:r w:rsidRPr="00616AA8">
        <w:rPr>
          <w:rFonts w:cstheme="minorHAnsi"/>
          <w:lang w:val="en-US"/>
        </w:rPr>
        <w:t>The removal process ensures that only authorized personnel can access sensitive or insider information.</w:t>
      </w:r>
    </w:p>
    <w:p w14:paraId="30E6A8C2" w14:textId="77777777" w:rsidR="004432D5" w:rsidRPr="00616AA8" w:rsidRDefault="004432D5" w:rsidP="004432D5">
      <w:pPr>
        <w:pStyle w:val="ListParagraph"/>
        <w:snapToGrid w:val="0"/>
        <w:spacing w:after="0" w:line="240" w:lineRule="auto"/>
        <w:ind w:left="2784"/>
        <w:rPr>
          <w:rFonts w:cstheme="minorHAnsi"/>
          <w:lang w:val="en-US"/>
        </w:rPr>
      </w:pPr>
    </w:p>
    <w:p w14:paraId="1BE4F9DD" w14:textId="77777777" w:rsidR="00BC6816" w:rsidRPr="00616AA8" w:rsidRDefault="00000000" w:rsidP="004E0E7D">
      <w:pPr>
        <w:pStyle w:val="ListParagraph"/>
        <w:numPr>
          <w:ilvl w:val="4"/>
          <w:numId w:val="1"/>
        </w:numPr>
        <w:snapToGrid w:val="0"/>
        <w:spacing w:after="0" w:line="240" w:lineRule="auto"/>
        <w:rPr>
          <w:rFonts w:cstheme="minorHAnsi"/>
          <w:lang w:val="en-US"/>
        </w:rPr>
      </w:pPr>
      <w:r w:rsidRPr="00616AA8">
        <w:rPr>
          <w:rFonts w:cstheme="minorHAnsi"/>
          <w:lang w:val="en-US"/>
        </w:rPr>
        <w:t>Information Symmetry</w:t>
      </w:r>
    </w:p>
    <w:p w14:paraId="3A524F87" w14:textId="77777777" w:rsidR="00BC6816" w:rsidRPr="00616AA8" w:rsidRDefault="00000000" w:rsidP="004E0E7D">
      <w:pPr>
        <w:pStyle w:val="ListParagraph"/>
        <w:numPr>
          <w:ilvl w:val="5"/>
          <w:numId w:val="1"/>
        </w:numPr>
        <w:snapToGrid w:val="0"/>
        <w:spacing w:after="0" w:line="240" w:lineRule="auto"/>
        <w:rPr>
          <w:rFonts w:cstheme="minorHAnsi"/>
          <w:lang w:val="en-US"/>
        </w:rPr>
      </w:pPr>
      <w:r w:rsidRPr="00616AA8">
        <w:rPr>
          <w:rFonts w:cstheme="minorHAnsi"/>
          <w:lang w:val="en-US"/>
        </w:rPr>
        <w:t>Is sensitive information accessible only to authorized investors?</w:t>
      </w:r>
    </w:p>
    <w:p w14:paraId="02C1C962" w14:textId="77777777" w:rsidR="00BC6816" w:rsidRPr="00616AA8" w:rsidRDefault="00000000" w:rsidP="004E0E7D">
      <w:pPr>
        <w:pStyle w:val="ListParagraph"/>
        <w:numPr>
          <w:ilvl w:val="5"/>
          <w:numId w:val="1"/>
        </w:numPr>
        <w:snapToGrid w:val="0"/>
        <w:spacing w:after="0" w:line="240" w:lineRule="auto"/>
        <w:rPr>
          <w:rFonts w:cstheme="minorHAnsi"/>
          <w:lang w:val="en-US"/>
        </w:rPr>
      </w:pPr>
      <w:r w:rsidRPr="00616AA8">
        <w:rPr>
          <w:rFonts w:cstheme="minorHAnsi"/>
          <w:lang w:val="en-US"/>
        </w:rPr>
        <w:t>Yes: Continue</w:t>
      </w:r>
    </w:p>
    <w:p w14:paraId="5F57782F" w14:textId="77777777" w:rsidR="004432D5" w:rsidRPr="00616AA8" w:rsidRDefault="00000000" w:rsidP="004E0E7D">
      <w:pPr>
        <w:pStyle w:val="ListParagraph"/>
        <w:numPr>
          <w:ilvl w:val="5"/>
          <w:numId w:val="1"/>
        </w:numPr>
        <w:snapToGrid w:val="0"/>
        <w:spacing w:after="0" w:line="240" w:lineRule="auto"/>
        <w:contextualSpacing w:val="0"/>
        <w:rPr>
          <w:rFonts w:cstheme="minorHAnsi"/>
          <w:lang w:val="en-US"/>
        </w:rPr>
      </w:pPr>
      <w:r w:rsidRPr="00616AA8">
        <w:rPr>
          <w:rFonts w:cstheme="minorHAnsi"/>
          <w:lang w:val="en-US"/>
        </w:rPr>
        <w:t>No: Throw error, abort operation</w:t>
      </w:r>
    </w:p>
    <w:p w14:paraId="39AA9D23" w14:textId="77777777" w:rsidR="00B64BD9" w:rsidRPr="00616AA8" w:rsidRDefault="00000000" w:rsidP="004E0E7D">
      <w:pPr>
        <w:pStyle w:val="ListParagraph"/>
        <w:numPr>
          <w:ilvl w:val="5"/>
          <w:numId w:val="1"/>
        </w:numPr>
        <w:snapToGrid w:val="0"/>
        <w:spacing w:after="0" w:line="240" w:lineRule="auto"/>
        <w:contextualSpacing w:val="0"/>
        <w:rPr>
          <w:rFonts w:cstheme="minorHAnsi"/>
          <w:lang w:val="en-US"/>
        </w:rPr>
      </w:pPr>
      <w:r w:rsidRPr="00616AA8">
        <w:rPr>
          <w:rFonts w:cstheme="minorHAnsi"/>
          <w:lang w:val="en-US"/>
        </w:rPr>
        <w:t>Sensitivity accessibility ensures that insider information is not unfairly provided to one type of investor, maintaining a level playing field.</w:t>
      </w:r>
    </w:p>
    <w:p w14:paraId="6E2FD726" w14:textId="77777777" w:rsidR="00616AA8" w:rsidRPr="00616AA8" w:rsidRDefault="00616AA8" w:rsidP="00B64BD9">
      <w:pPr>
        <w:pStyle w:val="ListParagraph"/>
        <w:rPr>
          <w:rFonts w:cstheme="minorHAnsi"/>
          <w:b/>
          <w:bCs/>
          <w:lang w:val="en-US"/>
        </w:rPr>
      </w:pPr>
    </w:p>
    <w:p w14:paraId="7D37B7E1" w14:textId="42BEAA13" w:rsidR="00655908" w:rsidRDefault="00000000" w:rsidP="004E0E7D">
      <w:pPr>
        <w:pStyle w:val="ListParagraph"/>
        <w:numPr>
          <w:ilvl w:val="3"/>
          <w:numId w:val="1"/>
        </w:numPr>
        <w:snapToGrid w:val="0"/>
        <w:spacing w:after="0" w:line="240" w:lineRule="auto"/>
        <w:rPr>
          <w:rFonts w:cstheme="minorHAnsi"/>
          <w:lang w:val="en-US"/>
        </w:rPr>
      </w:pPr>
      <w:r w:rsidRPr="00616AA8">
        <w:rPr>
          <w:rFonts w:cstheme="minorHAnsi"/>
          <w:b/>
          <w:bCs/>
          <w:lang w:val="en-US"/>
        </w:rPr>
        <w:t>Step 4.:</w:t>
      </w:r>
      <w:r w:rsidRPr="00616AA8">
        <w:rPr>
          <w:rFonts w:cstheme="minorHAnsi"/>
          <w:lang w:val="en-US"/>
        </w:rPr>
        <w:t xml:space="preserve"> Make </w:t>
      </w:r>
      <w:r w:rsidR="00C613A0">
        <w:rPr>
          <w:rFonts w:cstheme="minorHAnsi"/>
          <w:lang w:val="en-US"/>
        </w:rPr>
        <w:t>final i</w:t>
      </w:r>
      <w:r w:rsidRPr="00616AA8">
        <w:rPr>
          <w:rFonts w:cstheme="minorHAnsi"/>
          <w:lang w:val="en-US"/>
        </w:rPr>
        <w:t xml:space="preserve">nvestment </w:t>
      </w:r>
      <w:r w:rsidR="00C613A0">
        <w:rPr>
          <w:rFonts w:cstheme="minorHAnsi"/>
          <w:lang w:val="en-US"/>
        </w:rPr>
        <w:t>d</w:t>
      </w:r>
      <w:r w:rsidRPr="00616AA8">
        <w:rPr>
          <w:rFonts w:cstheme="minorHAnsi"/>
          <w:lang w:val="en-US"/>
        </w:rPr>
        <w:t>ecision</w:t>
      </w:r>
      <w:r w:rsidR="00534B59" w:rsidRPr="00616AA8">
        <w:rPr>
          <w:rFonts w:cstheme="minorHAnsi"/>
          <w:lang w:val="en-US"/>
        </w:rPr>
        <w:t xml:space="preserve"> by </w:t>
      </w:r>
      <w:r w:rsidR="00C613A0">
        <w:rPr>
          <w:rFonts w:cstheme="minorHAnsi"/>
          <w:lang w:val="en-US"/>
        </w:rPr>
        <w:t>s</w:t>
      </w:r>
      <w:r w:rsidR="00534B59" w:rsidRPr="00616AA8">
        <w:rPr>
          <w:rFonts w:cstheme="minorHAnsi"/>
          <w:lang w:val="en-US"/>
        </w:rPr>
        <w:t>ignal matching identification</w:t>
      </w:r>
      <w:r w:rsidR="00606BDF">
        <w:rPr>
          <w:rFonts w:cstheme="minorHAnsi"/>
          <w:lang w:val="en-US"/>
        </w:rPr>
        <w:t xml:space="preserve"> and ethical checks.</w:t>
      </w:r>
    </w:p>
    <w:p w14:paraId="4D18A04C" w14:textId="6CEBCF4B" w:rsidR="00347490" w:rsidRPr="00347490" w:rsidRDefault="00347490" w:rsidP="00347490">
      <w:pPr>
        <w:pStyle w:val="ListParagraph"/>
        <w:numPr>
          <w:ilvl w:val="4"/>
          <w:numId w:val="1"/>
        </w:numPr>
        <w:snapToGrid w:val="0"/>
        <w:spacing w:after="0" w:line="240" w:lineRule="auto"/>
        <w:rPr>
          <w:rFonts w:cstheme="minorHAnsi"/>
          <w:lang w:val="en-US"/>
        </w:rPr>
      </w:pPr>
      <w:r w:rsidRPr="00347490">
        <w:rPr>
          <w:rFonts w:cstheme="minorHAnsi"/>
          <w:lang w:val="en-US"/>
        </w:rPr>
        <w:t xml:space="preserve">Print the </w:t>
      </w:r>
      <w:r w:rsidR="00A73E0A">
        <w:rPr>
          <w:rFonts w:cstheme="minorHAnsi"/>
          <w:lang w:val="en-US"/>
        </w:rPr>
        <w:t>algorithm</w:t>
      </w:r>
      <w:r w:rsidRPr="00347490">
        <w:rPr>
          <w:rFonts w:cstheme="minorHAnsi"/>
          <w:lang w:val="en-US"/>
        </w:rPr>
        <w:t xml:space="preserve">’s </w:t>
      </w:r>
      <w:r w:rsidR="008A717E">
        <w:rPr>
          <w:rFonts w:cstheme="minorHAnsi"/>
          <w:lang w:val="en-US"/>
        </w:rPr>
        <w:t xml:space="preserve">final </w:t>
      </w:r>
      <w:r w:rsidRPr="00347490">
        <w:rPr>
          <w:rFonts w:cstheme="minorHAnsi"/>
          <w:lang w:val="en-US"/>
        </w:rPr>
        <w:t>decision</w:t>
      </w:r>
      <w:r w:rsidR="00C613A0">
        <w:rPr>
          <w:rFonts w:cstheme="minorHAnsi"/>
          <w:lang w:val="en-US"/>
        </w:rPr>
        <w:t xml:space="preserve"> AAPL equity investment.</w:t>
      </w:r>
    </w:p>
    <w:p w14:paraId="2E4CC3AF" w14:textId="77777777" w:rsidR="00730160" w:rsidRDefault="00730160" w:rsidP="007A7C94">
      <w:pPr>
        <w:snapToGrid w:val="0"/>
        <w:spacing w:after="0" w:line="240" w:lineRule="auto"/>
        <w:rPr>
          <w:rFonts w:cstheme="minorHAnsi"/>
          <w:lang w:val="en-US"/>
        </w:rPr>
      </w:pPr>
    </w:p>
    <w:p w14:paraId="54E0BC53" w14:textId="77777777" w:rsidR="00A316BA" w:rsidRDefault="00A316BA" w:rsidP="007A7C94">
      <w:pPr>
        <w:snapToGrid w:val="0"/>
        <w:spacing w:after="0" w:line="240" w:lineRule="auto"/>
        <w:rPr>
          <w:rFonts w:cstheme="minorHAnsi"/>
          <w:lang w:val="en-US"/>
        </w:rPr>
      </w:pPr>
    </w:p>
    <w:p w14:paraId="0B54D676" w14:textId="77777777" w:rsidR="00A316BA" w:rsidRDefault="00A316BA" w:rsidP="007A7C94">
      <w:pPr>
        <w:snapToGrid w:val="0"/>
        <w:spacing w:after="0" w:line="240" w:lineRule="auto"/>
        <w:rPr>
          <w:rFonts w:cstheme="minorHAnsi"/>
          <w:lang w:val="en-US"/>
        </w:rPr>
      </w:pPr>
    </w:p>
    <w:p w14:paraId="297D5F50" w14:textId="77777777" w:rsidR="00A316BA" w:rsidRDefault="00A316BA" w:rsidP="007A7C94">
      <w:pPr>
        <w:snapToGrid w:val="0"/>
        <w:spacing w:after="0" w:line="240" w:lineRule="auto"/>
        <w:rPr>
          <w:rFonts w:cstheme="minorHAnsi"/>
          <w:lang w:val="en-US"/>
        </w:rPr>
      </w:pPr>
    </w:p>
    <w:p w14:paraId="26DC40F8" w14:textId="77777777" w:rsidR="00A316BA" w:rsidRDefault="00A316BA" w:rsidP="007A7C94">
      <w:pPr>
        <w:snapToGrid w:val="0"/>
        <w:spacing w:after="0" w:line="240" w:lineRule="auto"/>
        <w:rPr>
          <w:rFonts w:cstheme="minorHAnsi"/>
          <w:lang w:val="en-US"/>
        </w:rPr>
      </w:pPr>
    </w:p>
    <w:p w14:paraId="46DF3ACA" w14:textId="77777777" w:rsidR="00A316BA" w:rsidRDefault="00A316BA" w:rsidP="007A7C94">
      <w:pPr>
        <w:snapToGrid w:val="0"/>
        <w:spacing w:after="0" w:line="240" w:lineRule="auto"/>
        <w:rPr>
          <w:rFonts w:cstheme="minorHAnsi"/>
          <w:lang w:val="en-US"/>
        </w:rPr>
      </w:pPr>
    </w:p>
    <w:p w14:paraId="19CC253E" w14:textId="77777777" w:rsidR="00A316BA" w:rsidRDefault="00A316BA" w:rsidP="007A7C94">
      <w:pPr>
        <w:snapToGrid w:val="0"/>
        <w:spacing w:after="0" w:line="240" w:lineRule="auto"/>
        <w:rPr>
          <w:rFonts w:cstheme="minorHAnsi"/>
          <w:lang w:val="en-US"/>
        </w:rPr>
      </w:pPr>
    </w:p>
    <w:p w14:paraId="4C887FF1" w14:textId="77777777" w:rsidR="00A316BA" w:rsidRDefault="00A316BA" w:rsidP="007A7C94">
      <w:pPr>
        <w:snapToGrid w:val="0"/>
        <w:spacing w:after="0" w:line="240" w:lineRule="auto"/>
        <w:rPr>
          <w:rFonts w:cstheme="minorHAnsi"/>
          <w:lang w:val="en-US"/>
        </w:rPr>
      </w:pPr>
    </w:p>
    <w:p w14:paraId="6141602F" w14:textId="77777777" w:rsidR="00A316BA" w:rsidRDefault="00A316BA" w:rsidP="007A7C94">
      <w:pPr>
        <w:snapToGrid w:val="0"/>
        <w:spacing w:after="0" w:line="240" w:lineRule="auto"/>
        <w:rPr>
          <w:rFonts w:cstheme="minorHAnsi"/>
          <w:lang w:val="en-US"/>
        </w:rPr>
      </w:pPr>
    </w:p>
    <w:p w14:paraId="31321171" w14:textId="77777777" w:rsidR="005E55D3" w:rsidRDefault="005E55D3" w:rsidP="007A7C94">
      <w:pPr>
        <w:snapToGrid w:val="0"/>
        <w:spacing w:after="0" w:line="240" w:lineRule="auto"/>
        <w:rPr>
          <w:rFonts w:cstheme="minorHAnsi"/>
          <w:lang w:val="en-US"/>
        </w:rPr>
      </w:pPr>
    </w:p>
    <w:p w14:paraId="28B1F170" w14:textId="77777777" w:rsidR="00A316BA" w:rsidRDefault="00A316BA" w:rsidP="007A7C94">
      <w:pPr>
        <w:snapToGrid w:val="0"/>
        <w:spacing w:after="0" w:line="240" w:lineRule="auto"/>
        <w:rPr>
          <w:rFonts w:cstheme="minorHAnsi"/>
          <w:lang w:val="en-US"/>
        </w:rPr>
      </w:pPr>
    </w:p>
    <w:p w14:paraId="771F1E90" w14:textId="77777777" w:rsidR="00A316BA" w:rsidRDefault="00A316BA" w:rsidP="007A7C94">
      <w:pPr>
        <w:snapToGrid w:val="0"/>
        <w:spacing w:after="0" w:line="240" w:lineRule="auto"/>
        <w:rPr>
          <w:rFonts w:cstheme="minorHAnsi"/>
          <w:lang w:val="en-US"/>
        </w:rPr>
      </w:pPr>
    </w:p>
    <w:p w14:paraId="7C5C5EC4" w14:textId="77777777" w:rsidR="00A316BA" w:rsidRDefault="00A316BA" w:rsidP="007A7C94">
      <w:pPr>
        <w:snapToGrid w:val="0"/>
        <w:spacing w:after="0" w:line="240" w:lineRule="auto"/>
        <w:rPr>
          <w:rFonts w:cstheme="minorHAnsi"/>
          <w:lang w:val="en-US"/>
        </w:rPr>
      </w:pPr>
    </w:p>
    <w:p w14:paraId="383F5E4B" w14:textId="77777777" w:rsidR="00A316BA" w:rsidRDefault="00A316BA" w:rsidP="007A7C94">
      <w:pPr>
        <w:snapToGrid w:val="0"/>
        <w:spacing w:after="0" w:line="240" w:lineRule="auto"/>
        <w:rPr>
          <w:rFonts w:cstheme="minorHAnsi"/>
          <w:lang w:val="en-US"/>
        </w:rPr>
      </w:pPr>
    </w:p>
    <w:p w14:paraId="17BAE530" w14:textId="77777777" w:rsidR="00A316BA" w:rsidRDefault="00A316BA" w:rsidP="007A7C94">
      <w:pPr>
        <w:snapToGrid w:val="0"/>
        <w:spacing w:after="0" w:line="240" w:lineRule="auto"/>
        <w:rPr>
          <w:rFonts w:cstheme="minorHAnsi"/>
          <w:lang w:val="en-US"/>
        </w:rPr>
      </w:pPr>
    </w:p>
    <w:p w14:paraId="5F0A6CEB" w14:textId="77777777" w:rsidR="00A316BA" w:rsidRDefault="00A316BA" w:rsidP="007A7C94">
      <w:pPr>
        <w:snapToGrid w:val="0"/>
        <w:spacing w:after="0" w:line="240" w:lineRule="auto"/>
        <w:rPr>
          <w:rFonts w:cstheme="minorHAnsi"/>
          <w:lang w:val="en-US"/>
        </w:rPr>
      </w:pPr>
    </w:p>
    <w:p w14:paraId="037A5C9A" w14:textId="77777777" w:rsidR="00A316BA" w:rsidRPr="00616AA8" w:rsidRDefault="00A316BA" w:rsidP="007A7C94">
      <w:pPr>
        <w:snapToGrid w:val="0"/>
        <w:spacing w:after="0" w:line="240" w:lineRule="auto"/>
        <w:rPr>
          <w:rFonts w:cstheme="minorHAnsi"/>
          <w:lang w:val="en-US"/>
        </w:rPr>
      </w:pPr>
    </w:p>
    <w:p w14:paraId="51FBD728" w14:textId="77777777" w:rsidR="00676FC1" w:rsidRPr="00616AA8" w:rsidRDefault="00000000" w:rsidP="004E0E7D">
      <w:pPr>
        <w:pStyle w:val="ListParagraph"/>
        <w:numPr>
          <w:ilvl w:val="2"/>
          <w:numId w:val="1"/>
        </w:numPr>
        <w:snapToGrid w:val="0"/>
        <w:spacing w:after="0" w:line="240" w:lineRule="auto"/>
        <w:contextualSpacing w:val="0"/>
        <w:rPr>
          <w:rFonts w:cstheme="minorHAnsi"/>
          <w:u w:val="single"/>
          <w:lang w:val="en-US"/>
        </w:rPr>
      </w:pPr>
      <w:r w:rsidRPr="00616AA8">
        <w:rPr>
          <w:rFonts w:cstheme="minorHAnsi"/>
          <w:u w:val="single"/>
          <w:lang w:val="en-US"/>
        </w:rPr>
        <w:lastRenderedPageBreak/>
        <w:t>Apple Equity Investment Risk Management Summary</w:t>
      </w:r>
    </w:p>
    <w:p w14:paraId="4579F76B" w14:textId="77777777" w:rsidR="008B720C" w:rsidRPr="00616AA8" w:rsidRDefault="00000000" w:rsidP="004E0E7D">
      <w:pPr>
        <w:pStyle w:val="ListParagraph"/>
        <w:numPr>
          <w:ilvl w:val="3"/>
          <w:numId w:val="1"/>
        </w:numPr>
        <w:snapToGrid w:val="0"/>
        <w:spacing w:after="0" w:line="240" w:lineRule="auto"/>
        <w:rPr>
          <w:rFonts w:cstheme="minorHAnsi"/>
          <w:lang w:val="en-US"/>
        </w:rPr>
      </w:pPr>
      <w:r w:rsidRPr="00616AA8">
        <w:rPr>
          <w:rFonts w:cstheme="minorHAnsi"/>
          <w:lang w:val="en-US"/>
        </w:rPr>
        <w:t xml:space="preserve">The increasing ubiquity of digital platforms has engendered novel conduits for market manipulation, especially in the form of propagated propaganda and faux reviews. In AAPL equity trading, this virulent influx of spurious information can imperil the integrity of investment strategies and engender volatility. </w:t>
      </w:r>
      <w:r w:rsidRPr="00616AA8">
        <w:rPr>
          <w:rFonts w:cstheme="minorHAnsi"/>
          <w:b/>
          <w:bCs/>
          <w:lang w:val="en-US"/>
        </w:rPr>
        <w:t>Unscrupulous entities often exploit social media and tweets to disperse market sentiment</w:t>
      </w:r>
      <w:r w:rsidRPr="00616AA8">
        <w:rPr>
          <w:rFonts w:cstheme="minorHAnsi"/>
          <w:lang w:val="en-US"/>
        </w:rPr>
        <w:t xml:space="preserve">, artificially inflating the stock value or driving it down through mass hysteria. Exploitation constitutes an </w:t>
      </w:r>
      <w:r w:rsidR="00E04529" w:rsidRPr="00616AA8">
        <w:rPr>
          <w:rFonts w:cstheme="minorHAnsi"/>
          <w:lang w:val="en-US"/>
        </w:rPr>
        <w:t>exclusivity</w:t>
      </w:r>
      <w:r w:rsidRPr="00616AA8">
        <w:rPr>
          <w:rFonts w:cstheme="minorHAnsi"/>
          <w:color w:val="00B050"/>
          <w:lang w:val="en-US"/>
        </w:rPr>
        <w:t xml:space="preserve"> </w:t>
      </w:r>
      <w:r w:rsidRPr="00616AA8">
        <w:rPr>
          <w:rFonts w:cstheme="minorHAnsi"/>
          <w:lang w:val="en-US"/>
        </w:rPr>
        <w:t>category of market externality that could have cataclysmic ramifications on individual and institutional investors.</w:t>
      </w:r>
    </w:p>
    <w:p w14:paraId="73158E32" w14:textId="77777777" w:rsidR="00730160" w:rsidRPr="00616AA8" w:rsidRDefault="00730160" w:rsidP="00730160">
      <w:pPr>
        <w:pStyle w:val="ListParagraph"/>
        <w:snapToGrid w:val="0"/>
        <w:spacing w:after="0" w:line="240" w:lineRule="auto"/>
        <w:ind w:left="1824"/>
        <w:rPr>
          <w:rFonts w:cstheme="minorHAnsi"/>
          <w:lang w:val="en-US"/>
        </w:rPr>
      </w:pPr>
    </w:p>
    <w:p w14:paraId="1CFD1B90" w14:textId="77777777" w:rsidR="008B720C" w:rsidRPr="00616AA8" w:rsidRDefault="00000000" w:rsidP="004E0E7D">
      <w:pPr>
        <w:pStyle w:val="ListParagraph"/>
        <w:numPr>
          <w:ilvl w:val="3"/>
          <w:numId w:val="1"/>
        </w:numPr>
        <w:snapToGrid w:val="0"/>
        <w:spacing w:after="0" w:line="240" w:lineRule="auto"/>
        <w:rPr>
          <w:rFonts w:cstheme="minorHAnsi"/>
          <w:lang w:val="en-US"/>
        </w:rPr>
      </w:pPr>
      <w:r w:rsidRPr="00616AA8">
        <w:rPr>
          <w:rFonts w:cstheme="minorHAnsi"/>
          <w:lang w:val="en-US"/>
        </w:rPr>
        <w:t xml:space="preserve">The gravity of this issue is heightened by the considerable influence of Apple Inc. in the financial markets. Given its market capitalization and trading volume, even </w:t>
      </w:r>
      <w:r w:rsidRPr="00616AA8">
        <w:rPr>
          <w:rFonts w:cstheme="minorHAnsi"/>
          <w:b/>
          <w:bCs/>
          <w:lang w:val="en-US"/>
        </w:rPr>
        <w:t>marginal shifts in market sentiment can translate into seismic swings in stock valuation</w:t>
      </w:r>
      <w:r w:rsidRPr="00616AA8">
        <w:rPr>
          <w:rFonts w:cstheme="minorHAnsi"/>
          <w:lang w:val="en-US"/>
        </w:rPr>
        <w:t>. Therefore, the mitigation of misleading informational inputs becomes imperative for risk management.</w:t>
      </w:r>
    </w:p>
    <w:p w14:paraId="346EE122" w14:textId="77777777" w:rsidR="000B24FF" w:rsidRPr="00616AA8" w:rsidRDefault="000B24FF" w:rsidP="00730160">
      <w:pPr>
        <w:pStyle w:val="ListParagraph"/>
        <w:snapToGrid w:val="0"/>
        <w:spacing w:after="0" w:line="240" w:lineRule="auto"/>
        <w:ind w:left="1824"/>
        <w:rPr>
          <w:rFonts w:cstheme="minorHAnsi"/>
          <w:lang w:val="en-US"/>
        </w:rPr>
      </w:pPr>
    </w:p>
    <w:p w14:paraId="531F860D" w14:textId="0BBECE31" w:rsidR="008B720C" w:rsidRPr="00616AA8" w:rsidRDefault="00000000" w:rsidP="004E0E7D">
      <w:pPr>
        <w:pStyle w:val="ListParagraph"/>
        <w:numPr>
          <w:ilvl w:val="3"/>
          <w:numId w:val="1"/>
        </w:numPr>
        <w:snapToGrid w:val="0"/>
        <w:spacing w:after="0" w:line="240" w:lineRule="auto"/>
        <w:rPr>
          <w:rFonts w:cstheme="minorHAnsi"/>
          <w:lang w:val="en-US"/>
        </w:rPr>
      </w:pPr>
      <w:r w:rsidRPr="00616AA8">
        <w:rPr>
          <w:rFonts w:cstheme="minorHAnsi"/>
          <w:b/>
          <w:bCs/>
          <w:lang w:val="en-US"/>
        </w:rPr>
        <w:t>Technical indicators</w:t>
      </w:r>
      <w:r w:rsidRPr="00616AA8">
        <w:rPr>
          <w:rFonts w:cstheme="minorHAnsi"/>
          <w:lang w:val="en-US"/>
        </w:rPr>
        <w:t xml:space="preserve"> offer an elegant, though not infallible, counterpoint to this maelstrom of informational ambiguity. The power of these indices lies in their ability to distil the multifaceted, sometimes contradictory data into digestible, quantifiable metrics. Metrics such as the Relative Strength Index</w:t>
      </w:r>
      <w:r w:rsidR="003A5EBF">
        <w:rPr>
          <w:rFonts w:cstheme="minorHAnsi"/>
          <w:lang w:val="en-US"/>
        </w:rPr>
        <w:t>,</w:t>
      </w:r>
      <w:r w:rsidRPr="00616AA8">
        <w:rPr>
          <w:rFonts w:cstheme="minorHAnsi"/>
          <w:lang w:val="en-US"/>
        </w:rPr>
        <w:t xml:space="preserve"> RSI, Moving Average Convergence Divergence</w:t>
      </w:r>
      <w:r w:rsidR="00D85910" w:rsidRPr="00616AA8">
        <w:rPr>
          <w:rFonts w:cstheme="minorHAnsi"/>
          <w:lang w:val="en-US"/>
        </w:rPr>
        <w:t>,</w:t>
      </w:r>
      <w:r w:rsidRPr="00616AA8">
        <w:rPr>
          <w:rFonts w:cstheme="minorHAnsi"/>
          <w:lang w:val="en-US"/>
        </w:rPr>
        <w:t xml:space="preserve"> MACD, trading volume, Bollinger Bands, and 14-day moving averages provide a more sterile view of stock value, </w:t>
      </w:r>
      <w:r w:rsidRPr="00616AA8">
        <w:rPr>
          <w:rFonts w:cstheme="minorHAnsi"/>
          <w:b/>
          <w:bCs/>
          <w:lang w:val="en-US"/>
        </w:rPr>
        <w:t xml:space="preserve">insulated from the emotional </w:t>
      </w:r>
      <w:r w:rsidR="00E04529" w:rsidRPr="00616AA8">
        <w:rPr>
          <w:rFonts w:cstheme="minorHAnsi"/>
          <w:b/>
          <w:bCs/>
          <w:lang w:val="en-US"/>
        </w:rPr>
        <w:t>reactivity</w:t>
      </w:r>
      <w:r w:rsidRPr="00616AA8">
        <w:rPr>
          <w:rFonts w:cstheme="minorHAnsi"/>
          <w:b/>
          <w:bCs/>
          <w:lang w:val="en-US"/>
        </w:rPr>
        <w:t xml:space="preserve"> of market sentiment.</w:t>
      </w:r>
    </w:p>
    <w:p w14:paraId="7B668ECA" w14:textId="77777777" w:rsidR="00730160" w:rsidRPr="00616AA8" w:rsidRDefault="00730160" w:rsidP="00730160">
      <w:pPr>
        <w:pStyle w:val="ListParagraph"/>
        <w:snapToGrid w:val="0"/>
        <w:spacing w:after="0" w:line="240" w:lineRule="auto"/>
        <w:ind w:left="1824"/>
        <w:rPr>
          <w:rFonts w:cstheme="minorHAnsi"/>
          <w:lang w:val="en-US"/>
        </w:rPr>
      </w:pPr>
    </w:p>
    <w:p w14:paraId="2880D511" w14:textId="361B059E" w:rsidR="00D85910" w:rsidRPr="00616AA8" w:rsidRDefault="003A5EBF" w:rsidP="004E0E7D">
      <w:pPr>
        <w:pStyle w:val="ListParagraph"/>
        <w:numPr>
          <w:ilvl w:val="3"/>
          <w:numId w:val="1"/>
        </w:numPr>
        <w:snapToGrid w:val="0"/>
        <w:spacing w:after="0" w:line="240" w:lineRule="auto"/>
        <w:rPr>
          <w:rFonts w:cstheme="minorHAnsi"/>
          <w:lang w:val="en-US"/>
        </w:rPr>
      </w:pPr>
      <w:r>
        <w:rPr>
          <w:rFonts w:cstheme="minorHAnsi"/>
          <w:b/>
          <w:bCs/>
          <w:lang w:val="en-US"/>
        </w:rPr>
        <w:t>T</w:t>
      </w:r>
      <w:r w:rsidRPr="00616AA8">
        <w:rPr>
          <w:rFonts w:cstheme="minorHAnsi"/>
          <w:b/>
          <w:bCs/>
          <w:lang w:val="en-US"/>
        </w:rPr>
        <w:t>he RSI</w:t>
      </w:r>
      <w:r w:rsidRPr="00616AA8">
        <w:rPr>
          <w:rFonts w:cstheme="minorHAnsi"/>
          <w:lang w:val="en-US"/>
        </w:rPr>
        <w:t xml:space="preserve">, which measures the speed and change of price movements, can be instrumental in identifying 'overbought' or 'oversold' conditions. When propagandistic </w:t>
      </w:r>
      <w:r w:rsidR="005E55D3" w:rsidRPr="00616AA8">
        <w:rPr>
          <w:rFonts w:cstheme="minorHAnsi"/>
          <w:lang w:val="en-US"/>
        </w:rPr>
        <w:t>maneuvers</w:t>
      </w:r>
      <w:r w:rsidRPr="00616AA8">
        <w:rPr>
          <w:rFonts w:cstheme="minorHAnsi"/>
          <w:lang w:val="en-US"/>
        </w:rPr>
        <w:t xml:space="preserve"> drive a stock into overbought territory, the RSI may serve as an early warning system. </w:t>
      </w:r>
    </w:p>
    <w:p w14:paraId="717AC66A" w14:textId="77777777" w:rsidR="00D85910" w:rsidRPr="00616AA8" w:rsidRDefault="00D85910" w:rsidP="00D85910">
      <w:pPr>
        <w:pStyle w:val="ListParagraph"/>
        <w:rPr>
          <w:rFonts w:cstheme="minorHAnsi"/>
          <w:b/>
          <w:bCs/>
          <w:lang w:val="en-US"/>
        </w:rPr>
      </w:pPr>
    </w:p>
    <w:p w14:paraId="0E1AB72A" w14:textId="0BE5727E" w:rsidR="008B720C" w:rsidRPr="00616AA8" w:rsidRDefault="003A5EBF" w:rsidP="004E0E7D">
      <w:pPr>
        <w:pStyle w:val="ListParagraph"/>
        <w:numPr>
          <w:ilvl w:val="3"/>
          <w:numId w:val="1"/>
        </w:numPr>
        <w:snapToGrid w:val="0"/>
        <w:spacing w:after="0" w:line="240" w:lineRule="auto"/>
        <w:rPr>
          <w:rFonts w:cstheme="minorHAnsi"/>
          <w:lang w:val="en-US"/>
        </w:rPr>
      </w:pPr>
      <w:r>
        <w:rPr>
          <w:rFonts w:cstheme="minorHAnsi"/>
          <w:b/>
          <w:bCs/>
          <w:lang w:val="en-US"/>
        </w:rPr>
        <w:t xml:space="preserve">The </w:t>
      </w:r>
      <w:r w:rsidRPr="00616AA8">
        <w:rPr>
          <w:rFonts w:cstheme="minorHAnsi"/>
          <w:b/>
          <w:bCs/>
          <w:lang w:val="en-US"/>
        </w:rPr>
        <w:t xml:space="preserve">Bollinger </w:t>
      </w:r>
      <w:r w:rsidR="00973524" w:rsidRPr="00616AA8">
        <w:rPr>
          <w:rFonts w:cstheme="minorHAnsi"/>
          <w:b/>
          <w:bCs/>
          <w:lang w:val="en-US"/>
        </w:rPr>
        <w:t>b</w:t>
      </w:r>
      <w:r w:rsidRPr="00616AA8">
        <w:rPr>
          <w:rFonts w:cstheme="minorHAnsi"/>
          <w:b/>
          <w:bCs/>
          <w:lang w:val="en-US"/>
        </w:rPr>
        <w:t>ands</w:t>
      </w:r>
      <w:r w:rsidRPr="00616AA8">
        <w:rPr>
          <w:rFonts w:cstheme="minorHAnsi"/>
          <w:lang w:val="en-US"/>
        </w:rPr>
        <w:t>, another tool that employs a moving average and two standard deviation lines, can help identify price level resistances and supports. A tweet claiming a bullish future for AAPL may temporarily drive-up trading volumes and prices, but the Bollinger Bands could reveal that the stock is trading much higher than its actual value. Bollinger Band offers investors a statistical safeguard against the whims of market sentiment manipulated by fake reviews or tweets.</w:t>
      </w:r>
    </w:p>
    <w:p w14:paraId="31F1740A" w14:textId="77777777" w:rsidR="00730160" w:rsidRPr="00616AA8" w:rsidRDefault="00730160" w:rsidP="00730160">
      <w:pPr>
        <w:pStyle w:val="ListParagraph"/>
        <w:snapToGrid w:val="0"/>
        <w:spacing w:after="0" w:line="240" w:lineRule="auto"/>
        <w:ind w:left="1824"/>
        <w:rPr>
          <w:rFonts w:cstheme="minorHAnsi"/>
          <w:lang w:val="en-US"/>
        </w:rPr>
      </w:pPr>
    </w:p>
    <w:p w14:paraId="16FD7CCD" w14:textId="77777777" w:rsidR="008B720C" w:rsidRPr="00616AA8" w:rsidRDefault="00000000" w:rsidP="004E0E7D">
      <w:pPr>
        <w:pStyle w:val="ListParagraph"/>
        <w:numPr>
          <w:ilvl w:val="3"/>
          <w:numId w:val="1"/>
        </w:numPr>
        <w:snapToGrid w:val="0"/>
        <w:spacing w:after="0" w:line="240" w:lineRule="auto"/>
        <w:rPr>
          <w:rFonts w:cstheme="minorHAnsi"/>
          <w:lang w:val="en-US"/>
        </w:rPr>
      </w:pPr>
      <w:r w:rsidRPr="00616AA8">
        <w:rPr>
          <w:rFonts w:cstheme="minorHAnsi"/>
          <w:lang w:val="en-US"/>
        </w:rPr>
        <w:t xml:space="preserve">However, it is pivotal to understand that </w:t>
      </w:r>
      <w:r w:rsidRPr="00616AA8">
        <w:rPr>
          <w:rFonts w:cstheme="minorHAnsi"/>
          <w:b/>
          <w:bCs/>
          <w:lang w:val="en-US"/>
        </w:rPr>
        <w:t xml:space="preserve">these technical indicators are not panaceas. </w:t>
      </w:r>
      <w:r w:rsidRPr="00616AA8">
        <w:rPr>
          <w:rFonts w:cstheme="minorHAnsi"/>
          <w:lang w:val="en-US"/>
        </w:rPr>
        <w:t>They function best as components of a diversified risk mitigation strategy. When aligned with other risk-assessment mechanisms like fundamental analysis or algorithmic trading strategies designed to filter out 'noise,' technical indicators can act as effective bulwarks against the vulnerabilities introduced by propaganda and misleading reviews.</w:t>
      </w:r>
    </w:p>
    <w:p w14:paraId="15A97DCC" w14:textId="77777777" w:rsidR="008B720C" w:rsidRPr="00616AA8" w:rsidRDefault="008B720C" w:rsidP="008B720C">
      <w:pPr>
        <w:pStyle w:val="ListParagraph"/>
        <w:snapToGrid w:val="0"/>
        <w:spacing w:after="0" w:line="240" w:lineRule="auto"/>
        <w:ind w:left="1824"/>
        <w:rPr>
          <w:rFonts w:cstheme="minorHAnsi"/>
          <w:lang w:val="en-US"/>
        </w:rPr>
      </w:pPr>
    </w:p>
    <w:p w14:paraId="224BACDD" w14:textId="77777777" w:rsidR="008B720C" w:rsidRPr="00616AA8" w:rsidRDefault="008B720C" w:rsidP="008B720C">
      <w:pPr>
        <w:pStyle w:val="ListParagraph"/>
        <w:snapToGrid w:val="0"/>
        <w:spacing w:after="0" w:line="240" w:lineRule="auto"/>
        <w:ind w:left="1824"/>
        <w:rPr>
          <w:rFonts w:cstheme="minorHAnsi"/>
          <w:lang w:val="en-US"/>
        </w:rPr>
      </w:pPr>
    </w:p>
    <w:p w14:paraId="4C336523" w14:textId="77777777" w:rsidR="008B720C" w:rsidRPr="00616AA8" w:rsidRDefault="008B720C" w:rsidP="008B720C">
      <w:pPr>
        <w:pStyle w:val="ListParagraph"/>
        <w:snapToGrid w:val="0"/>
        <w:spacing w:after="0" w:line="240" w:lineRule="auto"/>
        <w:ind w:left="1824"/>
        <w:rPr>
          <w:rFonts w:cstheme="minorHAnsi"/>
          <w:lang w:val="en-US"/>
        </w:rPr>
      </w:pPr>
    </w:p>
    <w:p w14:paraId="6ABBDB29" w14:textId="77777777" w:rsidR="008B720C" w:rsidRPr="00616AA8" w:rsidRDefault="008B720C" w:rsidP="008B720C">
      <w:pPr>
        <w:pStyle w:val="ListParagraph"/>
        <w:snapToGrid w:val="0"/>
        <w:spacing w:after="0" w:line="240" w:lineRule="auto"/>
        <w:ind w:left="1824"/>
        <w:rPr>
          <w:rFonts w:cstheme="minorHAnsi"/>
          <w:lang w:val="en-US"/>
        </w:rPr>
      </w:pPr>
    </w:p>
    <w:p w14:paraId="43D39FDE" w14:textId="77777777" w:rsidR="008B720C" w:rsidRPr="00616AA8" w:rsidRDefault="008B720C" w:rsidP="008B720C">
      <w:pPr>
        <w:pStyle w:val="ListParagraph"/>
        <w:snapToGrid w:val="0"/>
        <w:spacing w:after="0" w:line="240" w:lineRule="auto"/>
        <w:ind w:left="1824"/>
        <w:rPr>
          <w:rFonts w:cstheme="minorHAnsi"/>
          <w:lang w:val="en-US"/>
        </w:rPr>
      </w:pPr>
    </w:p>
    <w:p w14:paraId="28A8D7AC" w14:textId="77777777" w:rsidR="008B720C" w:rsidRPr="00616AA8" w:rsidRDefault="008B720C" w:rsidP="008B720C">
      <w:pPr>
        <w:pStyle w:val="ListParagraph"/>
        <w:snapToGrid w:val="0"/>
        <w:spacing w:after="0" w:line="240" w:lineRule="auto"/>
        <w:ind w:left="1824"/>
        <w:rPr>
          <w:rFonts w:cstheme="minorHAnsi"/>
          <w:lang w:val="en-US"/>
        </w:rPr>
      </w:pPr>
    </w:p>
    <w:p w14:paraId="7066BB05" w14:textId="77777777" w:rsidR="008B720C" w:rsidRPr="00616AA8" w:rsidRDefault="008B720C" w:rsidP="008B720C">
      <w:pPr>
        <w:pStyle w:val="ListParagraph"/>
        <w:snapToGrid w:val="0"/>
        <w:spacing w:after="0" w:line="240" w:lineRule="auto"/>
        <w:ind w:left="1824"/>
        <w:rPr>
          <w:rFonts w:cstheme="minorHAnsi"/>
          <w:lang w:val="en-US"/>
        </w:rPr>
      </w:pPr>
    </w:p>
    <w:p w14:paraId="3021B158" w14:textId="77777777" w:rsidR="008B720C" w:rsidRPr="00616AA8" w:rsidRDefault="008B720C" w:rsidP="008B720C">
      <w:pPr>
        <w:pStyle w:val="ListParagraph"/>
        <w:snapToGrid w:val="0"/>
        <w:spacing w:after="0" w:line="240" w:lineRule="auto"/>
        <w:ind w:left="1824"/>
        <w:rPr>
          <w:rFonts w:cstheme="minorHAnsi"/>
          <w:lang w:val="en-US"/>
        </w:rPr>
      </w:pPr>
    </w:p>
    <w:p w14:paraId="179D40A2" w14:textId="77777777" w:rsidR="00F328DE" w:rsidRPr="00616AA8" w:rsidRDefault="00F328DE" w:rsidP="008B720C">
      <w:pPr>
        <w:pStyle w:val="ListParagraph"/>
        <w:snapToGrid w:val="0"/>
        <w:spacing w:after="0" w:line="240" w:lineRule="auto"/>
        <w:ind w:left="1824"/>
        <w:rPr>
          <w:rFonts w:cstheme="minorHAnsi"/>
          <w:lang w:val="en-US"/>
        </w:rPr>
      </w:pPr>
    </w:p>
    <w:p w14:paraId="06C53B28" w14:textId="77777777" w:rsidR="00F328DE" w:rsidRPr="00616AA8" w:rsidRDefault="00F328DE" w:rsidP="008B720C">
      <w:pPr>
        <w:pStyle w:val="ListParagraph"/>
        <w:snapToGrid w:val="0"/>
        <w:spacing w:after="0" w:line="240" w:lineRule="auto"/>
        <w:ind w:left="1824"/>
        <w:rPr>
          <w:rFonts w:cstheme="minorHAnsi"/>
          <w:lang w:val="en-US"/>
        </w:rPr>
      </w:pPr>
    </w:p>
    <w:p w14:paraId="3FBC9888" w14:textId="77777777" w:rsidR="008B720C" w:rsidRDefault="008B720C" w:rsidP="001B6ACD">
      <w:pPr>
        <w:snapToGrid w:val="0"/>
        <w:spacing w:after="0" w:line="240" w:lineRule="auto"/>
        <w:rPr>
          <w:rFonts w:cstheme="minorHAnsi"/>
          <w:lang w:val="en-US"/>
        </w:rPr>
      </w:pPr>
    </w:p>
    <w:p w14:paraId="579D5225" w14:textId="77777777" w:rsidR="004E0E7D" w:rsidRDefault="004E0E7D" w:rsidP="001B6ACD">
      <w:pPr>
        <w:snapToGrid w:val="0"/>
        <w:spacing w:after="0" w:line="240" w:lineRule="auto"/>
        <w:rPr>
          <w:rFonts w:cstheme="minorHAnsi"/>
          <w:lang w:val="en-US"/>
        </w:rPr>
      </w:pPr>
    </w:p>
    <w:p w14:paraId="4974D318" w14:textId="77777777" w:rsidR="004E0E7D" w:rsidRDefault="004E0E7D" w:rsidP="001B6ACD">
      <w:pPr>
        <w:snapToGrid w:val="0"/>
        <w:spacing w:after="0" w:line="240" w:lineRule="auto"/>
        <w:rPr>
          <w:rFonts w:cstheme="minorHAnsi"/>
          <w:lang w:val="en-US"/>
        </w:rPr>
      </w:pPr>
    </w:p>
    <w:p w14:paraId="40B08D52" w14:textId="77777777" w:rsidR="003A5EBF" w:rsidRDefault="003A5EBF" w:rsidP="001B6ACD">
      <w:pPr>
        <w:snapToGrid w:val="0"/>
        <w:spacing w:after="0" w:line="240" w:lineRule="auto"/>
        <w:rPr>
          <w:rFonts w:cstheme="minorHAnsi"/>
          <w:lang w:val="en-US"/>
        </w:rPr>
      </w:pPr>
    </w:p>
    <w:p w14:paraId="06CFDC19" w14:textId="77777777" w:rsidR="005E55D3" w:rsidRDefault="005E55D3" w:rsidP="001B6ACD">
      <w:pPr>
        <w:snapToGrid w:val="0"/>
        <w:spacing w:after="0" w:line="240" w:lineRule="auto"/>
        <w:rPr>
          <w:rFonts w:cstheme="minorHAnsi"/>
          <w:lang w:val="en-US"/>
        </w:rPr>
      </w:pPr>
    </w:p>
    <w:p w14:paraId="3D991151" w14:textId="77777777" w:rsidR="004E0E7D" w:rsidRDefault="004E0E7D" w:rsidP="001B6ACD">
      <w:pPr>
        <w:snapToGrid w:val="0"/>
        <w:spacing w:after="0" w:line="240" w:lineRule="auto"/>
        <w:rPr>
          <w:rFonts w:cstheme="minorHAnsi"/>
          <w:lang w:val="en-US"/>
        </w:rPr>
      </w:pPr>
    </w:p>
    <w:p w14:paraId="74B4A782" w14:textId="77777777" w:rsidR="00D2309F" w:rsidRDefault="00D2309F" w:rsidP="00D2309F">
      <w:pPr>
        <w:snapToGrid w:val="0"/>
        <w:spacing w:after="0" w:line="240" w:lineRule="auto"/>
        <w:rPr>
          <w:rFonts w:cstheme="minorHAnsi"/>
          <w:lang w:val="en-US"/>
        </w:rPr>
      </w:pPr>
    </w:p>
    <w:p w14:paraId="518B211C" w14:textId="77777777" w:rsidR="00D2309F" w:rsidRPr="006443F2" w:rsidRDefault="00D2309F" w:rsidP="00D2309F">
      <w:pPr>
        <w:pStyle w:val="ListParagraph"/>
        <w:numPr>
          <w:ilvl w:val="1"/>
          <w:numId w:val="1"/>
        </w:numPr>
        <w:snapToGrid w:val="0"/>
        <w:spacing w:after="0" w:line="240" w:lineRule="auto"/>
        <w:contextualSpacing w:val="0"/>
        <w:rPr>
          <w:rFonts w:cstheme="minorHAnsi"/>
          <w:b/>
          <w:bCs/>
          <w:sz w:val="24"/>
          <w:szCs w:val="24"/>
          <w:u w:val="single"/>
          <w:lang w:val="en-US"/>
        </w:rPr>
      </w:pPr>
      <w:r w:rsidRPr="006443F2">
        <w:rPr>
          <w:rFonts w:cstheme="minorHAnsi"/>
          <w:b/>
          <w:bCs/>
          <w:sz w:val="24"/>
          <w:szCs w:val="24"/>
          <w:lang w:val="en-US"/>
        </w:rPr>
        <w:lastRenderedPageBreak/>
        <w:t>Student:</w:t>
      </w:r>
      <w:r w:rsidRPr="006443F2">
        <w:rPr>
          <w:rFonts w:cstheme="minorHAnsi"/>
          <w:b/>
          <w:bCs/>
          <w:sz w:val="24"/>
          <w:szCs w:val="24"/>
        </w:rPr>
        <w:t xml:space="preserve"> </w:t>
      </w:r>
      <w:r w:rsidRPr="006443F2">
        <w:rPr>
          <w:rFonts w:cstheme="minorHAnsi"/>
          <w:b/>
          <w:bCs/>
          <w:sz w:val="24"/>
          <w:szCs w:val="24"/>
          <w:lang w:val="en-US"/>
        </w:rPr>
        <w:t xml:space="preserve">Ebenezer - Illiquid Security Investment </w:t>
      </w:r>
    </w:p>
    <w:p w14:paraId="618204D0" w14:textId="77777777" w:rsidR="00D2309F" w:rsidRPr="00CA0E9F" w:rsidRDefault="00D2309F" w:rsidP="00D2309F">
      <w:pPr>
        <w:pStyle w:val="ListParagraph"/>
        <w:numPr>
          <w:ilvl w:val="2"/>
          <w:numId w:val="1"/>
        </w:numPr>
        <w:snapToGrid w:val="0"/>
        <w:spacing w:after="0" w:line="240" w:lineRule="auto"/>
        <w:contextualSpacing w:val="0"/>
        <w:rPr>
          <w:rFonts w:cstheme="minorHAnsi"/>
          <w:u w:val="single"/>
          <w:lang w:val="en-US"/>
        </w:rPr>
      </w:pPr>
      <w:r w:rsidRPr="00616AA8">
        <w:rPr>
          <w:rFonts w:cstheme="minorHAnsi"/>
          <w:u w:val="single"/>
          <w:lang w:val="en-US"/>
        </w:rPr>
        <w:t>Python Result</w:t>
      </w:r>
    </w:p>
    <w:p w14:paraId="53FF9101" w14:textId="77777777" w:rsidR="00D2309F" w:rsidRPr="00616AA8" w:rsidRDefault="00D2309F" w:rsidP="00D2309F">
      <w:pPr>
        <w:pStyle w:val="ListParagraph"/>
        <w:snapToGrid w:val="0"/>
        <w:spacing w:after="0" w:line="240" w:lineRule="auto"/>
        <w:ind w:left="1344"/>
        <w:contextualSpacing w:val="0"/>
        <w:rPr>
          <w:rFonts w:cstheme="minorHAnsi"/>
          <w:u w:val="single"/>
          <w:lang w:val="en-US"/>
        </w:rPr>
      </w:pPr>
      <w:r>
        <w:rPr>
          <w:rFonts w:cstheme="minorHAnsi"/>
          <w:noProof/>
          <w:lang w:val="en-US"/>
        </w:rPr>
        <w:drawing>
          <wp:anchor distT="0" distB="0" distL="114300" distR="114300" simplePos="0" relativeHeight="251659264" behindDoc="1" locked="0" layoutInCell="1" allowOverlap="1" wp14:anchorId="24B512F4" wp14:editId="51A4D575">
            <wp:simplePos x="0" y="0"/>
            <wp:positionH relativeFrom="column">
              <wp:posOffset>111933</wp:posOffset>
            </wp:positionH>
            <wp:positionV relativeFrom="paragraph">
              <wp:posOffset>137968</wp:posOffset>
            </wp:positionV>
            <wp:extent cx="6162675" cy="1738630"/>
            <wp:effectExtent l="0" t="0" r="9525" b="0"/>
            <wp:wrapTight wrapText="bothSides">
              <wp:wrapPolygon edited="0">
                <wp:start x="0" y="0"/>
                <wp:lineTo x="0" y="21300"/>
                <wp:lineTo x="21567" y="21300"/>
                <wp:lineTo x="21567" y="0"/>
                <wp:lineTo x="0" y="0"/>
              </wp:wrapPolygon>
            </wp:wrapTight>
            <wp:docPr id="52237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74013" name="Picture 522374013"/>
                    <pic:cNvPicPr/>
                  </pic:nvPicPr>
                  <pic:blipFill rotWithShape="1">
                    <a:blip r:embed="rId19">
                      <a:extLst>
                        <a:ext uri="{28A0092B-C50C-407E-A947-70E740481C1C}">
                          <a14:useLocalDpi xmlns:a14="http://schemas.microsoft.com/office/drawing/2010/main" val="0"/>
                        </a:ext>
                      </a:extLst>
                    </a:blip>
                    <a:srcRect l="4021" t="54480" r="30406" b="28652"/>
                    <a:stretch/>
                  </pic:blipFill>
                  <pic:spPr bwMode="auto">
                    <a:xfrm>
                      <a:off x="0" y="0"/>
                      <a:ext cx="6162675" cy="1738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6AAD5B" w14:textId="77777777" w:rsidR="00D2309F" w:rsidRPr="00CA0E9F" w:rsidRDefault="00D2309F" w:rsidP="00D2309F">
      <w:pPr>
        <w:snapToGrid w:val="0"/>
        <w:spacing w:after="0" w:line="240" w:lineRule="auto"/>
        <w:ind w:left="1344"/>
        <w:rPr>
          <w:rFonts w:cstheme="minorHAnsi"/>
          <w:lang w:val="en-US"/>
        </w:rPr>
      </w:pPr>
    </w:p>
    <w:p w14:paraId="2D89354E" w14:textId="77777777" w:rsidR="00D2309F" w:rsidRPr="00616AA8" w:rsidRDefault="00D2309F" w:rsidP="00D2309F">
      <w:pPr>
        <w:pStyle w:val="ListParagraph"/>
        <w:snapToGrid w:val="0"/>
        <w:spacing w:after="0" w:line="240" w:lineRule="auto"/>
        <w:ind w:left="1344"/>
        <w:contextualSpacing w:val="0"/>
        <w:rPr>
          <w:rFonts w:cstheme="minorHAnsi"/>
          <w:lang w:val="en-US"/>
        </w:rPr>
      </w:pPr>
    </w:p>
    <w:p w14:paraId="03CEC27D" w14:textId="77777777" w:rsidR="00D2309F" w:rsidRPr="00616AA8" w:rsidRDefault="00D2309F" w:rsidP="00D2309F">
      <w:pPr>
        <w:pStyle w:val="ListParagraph"/>
        <w:snapToGrid w:val="0"/>
        <w:spacing w:after="0" w:line="240" w:lineRule="auto"/>
        <w:ind w:left="1344"/>
        <w:contextualSpacing w:val="0"/>
        <w:rPr>
          <w:rFonts w:cstheme="minorHAnsi"/>
          <w:lang w:val="en-US"/>
        </w:rPr>
      </w:pPr>
    </w:p>
    <w:p w14:paraId="2E07DE06" w14:textId="77777777" w:rsidR="00D2309F" w:rsidRPr="009A6446" w:rsidRDefault="00D2309F" w:rsidP="00D2309F">
      <w:pPr>
        <w:snapToGrid w:val="0"/>
        <w:spacing w:after="0" w:line="240" w:lineRule="auto"/>
        <w:rPr>
          <w:rFonts w:cstheme="minorHAnsi"/>
          <w:lang w:val="en-US"/>
        </w:rPr>
      </w:pPr>
    </w:p>
    <w:p w14:paraId="7EDD50E3" w14:textId="77777777" w:rsidR="00D2309F" w:rsidRPr="009A6446" w:rsidRDefault="00D2309F" w:rsidP="00D2309F">
      <w:pPr>
        <w:pStyle w:val="ListParagraph"/>
        <w:snapToGrid w:val="0"/>
        <w:spacing w:after="0" w:line="240" w:lineRule="auto"/>
        <w:ind w:left="1191"/>
        <w:contextualSpacing w:val="0"/>
        <w:rPr>
          <w:rFonts w:cstheme="minorHAnsi"/>
          <w:lang w:val="en-US"/>
        </w:rPr>
      </w:pPr>
    </w:p>
    <w:p w14:paraId="0B7503F6" w14:textId="77777777" w:rsidR="00D2309F" w:rsidRDefault="00D2309F" w:rsidP="00D2309F">
      <w:pPr>
        <w:pStyle w:val="ListParagraph"/>
        <w:numPr>
          <w:ilvl w:val="2"/>
          <w:numId w:val="1"/>
        </w:numPr>
        <w:snapToGrid w:val="0"/>
        <w:spacing w:after="0" w:line="240" w:lineRule="auto"/>
        <w:contextualSpacing w:val="0"/>
        <w:rPr>
          <w:rFonts w:cstheme="minorHAnsi"/>
          <w:lang w:val="en-US"/>
        </w:rPr>
      </w:pPr>
    </w:p>
    <w:p w14:paraId="2325B2A2" w14:textId="77777777" w:rsidR="00D2309F" w:rsidRDefault="00D2309F" w:rsidP="00D2309F">
      <w:pPr>
        <w:pStyle w:val="ListParagraph"/>
        <w:snapToGrid w:val="0"/>
        <w:spacing w:after="0" w:line="240" w:lineRule="auto"/>
        <w:ind w:left="1191"/>
        <w:contextualSpacing w:val="0"/>
        <w:rPr>
          <w:rFonts w:cstheme="minorHAnsi"/>
          <w:lang w:val="en-US"/>
        </w:rPr>
      </w:pPr>
    </w:p>
    <w:p w14:paraId="7842C884" w14:textId="77777777" w:rsidR="00D2309F" w:rsidRPr="00616AA8" w:rsidRDefault="00D2309F" w:rsidP="00D2309F">
      <w:pPr>
        <w:pStyle w:val="ListParagraph"/>
        <w:numPr>
          <w:ilvl w:val="2"/>
          <w:numId w:val="1"/>
        </w:numPr>
        <w:snapToGrid w:val="0"/>
        <w:spacing w:after="0" w:line="240" w:lineRule="auto"/>
        <w:contextualSpacing w:val="0"/>
        <w:rPr>
          <w:rFonts w:cstheme="minorHAnsi"/>
          <w:lang w:val="en-US"/>
        </w:rPr>
      </w:pPr>
      <w:r w:rsidRPr="00616AA8">
        <w:rPr>
          <w:rFonts w:cstheme="minorHAnsi"/>
          <w:lang w:val="en-US"/>
        </w:rPr>
        <w:t>Workflow diagram</w:t>
      </w:r>
    </w:p>
    <w:p w14:paraId="35135DB9" w14:textId="77777777" w:rsidR="00D2309F" w:rsidRPr="00616AA8" w:rsidRDefault="00D2309F" w:rsidP="00D2309F">
      <w:pPr>
        <w:pStyle w:val="ListParagraph"/>
        <w:snapToGrid w:val="0"/>
        <w:spacing w:after="0" w:line="240" w:lineRule="auto"/>
        <w:ind w:left="1824"/>
        <w:contextualSpacing w:val="0"/>
        <w:rPr>
          <w:rFonts w:cstheme="minorHAnsi"/>
          <w:lang w:val="en-US"/>
        </w:rPr>
      </w:pPr>
      <w:r>
        <w:rPr>
          <w:rFonts w:cstheme="minorHAnsi"/>
          <w:noProof/>
          <w:lang w:val="en-US"/>
        </w:rPr>
        <w:drawing>
          <wp:anchor distT="0" distB="0" distL="114300" distR="114300" simplePos="0" relativeHeight="251660288" behindDoc="1" locked="0" layoutInCell="1" allowOverlap="1" wp14:anchorId="3B9DD9E6" wp14:editId="31BD11B7">
            <wp:simplePos x="0" y="0"/>
            <wp:positionH relativeFrom="page">
              <wp:posOffset>225425</wp:posOffset>
            </wp:positionH>
            <wp:positionV relativeFrom="paragraph">
              <wp:posOffset>263525</wp:posOffset>
            </wp:positionV>
            <wp:extent cx="7028815" cy="4848860"/>
            <wp:effectExtent l="0" t="0" r="635" b="8890"/>
            <wp:wrapTight wrapText="bothSides">
              <wp:wrapPolygon edited="0">
                <wp:start x="0" y="0"/>
                <wp:lineTo x="0" y="21555"/>
                <wp:lineTo x="21543" y="21555"/>
                <wp:lineTo x="21543" y="0"/>
                <wp:lineTo x="0" y="0"/>
              </wp:wrapPolygon>
            </wp:wrapTight>
            <wp:docPr id="1137895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95761" name="Picture 1137895761"/>
                    <pic:cNvPicPr/>
                  </pic:nvPicPr>
                  <pic:blipFill>
                    <a:blip r:embed="rId20">
                      <a:extLst>
                        <a:ext uri="{28A0092B-C50C-407E-A947-70E740481C1C}">
                          <a14:useLocalDpi xmlns:a14="http://schemas.microsoft.com/office/drawing/2010/main" val="0"/>
                        </a:ext>
                      </a:extLst>
                    </a:blip>
                    <a:stretch>
                      <a:fillRect/>
                    </a:stretch>
                  </pic:blipFill>
                  <pic:spPr>
                    <a:xfrm>
                      <a:off x="0" y="0"/>
                      <a:ext cx="7028815" cy="4848860"/>
                    </a:xfrm>
                    <a:prstGeom prst="rect">
                      <a:avLst/>
                    </a:prstGeom>
                  </pic:spPr>
                </pic:pic>
              </a:graphicData>
            </a:graphic>
            <wp14:sizeRelH relativeFrom="margin">
              <wp14:pctWidth>0</wp14:pctWidth>
            </wp14:sizeRelH>
            <wp14:sizeRelV relativeFrom="margin">
              <wp14:pctHeight>0</wp14:pctHeight>
            </wp14:sizeRelV>
          </wp:anchor>
        </w:drawing>
      </w:r>
    </w:p>
    <w:p w14:paraId="42FF6018" w14:textId="77777777" w:rsidR="00D2309F" w:rsidRDefault="00D2309F" w:rsidP="00D2309F">
      <w:pPr>
        <w:pStyle w:val="ListParagraph"/>
        <w:snapToGrid w:val="0"/>
        <w:spacing w:after="0" w:line="240" w:lineRule="auto"/>
        <w:ind w:left="1344"/>
        <w:contextualSpacing w:val="0"/>
        <w:rPr>
          <w:rFonts w:cstheme="minorHAnsi"/>
          <w:lang w:val="en-US"/>
        </w:rPr>
      </w:pPr>
    </w:p>
    <w:p w14:paraId="5A16430C" w14:textId="77777777" w:rsidR="00D2309F" w:rsidRPr="00616AA8" w:rsidRDefault="00D2309F" w:rsidP="00D2309F">
      <w:pPr>
        <w:pStyle w:val="ListParagraph"/>
        <w:snapToGrid w:val="0"/>
        <w:spacing w:after="0" w:line="240" w:lineRule="auto"/>
        <w:ind w:left="1344"/>
        <w:contextualSpacing w:val="0"/>
        <w:rPr>
          <w:rFonts w:cstheme="minorHAnsi"/>
          <w:lang w:val="en-US"/>
        </w:rPr>
      </w:pPr>
    </w:p>
    <w:p w14:paraId="23170465" w14:textId="77777777" w:rsidR="00D2309F" w:rsidRDefault="00D2309F" w:rsidP="00D2309F">
      <w:pPr>
        <w:pStyle w:val="ListParagraph"/>
        <w:snapToGrid w:val="0"/>
        <w:spacing w:after="0" w:line="240" w:lineRule="auto"/>
        <w:ind w:left="1344"/>
        <w:contextualSpacing w:val="0"/>
        <w:rPr>
          <w:rFonts w:cstheme="minorHAnsi"/>
          <w:lang w:val="en-US"/>
        </w:rPr>
      </w:pPr>
    </w:p>
    <w:p w14:paraId="451052C9" w14:textId="77777777" w:rsidR="00D2309F" w:rsidRDefault="00D2309F" w:rsidP="00D2309F">
      <w:pPr>
        <w:snapToGrid w:val="0"/>
        <w:spacing w:after="0" w:line="240" w:lineRule="auto"/>
        <w:rPr>
          <w:rFonts w:cstheme="minorHAnsi"/>
          <w:lang w:val="en-US"/>
        </w:rPr>
      </w:pPr>
    </w:p>
    <w:p w14:paraId="1E44B66C" w14:textId="77777777" w:rsidR="00D2309F" w:rsidRDefault="00D2309F" w:rsidP="00D2309F">
      <w:pPr>
        <w:snapToGrid w:val="0"/>
        <w:spacing w:after="0" w:line="240" w:lineRule="auto"/>
        <w:rPr>
          <w:rFonts w:cstheme="minorHAnsi"/>
          <w:lang w:val="en-US"/>
        </w:rPr>
      </w:pPr>
    </w:p>
    <w:p w14:paraId="4D171910" w14:textId="77777777" w:rsidR="00D2309F" w:rsidRDefault="00D2309F" w:rsidP="00D2309F">
      <w:pPr>
        <w:snapToGrid w:val="0"/>
        <w:spacing w:after="0" w:line="240" w:lineRule="auto"/>
        <w:rPr>
          <w:rFonts w:cstheme="minorHAnsi"/>
          <w:lang w:val="en-US"/>
        </w:rPr>
      </w:pPr>
    </w:p>
    <w:p w14:paraId="0A294DC3" w14:textId="77777777" w:rsidR="00D2309F" w:rsidRPr="009A6446" w:rsidRDefault="00D2309F" w:rsidP="00D2309F">
      <w:pPr>
        <w:snapToGrid w:val="0"/>
        <w:spacing w:after="0" w:line="240" w:lineRule="auto"/>
        <w:rPr>
          <w:rFonts w:cstheme="minorHAnsi"/>
          <w:lang w:val="en-US"/>
        </w:rPr>
      </w:pPr>
    </w:p>
    <w:p w14:paraId="6D98E83C" w14:textId="77777777" w:rsidR="00D2309F" w:rsidRPr="00616AA8" w:rsidRDefault="00D2309F" w:rsidP="00D2309F">
      <w:pPr>
        <w:pStyle w:val="ListParagraph"/>
        <w:snapToGrid w:val="0"/>
        <w:spacing w:after="0" w:line="240" w:lineRule="auto"/>
        <w:ind w:left="1344"/>
        <w:contextualSpacing w:val="0"/>
        <w:rPr>
          <w:rFonts w:cstheme="minorHAnsi"/>
          <w:lang w:val="en-US"/>
        </w:rPr>
      </w:pPr>
    </w:p>
    <w:p w14:paraId="1E12410E" w14:textId="77777777" w:rsidR="00D2309F" w:rsidRPr="00616AA8" w:rsidRDefault="00D2309F" w:rsidP="00D2309F">
      <w:pPr>
        <w:pStyle w:val="ListParagraph"/>
        <w:numPr>
          <w:ilvl w:val="2"/>
          <w:numId w:val="1"/>
        </w:numPr>
        <w:snapToGrid w:val="0"/>
        <w:spacing w:after="0" w:line="240" w:lineRule="auto"/>
        <w:contextualSpacing w:val="0"/>
        <w:rPr>
          <w:rFonts w:cstheme="minorHAnsi"/>
          <w:lang w:val="en-US"/>
        </w:rPr>
      </w:pPr>
      <w:r w:rsidRPr="00616AA8">
        <w:rPr>
          <w:rFonts w:cstheme="minorHAnsi"/>
          <w:lang w:val="en-US"/>
        </w:rPr>
        <w:lastRenderedPageBreak/>
        <w:t>Risk Management Summary</w:t>
      </w:r>
    </w:p>
    <w:p w14:paraId="3D568848" w14:textId="77777777" w:rsidR="00D2309F" w:rsidRDefault="00D2309F" w:rsidP="00D2309F">
      <w:pPr>
        <w:snapToGrid w:val="0"/>
        <w:spacing w:after="0" w:line="240" w:lineRule="auto"/>
        <w:rPr>
          <w:rFonts w:cstheme="minorHAnsi"/>
          <w:noProof/>
          <w:lang w:val="en-US"/>
        </w:rPr>
      </w:pPr>
    </w:p>
    <w:p w14:paraId="3BB715F6" w14:textId="77777777" w:rsidR="00D2309F" w:rsidRPr="00CA0E9F" w:rsidRDefault="00D2309F" w:rsidP="00D2309F">
      <w:pPr>
        <w:pStyle w:val="ListParagraph"/>
        <w:numPr>
          <w:ilvl w:val="0"/>
          <w:numId w:val="34"/>
        </w:numPr>
        <w:snapToGrid w:val="0"/>
        <w:spacing w:after="0" w:line="240" w:lineRule="auto"/>
        <w:rPr>
          <w:rFonts w:cstheme="minorHAnsi"/>
          <w:lang w:val="en-US"/>
        </w:rPr>
      </w:pPr>
      <w:r w:rsidRPr="00CA0E9F">
        <w:rPr>
          <w:rFonts w:cstheme="minorHAnsi"/>
          <w:lang w:val="en-US"/>
        </w:rPr>
        <w:t>Portfolio Diversification:</w:t>
      </w:r>
    </w:p>
    <w:p w14:paraId="79D2561B" w14:textId="77777777" w:rsidR="00D2309F" w:rsidRDefault="00D2309F" w:rsidP="00D2309F">
      <w:pPr>
        <w:snapToGrid w:val="0"/>
        <w:spacing w:after="0" w:line="240" w:lineRule="auto"/>
        <w:rPr>
          <w:rFonts w:cstheme="minorHAnsi"/>
          <w:lang w:val="en-US"/>
        </w:rPr>
      </w:pPr>
      <w:r w:rsidRPr="00CA0E9F">
        <w:rPr>
          <w:rFonts w:cstheme="minorHAnsi"/>
          <w:lang w:val="en-US"/>
        </w:rPr>
        <w:t>Risk Profile Analysis: One of the primary steps in risk management is analyzing the risk profile of the investment portfolio. This includes assessing the type of real estate assets, their locations, market conditions, and historical performance. It is essential to diversify the portfolio to reduce concentration risk. A diversified portfolio helps mitigate the risk associated with fluctuations in specific property values or local real estate market downturns.</w:t>
      </w:r>
    </w:p>
    <w:p w14:paraId="153E3E8D" w14:textId="77777777" w:rsidR="00D2309F" w:rsidRPr="00CA0E9F" w:rsidRDefault="00D2309F" w:rsidP="00D2309F">
      <w:pPr>
        <w:snapToGrid w:val="0"/>
        <w:spacing w:after="0" w:line="240" w:lineRule="auto"/>
        <w:rPr>
          <w:rFonts w:cstheme="minorHAnsi"/>
          <w:lang w:val="en-US"/>
        </w:rPr>
      </w:pPr>
    </w:p>
    <w:p w14:paraId="0FF25AB4" w14:textId="77777777" w:rsidR="00D2309F" w:rsidRPr="00CA0E9F" w:rsidRDefault="00D2309F" w:rsidP="00D2309F">
      <w:pPr>
        <w:pStyle w:val="ListParagraph"/>
        <w:numPr>
          <w:ilvl w:val="0"/>
          <w:numId w:val="34"/>
        </w:numPr>
        <w:snapToGrid w:val="0"/>
        <w:spacing w:after="0" w:line="240" w:lineRule="auto"/>
        <w:rPr>
          <w:rFonts w:cstheme="minorHAnsi"/>
          <w:lang w:val="en-US"/>
        </w:rPr>
      </w:pPr>
      <w:r w:rsidRPr="00CA0E9F">
        <w:rPr>
          <w:rFonts w:cstheme="minorHAnsi"/>
          <w:lang w:val="en-US"/>
        </w:rPr>
        <w:t>Due Diligence and Asset Valuation:</w:t>
      </w:r>
    </w:p>
    <w:p w14:paraId="5F8E56B3" w14:textId="77777777" w:rsidR="00D2309F" w:rsidRPr="00CA0E9F" w:rsidRDefault="00D2309F" w:rsidP="00D2309F">
      <w:pPr>
        <w:snapToGrid w:val="0"/>
        <w:spacing w:after="0" w:line="240" w:lineRule="auto"/>
        <w:rPr>
          <w:rFonts w:cstheme="minorHAnsi"/>
          <w:lang w:val="en-US"/>
        </w:rPr>
      </w:pPr>
      <w:r w:rsidRPr="00CA0E9F">
        <w:rPr>
          <w:rFonts w:cstheme="minorHAnsi"/>
          <w:lang w:val="en-US"/>
        </w:rPr>
        <w:t>In-depth Research: Before lending or borrowing illiquid securities like real estate properties, thorough due diligence is essential. This involves researching the property's historical and projected performance, market trends, legal status, and any potential liabilities. Proper valuation helps ensure that assets are exchanged at fair market value.</w:t>
      </w:r>
    </w:p>
    <w:p w14:paraId="72A0EA6A" w14:textId="77777777" w:rsidR="00D2309F" w:rsidRDefault="00D2309F" w:rsidP="00D2309F">
      <w:pPr>
        <w:snapToGrid w:val="0"/>
        <w:spacing w:after="0" w:line="240" w:lineRule="auto"/>
        <w:rPr>
          <w:rFonts w:cstheme="minorHAnsi"/>
          <w:lang w:val="en-US"/>
        </w:rPr>
      </w:pPr>
    </w:p>
    <w:p w14:paraId="224DD919" w14:textId="77777777" w:rsidR="00D2309F" w:rsidRPr="00CA0E9F" w:rsidRDefault="00D2309F" w:rsidP="00D2309F">
      <w:pPr>
        <w:pStyle w:val="ListParagraph"/>
        <w:numPr>
          <w:ilvl w:val="0"/>
          <w:numId w:val="34"/>
        </w:numPr>
        <w:snapToGrid w:val="0"/>
        <w:spacing w:after="0" w:line="240" w:lineRule="auto"/>
        <w:rPr>
          <w:rFonts w:cstheme="minorHAnsi"/>
          <w:lang w:val="en-US"/>
        </w:rPr>
      </w:pPr>
      <w:r w:rsidRPr="00CA0E9F">
        <w:rPr>
          <w:rFonts w:cstheme="minorHAnsi"/>
          <w:lang w:val="en-US"/>
        </w:rPr>
        <w:t>Risk Assessment:</w:t>
      </w:r>
    </w:p>
    <w:p w14:paraId="1F8E5FD6" w14:textId="77777777" w:rsidR="00D2309F" w:rsidRPr="00CA0E9F" w:rsidRDefault="00D2309F" w:rsidP="00D2309F">
      <w:pPr>
        <w:snapToGrid w:val="0"/>
        <w:spacing w:after="0" w:line="240" w:lineRule="auto"/>
        <w:rPr>
          <w:rFonts w:cstheme="minorHAnsi"/>
          <w:lang w:val="en-US"/>
        </w:rPr>
      </w:pPr>
      <w:r w:rsidRPr="00CA0E9F">
        <w:rPr>
          <w:rFonts w:cstheme="minorHAnsi"/>
          <w:lang w:val="en-US"/>
        </w:rPr>
        <w:t>Borrower Assessment: For lending scenarios, risk assessment includes evaluating the borrower's creditworthiness and financial stability. It's essential to assess the borrower's ability to maintain and manage the asset. In this case, assessing Isaac's ability to manage the "Pokuase Villa" is critical to risk management.</w:t>
      </w:r>
    </w:p>
    <w:p w14:paraId="33FF60B8" w14:textId="77777777" w:rsidR="00D2309F" w:rsidRDefault="00D2309F" w:rsidP="00D2309F">
      <w:pPr>
        <w:snapToGrid w:val="0"/>
        <w:spacing w:after="0" w:line="240" w:lineRule="auto"/>
        <w:rPr>
          <w:rFonts w:cstheme="minorHAnsi"/>
          <w:lang w:val="en-US"/>
        </w:rPr>
      </w:pPr>
    </w:p>
    <w:p w14:paraId="672E53B9" w14:textId="77777777" w:rsidR="00D2309F" w:rsidRPr="00CA0E9F" w:rsidRDefault="00D2309F" w:rsidP="00D2309F">
      <w:pPr>
        <w:pStyle w:val="ListParagraph"/>
        <w:numPr>
          <w:ilvl w:val="0"/>
          <w:numId w:val="34"/>
        </w:numPr>
        <w:snapToGrid w:val="0"/>
        <w:spacing w:after="0" w:line="240" w:lineRule="auto"/>
        <w:rPr>
          <w:rFonts w:cstheme="minorHAnsi"/>
          <w:lang w:val="en-US"/>
        </w:rPr>
      </w:pPr>
      <w:r w:rsidRPr="00CA0E9F">
        <w:rPr>
          <w:rFonts w:cstheme="minorHAnsi"/>
          <w:lang w:val="en-US"/>
        </w:rPr>
        <w:t>Contractual Safeguards:</w:t>
      </w:r>
    </w:p>
    <w:p w14:paraId="774EDB16" w14:textId="77777777" w:rsidR="00D2309F" w:rsidRPr="00CA0E9F" w:rsidRDefault="00D2309F" w:rsidP="00D2309F">
      <w:pPr>
        <w:snapToGrid w:val="0"/>
        <w:spacing w:after="0" w:line="240" w:lineRule="auto"/>
        <w:rPr>
          <w:rFonts w:cstheme="minorHAnsi"/>
          <w:lang w:val="en-US"/>
        </w:rPr>
      </w:pPr>
      <w:r w:rsidRPr="00CA0E9F">
        <w:rPr>
          <w:rFonts w:cstheme="minorHAnsi"/>
          <w:lang w:val="en-US"/>
        </w:rPr>
        <w:t>Smart Contracts: The use of smart contracts provides a secure and automated way to facilitate lending and borrowing transactions. These contracts can include predefined conditions and penalties, helping to mitigate the risk of defaults or breaches of contract.</w:t>
      </w:r>
    </w:p>
    <w:p w14:paraId="2737D700" w14:textId="77777777" w:rsidR="00D2309F" w:rsidRDefault="00D2309F" w:rsidP="00D2309F">
      <w:pPr>
        <w:snapToGrid w:val="0"/>
        <w:spacing w:after="0" w:line="240" w:lineRule="auto"/>
        <w:rPr>
          <w:rFonts w:cstheme="minorHAnsi"/>
          <w:lang w:val="en-US"/>
        </w:rPr>
      </w:pPr>
    </w:p>
    <w:p w14:paraId="243FE628" w14:textId="77777777" w:rsidR="00D2309F" w:rsidRPr="009A6446" w:rsidRDefault="00D2309F" w:rsidP="00D2309F">
      <w:pPr>
        <w:pStyle w:val="ListParagraph"/>
        <w:numPr>
          <w:ilvl w:val="0"/>
          <w:numId w:val="34"/>
        </w:numPr>
        <w:snapToGrid w:val="0"/>
        <w:spacing w:after="0" w:line="240" w:lineRule="auto"/>
        <w:rPr>
          <w:rFonts w:cstheme="minorHAnsi"/>
          <w:lang w:val="en-US"/>
        </w:rPr>
      </w:pPr>
      <w:r w:rsidRPr="009A6446">
        <w:rPr>
          <w:rFonts w:cstheme="minorHAnsi"/>
          <w:lang w:val="en-US"/>
        </w:rPr>
        <w:t>Ongoing Monitoring:</w:t>
      </w:r>
    </w:p>
    <w:p w14:paraId="426D4720" w14:textId="77777777" w:rsidR="00D2309F" w:rsidRPr="00CA0E9F" w:rsidRDefault="00D2309F" w:rsidP="00D2309F">
      <w:pPr>
        <w:snapToGrid w:val="0"/>
        <w:spacing w:after="0" w:line="240" w:lineRule="auto"/>
        <w:rPr>
          <w:rFonts w:cstheme="minorHAnsi"/>
          <w:lang w:val="en-US"/>
        </w:rPr>
      </w:pPr>
      <w:r w:rsidRPr="00CA0E9F">
        <w:rPr>
          <w:rFonts w:cstheme="minorHAnsi"/>
          <w:lang w:val="en-US"/>
        </w:rPr>
        <w:t>Performance Tracking: After the lending or borrowing transaction is executed, continuous monitoring of the asset's performance and market conditions is crucial. Early detection of any issues or deviations from expected outcomes allows for proactive risk management.</w:t>
      </w:r>
    </w:p>
    <w:p w14:paraId="754E721C" w14:textId="77777777" w:rsidR="00D2309F" w:rsidRDefault="00D2309F" w:rsidP="00D2309F">
      <w:pPr>
        <w:snapToGrid w:val="0"/>
        <w:spacing w:after="0" w:line="240" w:lineRule="auto"/>
        <w:rPr>
          <w:rFonts w:cstheme="minorHAnsi"/>
          <w:lang w:val="en-US"/>
        </w:rPr>
      </w:pPr>
    </w:p>
    <w:p w14:paraId="5D7C940E" w14:textId="77777777" w:rsidR="00D2309F" w:rsidRPr="009A6446" w:rsidRDefault="00D2309F" w:rsidP="00D2309F">
      <w:pPr>
        <w:pStyle w:val="ListParagraph"/>
        <w:numPr>
          <w:ilvl w:val="0"/>
          <w:numId w:val="34"/>
        </w:numPr>
        <w:snapToGrid w:val="0"/>
        <w:spacing w:after="0" w:line="240" w:lineRule="auto"/>
        <w:rPr>
          <w:rFonts w:cstheme="minorHAnsi"/>
          <w:lang w:val="en-US"/>
        </w:rPr>
      </w:pPr>
      <w:r w:rsidRPr="009A6446">
        <w:rPr>
          <w:rFonts w:cstheme="minorHAnsi"/>
          <w:lang w:val="en-US"/>
        </w:rPr>
        <w:t>Risk Mitigation Strategies:</w:t>
      </w:r>
    </w:p>
    <w:p w14:paraId="0F48CEE8" w14:textId="77777777" w:rsidR="00D2309F" w:rsidRPr="00CA0E9F" w:rsidRDefault="00D2309F" w:rsidP="00D2309F">
      <w:pPr>
        <w:snapToGrid w:val="0"/>
        <w:spacing w:after="0" w:line="240" w:lineRule="auto"/>
        <w:rPr>
          <w:rFonts w:cstheme="minorHAnsi"/>
          <w:lang w:val="en-US"/>
        </w:rPr>
      </w:pPr>
      <w:r w:rsidRPr="00CA0E9F">
        <w:rPr>
          <w:rFonts w:cstheme="minorHAnsi"/>
          <w:lang w:val="en-US"/>
        </w:rPr>
        <w:t>Risk Mitigation Funds: A portion of the investment capital can be set aside in a risk mitigation fund. This fund serves as a financial cushion in case of unforeseen events, helping to cover unexpected costs or losses.</w:t>
      </w:r>
    </w:p>
    <w:p w14:paraId="77364A62" w14:textId="77777777" w:rsidR="00D2309F" w:rsidRPr="00CA0E9F" w:rsidRDefault="00D2309F" w:rsidP="00D2309F">
      <w:pPr>
        <w:snapToGrid w:val="0"/>
        <w:spacing w:after="0" w:line="240" w:lineRule="auto"/>
        <w:rPr>
          <w:rFonts w:cstheme="minorHAnsi"/>
          <w:lang w:val="en-US"/>
        </w:rPr>
      </w:pPr>
    </w:p>
    <w:p w14:paraId="78D082F7" w14:textId="77777777" w:rsidR="00D2309F" w:rsidRPr="00CA0E9F" w:rsidRDefault="00D2309F" w:rsidP="00D2309F">
      <w:pPr>
        <w:snapToGrid w:val="0"/>
        <w:spacing w:after="0" w:line="240" w:lineRule="auto"/>
        <w:rPr>
          <w:rFonts w:cstheme="minorHAnsi"/>
          <w:lang w:val="en-US"/>
        </w:rPr>
      </w:pPr>
      <w:r w:rsidRPr="00CA0E9F">
        <w:rPr>
          <w:rFonts w:cstheme="minorHAnsi"/>
          <w:lang w:val="en-US"/>
        </w:rPr>
        <w:t>Insurance Policies: Depending on the nature of the investment, relevant insurance policies can be acquired to protect against certain risks, such as property damage or liability claims.</w:t>
      </w:r>
    </w:p>
    <w:p w14:paraId="723D3730" w14:textId="77777777" w:rsidR="00D2309F" w:rsidRPr="00CA0E9F" w:rsidRDefault="00D2309F" w:rsidP="00D2309F">
      <w:pPr>
        <w:snapToGrid w:val="0"/>
        <w:spacing w:after="0" w:line="240" w:lineRule="auto"/>
        <w:rPr>
          <w:rFonts w:cstheme="minorHAnsi"/>
          <w:lang w:val="en-US"/>
        </w:rPr>
      </w:pPr>
    </w:p>
    <w:p w14:paraId="317B1736" w14:textId="77777777" w:rsidR="00D2309F" w:rsidRPr="009A6446" w:rsidRDefault="00D2309F" w:rsidP="00D2309F">
      <w:pPr>
        <w:pStyle w:val="ListParagraph"/>
        <w:numPr>
          <w:ilvl w:val="0"/>
          <w:numId w:val="34"/>
        </w:numPr>
        <w:snapToGrid w:val="0"/>
        <w:spacing w:after="0" w:line="240" w:lineRule="auto"/>
        <w:rPr>
          <w:rFonts w:cstheme="minorHAnsi"/>
          <w:lang w:val="en-US"/>
        </w:rPr>
      </w:pPr>
      <w:r w:rsidRPr="009A6446">
        <w:rPr>
          <w:rFonts w:cstheme="minorHAnsi"/>
          <w:lang w:val="en-US"/>
        </w:rPr>
        <w:t>Regulatory Compliance:</w:t>
      </w:r>
    </w:p>
    <w:p w14:paraId="5A364650" w14:textId="77777777" w:rsidR="00D2309F" w:rsidRPr="00CA0E9F" w:rsidRDefault="00D2309F" w:rsidP="00D2309F">
      <w:pPr>
        <w:snapToGrid w:val="0"/>
        <w:spacing w:after="0" w:line="240" w:lineRule="auto"/>
        <w:rPr>
          <w:rFonts w:cstheme="minorHAnsi"/>
          <w:lang w:val="en-US"/>
        </w:rPr>
      </w:pPr>
      <w:r w:rsidRPr="00CA0E9F">
        <w:rPr>
          <w:rFonts w:cstheme="minorHAnsi"/>
          <w:lang w:val="en-US"/>
        </w:rPr>
        <w:t>Adherence to Regulations: Compliance with real estate and financial regulations is essential. It helps mitigate legal and regulatory risks associated with property transactions.</w:t>
      </w:r>
    </w:p>
    <w:p w14:paraId="6F3440C7" w14:textId="77777777" w:rsidR="00D2309F" w:rsidRDefault="00D2309F" w:rsidP="00D2309F">
      <w:pPr>
        <w:snapToGrid w:val="0"/>
        <w:spacing w:after="0" w:line="240" w:lineRule="auto"/>
        <w:rPr>
          <w:rFonts w:cstheme="minorHAnsi"/>
          <w:lang w:val="en-US"/>
        </w:rPr>
      </w:pPr>
    </w:p>
    <w:p w14:paraId="42A60AB4" w14:textId="77777777" w:rsidR="00D2309F" w:rsidRPr="009A6446" w:rsidRDefault="00D2309F" w:rsidP="00D2309F">
      <w:pPr>
        <w:pStyle w:val="ListParagraph"/>
        <w:numPr>
          <w:ilvl w:val="0"/>
          <w:numId w:val="34"/>
        </w:numPr>
        <w:snapToGrid w:val="0"/>
        <w:spacing w:after="0" w:line="240" w:lineRule="auto"/>
        <w:rPr>
          <w:rFonts w:cstheme="minorHAnsi"/>
          <w:lang w:val="en-US"/>
        </w:rPr>
      </w:pPr>
      <w:r w:rsidRPr="009A6446">
        <w:rPr>
          <w:rFonts w:cstheme="minorHAnsi"/>
          <w:lang w:val="en-US"/>
        </w:rPr>
        <w:t>Scenario Analysis:</w:t>
      </w:r>
    </w:p>
    <w:p w14:paraId="76F57155" w14:textId="77777777" w:rsidR="00D2309F" w:rsidRDefault="00D2309F" w:rsidP="00D2309F">
      <w:pPr>
        <w:snapToGrid w:val="0"/>
        <w:spacing w:after="0" w:line="240" w:lineRule="auto"/>
        <w:rPr>
          <w:rFonts w:cstheme="minorHAnsi"/>
          <w:lang w:val="en-US"/>
        </w:rPr>
      </w:pPr>
      <w:r w:rsidRPr="00CA0E9F">
        <w:rPr>
          <w:rFonts w:cstheme="minorHAnsi"/>
          <w:lang w:val="en-US"/>
        </w:rPr>
        <w:t>Stress Testing: Conducting stress tests and scenario analyses helps identify vulnerabilities in the portfolio. By simulating adverse market conditions, potential risks can be quantified and strategies for risk mitigation can be developed.</w:t>
      </w:r>
    </w:p>
    <w:p w14:paraId="4109B0D5" w14:textId="77777777" w:rsidR="00D2309F" w:rsidRPr="00CA0E9F" w:rsidRDefault="00D2309F" w:rsidP="00D2309F">
      <w:pPr>
        <w:snapToGrid w:val="0"/>
        <w:spacing w:after="0" w:line="240" w:lineRule="auto"/>
        <w:rPr>
          <w:rFonts w:cstheme="minorHAnsi"/>
          <w:lang w:val="en-US"/>
        </w:rPr>
      </w:pPr>
    </w:p>
    <w:p w14:paraId="2BD1A509" w14:textId="77777777" w:rsidR="00D2309F" w:rsidRPr="00616AA8" w:rsidRDefault="00D2309F" w:rsidP="00D2309F">
      <w:pPr>
        <w:snapToGrid w:val="0"/>
        <w:spacing w:after="0" w:line="240" w:lineRule="auto"/>
        <w:rPr>
          <w:rFonts w:cstheme="minorHAnsi"/>
          <w:lang w:val="en-US"/>
        </w:rPr>
      </w:pPr>
      <w:r>
        <w:rPr>
          <w:rFonts w:cstheme="minorHAnsi"/>
          <w:lang w:val="en-US"/>
        </w:rPr>
        <w:t>The</w:t>
      </w:r>
      <w:r w:rsidRPr="00CA0E9F">
        <w:rPr>
          <w:rFonts w:cstheme="minorHAnsi"/>
          <w:lang w:val="en-US"/>
        </w:rPr>
        <w:t xml:space="preserve"> management of risks associated with real estate investments involves a combination of prudent risk assessment, asset diversification, due diligence, contractual safeguards, and continuous monitoring. Proactive risk mitigation strategies and adherence to regulations play a vital role in maintaining the stability and security of the investment portfolio. By following these risk management practices, the risk management team ensures the safeguarding of investments in the real estate market.</w:t>
      </w:r>
    </w:p>
    <w:p w14:paraId="6A8B1515" w14:textId="77777777" w:rsidR="00D2309F" w:rsidRDefault="00D2309F" w:rsidP="001B6ACD">
      <w:pPr>
        <w:snapToGrid w:val="0"/>
        <w:spacing w:after="0" w:line="240" w:lineRule="auto"/>
        <w:rPr>
          <w:rFonts w:cstheme="minorHAnsi"/>
          <w:lang w:val="en-US"/>
        </w:rPr>
      </w:pPr>
    </w:p>
    <w:p w14:paraId="40DF1198" w14:textId="77777777" w:rsidR="00D2309F" w:rsidRDefault="00D2309F" w:rsidP="001B6ACD">
      <w:pPr>
        <w:snapToGrid w:val="0"/>
        <w:spacing w:after="0" w:line="240" w:lineRule="auto"/>
        <w:rPr>
          <w:rFonts w:cstheme="minorHAnsi"/>
          <w:lang w:val="en-US"/>
        </w:rPr>
      </w:pPr>
    </w:p>
    <w:p w14:paraId="3482FAC0" w14:textId="77777777" w:rsidR="004E0E7D" w:rsidRDefault="004E0E7D" w:rsidP="001B6ACD">
      <w:pPr>
        <w:snapToGrid w:val="0"/>
        <w:spacing w:after="0" w:line="240" w:lineRule="auto"/>
        <w:rPr>
          <w:rFonts w:cstheme="minorHAnsi"/>
          <w:lang w:val="en-US"/>
        </w:rPr>
      </w:pPr>
    </w:p>
    <w:p w14:paraId="7120C15F" w14:textId="77777777" w:rsidR="00F4266C" w:rsidRPr="00676FC1" w:rsidRDefault="00000000" w:rsidP="004E0E7D">
      <w:pPr>
        <w:pStyle w:val="ListParagraph"/>
        <w:numPr>
          <w:ilvl w:val="0"/>
          <w:numId w:val="1"/>
        </w:numPr>
        <w:snapToGrid w:val="0"/>
        <w:spacing w:after="0" w:line="240" w:lineRule="auto"/>
        <w:rPr>
          <w:rFonts w:cstheme="minorHAnsi"/>
          <w:b/>
          <w:bCs/>
          <w:sz w:val="28"/>
          <w:szCs w:val="28"/>
          <w:lang w:val="en-US"/>
        </w:rPr>
      </w:pPr>
      <w:r w:rsidRPr="00676FC1">
        <w:rPr>
          <w:rFonts w:cstheme="minorHAnsi"/>
          <w:b/>
          <w:bCs/>
          <w:sz w:val="28"/>
          <w:szCs w:val="28"/>
          <w:lang w:val="en-US"/>
        </w:rPr>
        <w:t>Reference:</w:t>
      </w:r>
    </w:p>
    <w:p w14:paraId="7DA1CD58" w14:textId="790FB25C" w:rsidR="00C065E1" w:rsidRPr="00C065E1" w:rsidRDefault="00C065E1" w:rsidP="004E0E7D">
      <w:pPr>
        <w:pStyle w:val="NormalWeb"/>
        <w:numPr>
          <w:ilvl w:val="1"/>
          <w:numId w:val="1"/>
        </w:numPr>
        <w:spacing w:before="0" w:beforeAutospacing="0" w:after="16" w:afterAutospacing="0"/>
        <w:textAlignment w:val="baseline"/>
        <w:rPr>
          <w:rFonts w:ascii="Calibri" w:hAnsi="Calibri" w:cs="Calibri"/>
          <w:b/>
          <w:bCs/>
          <w:color w:val="29333D"/>
          <w:sz w:val="22"/>
          <w:szCs w:val="22"/>
        </w:rPr>
      </w:pPr>
      <w:r w:rsidRPr="00C065E1">
        <w:rPr>
          <w:rFonts w:ascii="Calibri" w:hAnsi="Calibri" w:cs="Calibri"/>
          <w:b/>
          <w:bCs/>
          <w:color w:val="29333D"/>
          <w:sz w:val="22"/>
          <w:szCs w:val="22"/>
        </w:rPr>
        <w:lastRenderedPageBreak/>
        <w:t>For Card, Car</w:t>
      </w:r>
      <w:r w:rsidR="00897673">
        <w:rPr>
          <w:rFonts w:ascii="Calibri" w:hAnsi="Calibri" w:cs="Calibri"/>
          <w:b/>
          <w:bCs/>
          <w:color w:val="29333D"/>
          <w:sz w:val="22"/>
          <w:szCs w:val="22"/>
        </w:rPr>
        <w:t>,</w:t>
      </w:r>
      <w:r w:rsidRPr="00C065E1">
        <w:rPr>
          <w:rFonts w:ascii="Calibri" w:hAnsi="Calibri" w:cs="Calibri"/>
          <w:b/>
          <w:bCs/>
          <w:color w:val="29333D"/>
          <w:sz w:val="22"/>
          <w:szCs w:val="22"/>
        </w:rPr>
        <w:t xml:space="preserve"> Home Loan</w:t>
      </w:r>
    </w:p>
    <w:p w14:paraId="53A094A9" w14:textId="07F2833F" w:rsidR="00C065E1" w:rsidRDefault="00C065E1" w:rsidP="004E0E7D">
      <w:pPr>
        <w:pStyle w:val="NormalWeb"/>
        <w:numPr>
          <w:ilvl w:val="2"/>
          <w:numId w:val="1"/>
        </w:numPr>
        <w:spacing w:before="0" w:beforeAutospacing="0" w:after="16" w:afterAutospacing="0"/>
        <w:textAlignment w:val="baseline"/>
        <w:rPr>
          <w:rFonts w:ascii="Calibri" w:hAnsi="Calibri" w:cs="Calibri"/>
          <w:color w:val="29333D"/>
          <w:sz w:val="22"/>
          <w:szCs w:val="22"/>
        </w:rPr>
      </w:pPr>
      <w:r>
        <w:rPr>
          <w:rFonts w:ascii="Calibri" w:hAnsi="Calibri" w:cs="Calibri"/>
          <w:color w:val="29333D"/>
          <w:sz w:val="22"/>
          <w:szCs w:val="22"/>
        </w:rPr>
        <w:t>WorldQuant University (2023). Financial Data [Module 7]. Retrieved from https://learn.wqu.edu/my-path/courses/financial-data/modules/m-7-integrating-ethics-a nd-critical-thinking-with-financial-data/tasks/lesson-4-ethical-practices-with-data-lessonnotes</w:t>
      </w:r>
    </w:p>
    <w:p w14:paraId="5273F67A" w14:textId="77777777" w:rsidR="00C065E1" w:rsidRDefault="00C065E1" w:rsidP="004E0E7D">
      <w:pPr>
        <w:pStyle w:val="NormalWeb"/>
        <w:numPr>
          <w:ilvl w:val="2"/>
          <w:numId w:val="1"/>
        </w:numPr>
        <w:spacing w:before="0" w:beforeAutospacing="0" w:after="8" w:afterAutospacing="0"/>
        <w:textAlignment w:val="baseline"/>
        <w:rPr>
          <w:rFonts w:ascii="Calibri" w:hAnsi="Calibri" w:cs="Calibri"/>
          <w:color w:val="29333D"/>
          <w:sz w:val="22"/>
          <w:szCs w:val="22"/>
        </w:rPr>
      </w:pPr>
      <w:r>
        <w:rPr>
          <w:rFonts w:ascii="Calibri" w:hAnsi="Calibri" w:cs="Calibri"/>
          <w:color w:val="000000"/>
          <w:sz w:val="22"/>
          <w:szCs w:val="22"/>
        </w:rPr>
        <w:t xml:space="preserve">OpenAI. (2022). ChatGPT [Large language model]. </w:t>
      </w:r>
      <w:hyperlink r:id="rId21" w:history="1">
        <w:r>
          <w:rPr>
            <w:rStyle w:val="Hyperlink"/>
            <w:rFonts w:ascii="Calibri" w:hAnsi="Calibri" w:cs="Calibri"/>
            <w:color w:val="1155CC"/>
            <w:sz w:val="22"/>
            <w:szCs w:val="22"/>
          </w:rPr>
          <w:t>https://chat.openai.com/chat</w:t>
        </w:r>
      </w:hyperlink>
    </w:p>
    <w:p w14:paraId="45C3936A" w14:textId="77777777" w:rsidR="00C065E1" w:rsidRDefault="00C065E1" w:rsidP="004E0E7D">
      <w:pPr>
        <w:pStyle w:val="NormalWeb"/>
        <w:numPr>
          <w:ilvl w:val="2"/>
          <w:numId w:val="1"/>
        </w:numPr>
        <w:spacing w:before="0" w:beforeAutospacing="0" w:after="8" w:afterAutospacing="0"/>
        <w:textAlignment w:val="baseline"/>
        <w:rPr>
          <w:rFonts w:ascii="Calibri" w:hAnsi="Calibri" w:cs="Calibri"/>
          <w:color w:val="29333D"/>
          <w:sz w:val="22"/>
          <w:szCs w:val="22"/>
        </w:rPr>
      </w:pPr>
      <w:r>
        <w:rPr>
          <w:rFonts w:ascii="Calibri" w:hAnsi="Calibri" w:cs="Calibri"/>
          <w:color w:val="000000"/>
          <w:sz w:val="22"/>
          <w:szCs w:val="22"/>
        </w:rPr>
        <w:t>Freddie Mac, 30-Year Fixed Rate Mortgage Average in the United States [MORTGAGE30US], retrieved from FRED, Federal Reserve Bank of St. Louis; https://fred.stlouisfed.org/series/MORTGAGE30US, July 25, 2023.</w:t>
      </w:r>
    </w:p>
    <w:p w14:paraId="7AFB3554" w14:textId="77777777" w:rsidR="00C065E1" w:rsidRDefault="00C065E1" w:rsidP="004E0E7D">
      <w:pPr>
        <w:pStyle w:val="NormalWeb"/>
        <w:numPr>
          <w:ilvl w:val="2"/>
          <w:numId w:val="1"/>
        </w:numPr>
        <w:spacing w:before="0" w:beforeAutospacing="0" w:after="8" w:afterAutospacing="0"/>
        <w:textAlignment w:val="baseline"/>
        <w:rPr>
          <w:rFonts w:ascii="Calibri" w:hAnsi="Calibri" w:cs="Calibri"/>
          <w:color w:val="29333D"/>
          <w:sz w:val="22"/>
          <w:szCs w:val="22"/>
        </w:rPr>
      </w:pPr>
      <w:r>
        <w:rPr>
          <w:rFonts w:ascii="Calibri" w:hAnsi="Calibri" w:cs="Calibri"/>
          <w:color w:val="000000"/>
          <w:sz w:val="22"/>
          <w:szCs w:val="22"/>
        </w:rPr>
        <w:t>U.S. Bureau of Labor Statistics, Unemployment Rate [UNRATE], retrieved from FRED, Federal Reserve Bank of St. Louis; https://fred.stlouisfed.org/series/UNRATE, July 25, 2023.</w:t>
      </w:r>
    </w:p>
    <w:p w14:paraId="1239BFF8" w14:textId="77777777" w:rsidR="00C065E1" w:rsidRDefault="00C065E1" w:rsidP="004E0E7D">
      <w:pPr>
        <w:pStyle w:val="NormalWeb"/>
        <w:numPr>
          <w:ilvl w:val="2"/>
          <w:numId w:val="1"/>
        </w:numPr>
        <w:spacing w:before="0" w:beforeAutospacing="0" w:after="8" w:afterAutospacing="0"/>
        <w:textAlignment w:val="baseline"/>
        <w:rPr>
          <w:rFonts w:ascii="Calibri" w:hAnsi="Calibri" w:cs="Calibri"/>
          <w:color w:val="29333D"/>
          <w:sz w:val="22"/>
          <w:szCs w:val="22"/>
        </w:rPr>
      </w:pPr>
      <w:r>
        <w:rPr>
          <w:rFonts w:ascii="Calibri" w:hAnsi="Calibri" w:cs="Calibri"/>
          <w:color w:val="000000"/>
          <w:sz w:val="22"/>
          <w:szCs w:val="22"/>
        </w:rPr>
        <w:t>World Bank, Inflation, consumer prices for the United States [FPCPITOTLZGUSA], retrieved from FRED, Federal Reserve Bank of St. Louis; https://fred.stlouisfed.org/series/FPCPITOTLZGUSA, July 25, 2023.</w:t>
      </w:r>
    </w:p>
    <w:p w14:paraId="4C8648A9" w14:textId="77777777" w:rsidR="00C065E1" w:rsidRDefault="00C065E1" w:rsidP="004E0E7D">
      <w:pPr>
        <w:pStyle w:val="NormalWeb"/>
        <w:numPr>
          <w:ilvl w:val="2"/>
          <w:numId w:val="1"/>
        </w:numPr>
        <w:spacing w:before="0" w:beforeAutospacing="0" w:after="8" w:afterAutospacing="0"/>
        <w:textAlignment w:val="baseline"/>
        <w:rPr>
          <w:rFonts w:ascii="Calibri" w:hAnsi="Calibri" w:cs="Calibri"/>
          <w:color w:val="29333D"/>
          <w:sz w:val="22"/>
          <w:szCs w:val="22"/>
        </w:rPr>
      </w:pPr>
      <w:r>
        <w:rPr>
          <w:rFonts w:ascii="Calibri" w:hAnsi="Calibri" w:cs="Calibri"/>
          <w:color w:val="000000"/>
          <w:sz w:val="22"/>
          <w:szCs w:val="22"/>
        </w:rPr>
        <w:t>U.S. Bureau of Economic Analysis, Gross Domestic Product [GDP], retrieved from FRED,</w:t>
      </w:r>
    </w:p>
    <w:p w14:paraId="569E64BE" w14:textId="77777777" w:rsidR="00C065E1" w:rsidRDefault="00C065E1" w:rsidP="00C065E1">
      <w:pPr>
        <w:pStyle w:val="NormalWeb"/>
        <w:spacing w:before="0" w:beforeAutospacing="0" w:after="8" w:afterAutospacing="0"/>
        <w:ind w:left="720" w:firstLine="624"/>
      </w:pPr>
      <w:r>
        <w:rPr>
          <w:rFonts w:ascii="Calibri" w:hAnsi="Calibri" w:cs="Calibri"/>
          <w:color w:val="000000"/>
          <w:sz w:val="22"/>
          <w:szCs w:val="22"/>
        </w:rPr>
        <w:t>Federal Reserve Bank of St. Louis; https://fred.stlouisfed.org/series/GDP, July 25, 2023.</w:t>
      </w:r>
    </w:p>
    <w:p w14:paraId="48555FD9" w14:textId="77777777" w:rsidR="00C065E1" w:rsidRDefault="00C065E1" w:rsidP="00C065E1">
      <w:pPr>
        <w:pStyle w:val="ListParagraph"/>
        <w:snapToGrid w:val="0"/>
        <w:spacing w:after="0" w:line="240" w:lineRule="auto"/>
        <w:ind w:left="936"/>
        <w:contextualSpacing w:val="0"/>
        <w:rPr>
          <w:rFonts w:cstheme="minorHAnsi"/>
          <w:b/>
          <w:bCs/>
          <w:sz w:val="20"/>
          <w:szCs w:val="20"/>
          <w:lang w:val="en-US"/>
        </w:rPr>
      </w:pPr>
    </w:p>
    <w:p w14:paraId="10A748C9" w14:textId="199D731A" w:rsidR="00C078AF" w:rsidRPr="00371A1B" w:rsidRDefault="00000000" w:rsidP="004E0E7D">
      <w:pPr>
        <w:pStyle w:val="ListParagraph"/>
        <w:numPr>
          <w:ilvl w:val="1"/>
          <w:numId w:val="1"/>
        </w:numPr>
        <w:snapToGrid w:val="0"/>
        <w:spacing w:after="0" w:line="240" w:lineRule="auto"/>
        <w:contextualSpacing w:val="0"/>
        <w:rPr>
          <w:rFonts w:cstheme="minorHAnsi"/>
          <w:b/>
          <w:bCs/>
          <w:sz w:val="20"/>
          <w:szCs w:val="20"/>
          <w:lang w:val="en-US"/>
        </w:rPr>
      </w:pPr>
      <w:r w:rsidRPr="007306AF">
        <w:rPr>
          <w:rFonts w:cstheme="minorHAnsi"/>
          <w:b/>
          <w:bCs/>
          <w:sz w:val="20"/>
          <w:szCs w:val="20"/>
          <w:lang w:val="en-US"/>
        </w:rPr>
        <w:t>Student: Yhasreen</w:t>
      </w:r>
      <w:r w:rsidR="00B4604B">
        <w:rPr>
          <w:rFonts w:cstheme="minorHAnsi"/>
          <w:b/>
          <w:bCs/>
          <w:sz w:val="20"/>
          <w:szCs w:val="20"/>
          <w:lang w:val="en-US"/>
        </w:rPr>
        <w:t xml:space="preserve"> </w:t>
      </w:r>
      <w:r w:rsidR="00371A1B">
        <w:rPr>
          <w:rFonts w:cstheme="minorHAnsi"/>
          <w:b/>
          <w:bCs/>
          <w:sz w:val="20"/>
          <w:szCs w:val="20"/>
          <w:lang w:val="en-US"/>
        </w:rPr>
        <w:t>for</w:t>
      </w:r>
      <w:r w:rsidR="00421F25" w:rsidRPr="00371A1B">
        <w:rPr>
          <w:rFonts w:cstheme="minorHAnsi"/>
          <w:b/>
          <w:bCs/>
          <w:sz w:val="20"/>
          <w:szCs w:val="20"/>
          <w:lang w:val="en-US"/>
        </w:rPr>
        <w:t xml:space="preserve"> Equity &amp; bond</w:t>
      </w:r>
    </w:p>
    <w:p w14:paraId="7C9FF074" w14:textId="77777777" w:rsidR="006F23A7" w:rsidRPr="004C660E" w:rsidRDefault="00000000" w:rsidP="004E0E7D">
      <w:pPr>
        <w:pStyle w:val="ListParagraph"/>
        <w:numPr>
          <w:ilvl w:val="2"/>
          <w:numId w:val="1"/>
        </w:numPr>
        <w:snapToGrid w:val="0"/>
        <w:spacing w:after="0" w:line="240" w:lineRule="auto"/>
        <w:contextualSpacing w:val="0"/>
        <w:rPr>
          <w:rFonts w:cstheme="minorHAnsi"/>
          <w:b/>
          <w:bCs/>
          <w:sz w:val="20"/>
          <w:szCs w:val="20"/>
          <w:u w:val="single"/>
          <w:lang w:val="en-US"/>
        </w:rPr>
      </w:pPr>
      <w:r w:rsidRPr="004C660E">
        <w:rPr>
          <w:rFonts w:cstheme="minorHAnsi"/>
          <w:b/>
          <w:bCs/>
          <w:sz w:val="20"/>
          <w:szCs w:val="20"/>
          <w:u w:val="single"/>
          <w:lang w:val="en-US"/>
        </w:rPr>
        <w:t>Equity</w:t>
      </w:r>
    </w:p>
    <w:p w14:paraId="1ED87D24" w14:textId="77777777" w:rsidR="004C660E" w:rsidRPr="00CB4DFB" w:rsidRDefault="00000000" w:rsidP="004E0E7D">
      <w:pPr>
        <w:pStyle w:val="ListParagraph"/>
        <w:numPr>
          <w:ilvl w:val="2"/>
          <w:numId w:val="1"/>
        </w:numPr>
        <w:snapToGrid w:val="0"/>
        <w:spacing w:after="0" w:line="240" w:lineRule="auto"/>
        <w:contextualSpacing w:val="0"/>
        <w:rPr>
          <w:rFonts w:cstheme="minorHAnsi"/>
          <w:sz w:val="20"/>
          <w:szCs w:val="20"/>
          <w:lang w:val="en-US"/>
        </w:rPr>
      </w:pPr>
      <w:r w:rsidRPr="00CB4DFB">
        <w:rPr>
          <w:rFonts w:cstheme="minorHAnsi"/>
          <w:sz w:val="20"/>
          <w:szCs w:val="20"/>
          <w:lang w:val="en-US"/>
        </w:rPr>
        <w:t>What is the Hindenburg Research, and what did it report on the Adani Group?</w:t>
      </w:r>
    </w:p>
    <w:p w14:paraId="7245903D" w14:textId="77777777" w:rsidR="00EE705C" w:rsidRPr="00CB4DFB" w:rsidRDefault="00000000" w:rsidP="00332931">
      <w:pPr>
        <w:pStyle w:val="ListParagraph"/>
        <w:snapToGrid w:val="0"/>
        <w:spacing w:after="0" w:line="240" w:lineRule="auto"/>
        <w:ind w:left="1344"/>
        <w:contextualSpacing w:val="0"/>
        <w:rPr>
          <w:rFonts w:cstheme="minorHAnsi"/>
          <w:sz w:val="20"/>
          <w:szCs w:val="20"/>
          <w:lang w:val="en-US"/>
        </w:rPr>
      </w:pPr>
      <w:r w:rsidRPr="00CB4DFB">
        <w:rPr>
          <w:rFonts w:cstheme="minorHAnsi"/>
          <w:sz w:val="20"/>
          <w:szCs w:val="20"/>
          <w:lang w:val="en-US"/>
        </w:rPr>
        <w:t>https://www.jagranjosh.com/general-knowledge/what-is-the-hindenburg-research-and-what-did-it-report-on-the-adani-group-1674659241-1</w:t>
      </w:r>
    </w:p>
    <w:p w14:paraId="71BB5CE8" w14:textId="77777777" w:rsidR="00CB4DFB" w:rsidRDefault="00CB4DFB" w:rsidP="00CB4DFB">
      <w:pPr>
        <w:pStyle w:val="ListParagraph"/>
        <w:snapToGrid w:val="0"/>
        <w:spacing w:after="0" w:line="240" w:lineRule="auto"/>
        <w:ind w:left="1344"/>
        <w:contextualSpacing w:val="0"/>
        <w:rPr>
          <w:rFonts w:cstheme="minorHAnsi"/>
          <w:sz w:val="20"/>
          <w:szCs w:val="20"/>
          <w:lang w:val="en-US"/>
        </w:rPr>
      </w:pPr>
    </w:p>
    <w:p w14:paraId="3BE82E16" w14:textId="77777777" w:rsidR="00CB4DFB" w:rsidRPr="00CB4DFB" w:rsidRDefault="00000000" w:rsidP="004E0E7D">
      <w:pPr>
        <w:pStyle w:val="ListParagraph"/>
        <w:numPr>
          <w:ilvl w:val="2"/>
          <w:numId w:val="1"/>
        </w:numPr>
        <w:snapToGrid w:val="0"/>
        <w:spacing w:after="0" w:line="240" w:lineRule="auto"/>
        <w:contextualSpacing w:val="0"/>
        <w:rPr>
          <w:rFonts w:cstheme="minorHAnsi"/>
          <w:sz w:val="20"/>
          <w:szCs w:val="20"/>
          <w:lang w:val="en-US"/>
        </w:rPr>
      </w:pPr>
      <w:r w:rsidRPr="00CB4DFB">
        <w:rPr>
          <w:rFonts w:cstheme="minorHAnsi"/>
          <w:sz w:val="20"/>
          <w:szCs w:val="20"/>
          <w:lang w:val="en-US"/>
        </w:rPr>
        <w:t>Is There Truth in Muddy Waters’ Report on Olam?</w:t>
      </w:r>
    </w:p>
    <w:p w14:paraId="553CDAEE" w14:textId="77777777" w:rsidR="00CB4DFB" w:rsidRPr="002D4F0C" w:rsidRDefault="00000000" w:rsidP="00332931">
      <w:pPr>
        <w:pStyle w:val="ListParagraph"/>
        <w:snapToGrid w:val="0"/>
        <w:spacing w:after="0" w:line="240" w:lineRule="auto"/>
        <w:ind w:left="1344"/>
        <w:contextualSpacing w:val="0"/>
        <w:rPr>
          <w:rFonts w:cstheme="minorHAnsi"/>
          <w:sz w:val="20"/>
          <w:szCs w:val="20"/>
          <w:lang w:val="en-US"/>
        </w:rPr>
      </w:pPr>
      <w:hyperlink r:id="rId22" w:history="1">
        <w:r w:rsidR="002D4F0C" w:rsidRPr="002D4F0C">
          <w:rPr>
            <w:rStyle w:val="Hyperlink"/>
            <w:rFonts w:cstheme="minorHAnsi"/>
            <w:color w:val="auto"/>
            <w:sz w:val="20"/>
            <w:szCs w:val="20"/>
            <w:u w:val="none"/>
            <w:lang w:val="en-US"/>
          </w:rPr>
          <w:t>https://www.cnbc.com/id/49988091</w:t>
        </w:r>
      </w:hyperlink>
    </w:p>
    <w:p w14:paraId="1AA7CD9B" w14:textId="77777777" w:rsidR="002D4F0C" w:rsidRDefault="002D4F0C" w:rsidP="00A54FAE">
      <w:pPr>
        <w:pStyle w:val="ListParagraph"/>
        <w:snapToGrid w:val="0"/>
        <w:spacing w:after="0" w:line="240" w:lineRule="auto"/>
        <w:ind w:left="1344"/>
        <w:contextualSpacing w:val="0"/>
        <w:rPr>
          <w:rFonts w:cstheme="minorHAnsi"/>
          <w:sz w:val="20"/>
          <w:szCs w:val="20"/>
          <w:lang w:val="en-US"/>
        </w:rPr>
      </w:pPr>
    </w:p>
    <w:p w14:paraId="11172C55" w14:textId="77777777" w:rsidR="00A54FAE" w:rsidRPr="002D4F0C" w:rsidRDefault="00000000" w:rsidP="004E0E7D">
      <w:pPr>
        <w:pStyle w:val="ListParagraph"/>
        <w:numPr>
          <w:ilvl w:val="2"/>
          <w:numId w:val="1"/>
        </w:numPr>
        <w:snapToGrid w:val="0"/>
        <w:spacing w:after="0" w:line="240" w:lineRule="auto"/>
        <w:contextualSpacing w:val="0"/>
        <w:rPr>
          <w:rFonts w:cstheme="minorHAnsi"/>
          <w:sz w:val="20"/>
          <w:szCs w:val="20"/>
          <w:lang w:val="en-US"/>
        </w:rPr>
      </w:pPr>
      <w:r>
        <w:rPr>
          <w:rFonts w:cstheme="minorHAnsi"/>
          <w:sz w:val="20"/>
          <w:szCs w:val="20"/>
          <w:lang w:val="en-US"/>
        </w:rPr>
        <w:t>Board of Governor of the Federal Reserve system.</w:t>
      </w:r>
      <w:r w:rsidRPr="00A54FAE">
        <w:rPr>
          <w:rFonts w:cstheme="minorHAnsi"/>
          <w:sz w:val="20"/>
          <w:szCs w:val="20"/>
          <w:lang w:val="en-US"/>
        </w:rPr>
        <w:t xml:space="preserve"> Volcker Rule</w:t>
      </w:r>
      <w:r>
        <w:rPr>
          <w:rFonts w:cstheme="minorHAnsi"/>
          <w:sz w:val="20"/>
          <w:szCs w:val="20"/>
          <w:lang w:val="en-US"/>
        </w:rPr>
        <w:t>.</w:t>
      </w:r>
    </w:p>
    <w:p w14:paraId="410C622A" w14:textId="77777777" w:rsidR="002D4F0C" w:rsidRPr="00A54FAE" w:rsidRDefault="00000000" w:rsidP="00A54FAE">
      <w:pPr>
        <w:pStyle w:val="ListParagraph"/>
        <w:snapToGrid w:val="0"/>
        <w:spacing w:after="0" w:line="240" w:lineRule="auto"/>
        <w:ind w:left="1344"/>
        <w:contextualSpacing w:val="0"/>
        <w:rPr>
          <w:rFonts w:cstheme="minorHAnsi"/>
          <w:sz w:val="20"/>
          <w:szCs w:val="20"/>
          <w:lang w:val="en-US"/>
        </w:rPr>
      </w:pPr>
      <w:hyperlink r:id="rId23" w:history="1">
        <w:r w:rsidRPr="00A54FAE">
          <w:rPr>
            <w:rStyle w:val="Hyperlink"/>
            <w:rFonts w:cstheme="minorHAnsi"/>
            <w:color w:val="auto"/>
            <w:sz w:val="20"/>
            <w:szCs w:val="20"/>
            <w:u w:val="none"/>
            <w:lang w:val="en-US"/>
          </w:rPr>
          <w:t>https://www.federalreserve.gov/supervisionreg/volcker-rule.htm</w:t>
        </w:r>
      </w:hyperlink>
    </w:p>
    <w:p w14:paraId="131EC252" w14:textId="77777777" w:rsidR="00D069BB" w:rsidRDefault="00D069BB" w:rsidP="00D069BB">
      <w:pPr>
        <w:pStyle w:val="ListParagraph"/>
        <w:snapToGrid w:val="0"/>
        <w:spacing w:after="0" w:line="240" w:lineRule="auto"/>
        <w:ind w:left="1344"/>
        <w:contextualSpacing w:val="0"/>
        <w:rPr>
          <w:rFonts w:cstheme="minorHAnsi"/>
          <w:sz w:val="20"/>
          <w:szCs w:val="20"/>
          <w:lang w:val="en-US"/>
        </w:rPr>
      </w:pPr>
    </w:p>
    <w:p w14:paraId="1E118E32" w14:textId="77777777" w:rsidR="009E0BE0" w:rsidRPr="009E0BE0" w:rsidRDefault="00000000" w:rsidP="004E0E7D">
      <w:pPr>
        <w:pStyle w:val="ListParagraph"/>
        <w:numPr>
          <w:ilvl w:val="2"/>
          <w:numId w:val="1"/>
        </w:numPr>
        <w:snapToGrid w:val="0"/>
        <w:spacing w:after="0" w:line="240" w:lineRule="auto"/>
        <w:contextualSpacing w:val="0"/>
        <w:rPr>
          <w:rFonts w:cstheme="minorHAnsi"/>
          <w:sz w:val="20"/>
          <w:szCs w:val="20"/>
          <w:lang w:val="en-US"/>
        </w:rPr>
      </w:pPr>
      <w:r w:rsidRPr="009E0BE0">
        <w:rPr>
          <w:rFonts w:cstheme="minorHAnsi"/>
          <w:sz w:val="20"/>
          <w:szCs w:val="20"/>
          <w:lang w:val="en-US"/>
        </w:rPr>
        <w:t>Asian Financial Crisis</w:t>
      </w:r>
      <w:r>
        <w:rPr>
          <w:rFonts w:cstheme="minorHAnsi"/>
          <w:sz w:val="20"/>
          <w:szCs w:val="20"/>
          <w:lang w:val="en-US"/>
        </w:rPr>
        <w:t>. Between July 1997 and Dec 1998.</w:t>
      </w:r>
    </w:p>
    <w:p w14:paraId="2288D5CE" w14:textId="77777777" w:rsidR="00A54FAE" w:rsidRPr="009E0BE0" w:rsidRDefault="00000000" w:rsidP="00E74FB4">
      <w:pPr>
        <w:pStyle w:val="ListParagraph"/>
        <w:snapToGrid w:val="0"/>
        <w:spacing w:after="0" w:line="240" w:lineRule="auto"/>
        <w:ind w:left="1344"/>
        <w:contextualSpacing w:val="0"/>
        <w:rPr>
          <w:rFonts w:cstheme="minorHAnsi"/>
          <w:sz w:val="20"/>
          <w:szCs w:val="20"/>
          <w:lang w:val="en-US"/>
        </w:rPr>
      </w:pPr>
      <w:r w:rsidRPr="009E0BE0">
        <w:rPr>
          <w:rFonts w:cstheme="minorHAnsi"/>
          <w:sz w:val="20"/>
          <w:szCs w:val="20"/>
          <w:lang w:val="en-US"/>
        </w:rPr>
        <w:t>https://www.federalreservehistory.org/essays/asian-financial-crisis</w:t>
      </w:r>
    </w:p>
    <w:p w14:paraId="767EF7CE" w14:textId="77777777" w:rsidR="0035098B" w:rsidRDefault="0035098B" w:rsidP="0035098B">
      <w:pPr>
        <w:pStyle w:val="ListParagraph"/>
        <w:snapToGrid w:val="0"/>
        <w:spacing w:after="0" w:line="240" w:lineRule="auto"/>
        <w:ind w:left="1344"/>
        <w:contextualSpacing w:val="0"/>
        <w:rPr>
          <w:rFonts w:cstheme="minorHAnsi"/>
          <w:b/>
          <w:bCs/>
          <w:sz w:val="20"/>
          <w:szCs w:val="20"/>
          <w:u w:val="single"/>
          <w:lang w:val="en-US"/>
        </w:rPr>
      </w:pPr>
    </w:p>
    <w:p w14:paraId="7FF58DF9" w14:textId="77777777" w:rsidR="004C660E" w:rsidRPr="00F170F2" w:rsidRDefault="00000000" w:rsidP="004E0E7D">
      <w:pPr>
        <w:pStyle w:val="ListParagraph"/>
        <w:numPr>
          <w:ilvl w:val="2"/>
          <w:numId w:val="1"/>
        </w:numPr>
        <w:snapToGrid w:val="0"/>
        <w:spacing w:after="0" w:line="240" w:lineRule="auto"/>
        <w:contextualSpacing w:val="0"/>
        <w:rPr>
          <w:rFonts w:cstheme="minorHAnsi"/>
          <w:b/>
          <w:bCs/>
          <w:sz w:val="20"/>
          <w:szCs w:val="20"/>
          <w:u w:val="single"/>
          <w:lang w:val="en-US"/>
        </w:rPr>
      </w:pPr>
      <w:r w:rsidRPr="00F170F2">
        <w:rPr>
          <w:rFonts w:cstheme="minorHAnsi"/>
          <w:b/>
          <w:bCs/>
          <w:sz w:val="20"/>
          <w:szCs w:val="20"/>
          <w:u w:val="single"/>
          <w:lang w:val="en-US"/>
        </w:rPr>
        <w:t>Bond</w:t>
      </w:r>
    </w:p>
    <w:p w14:paraId="0A547848" w14:textId="77777777" w:rsidR="00332931" w:rsidRPr="00332931" w:rsidRDefault="00000000" w:rsidP="004E0E7D">
      <w:pPr>
        <w:pStyle w:val="ListParagraph"/>
        <w:numPr>
          <w:ilvl w:val="2"/>
          <w:numId w:val="1"/>
        </w:numPr>
        <w:snapToGrid w:val="0"/>
        <w:spacing w:after="0" w:line="240" w:lineRule="auto"/>
        <w:contextualSpacing w:val="0"/>
        <w:rPr>
          <w:rFonts w:cstheme="minorHAnsi"/>
          <w:sz w:val="20"/>
          <w:szCs w:val="20"/>
          <w:lang w:val="en-US"/>
        </w:rPr>
      </w:pPr>
      <w:r w:rsidRPr="00332931">
        <w:rPr>
          <w:rFonts w:cstheme="minorHAnsi"/>
          <w:sz w:val="20"/>
          <w:szCs w:val="20"/>
          <w:lang w:val="en-US"/>
        </w:rPr>
        <w:t>The 2007–2009 Financial Crisis: An Erosion of Ethics: A Case Study</w:t>
      </w:r>
    </w:p>
    <w:p w14:paraId="65970825" w14:textId="77777777" w:rsidR="006745FD" w:rsidRPr="00332931" w:rsidRDefault="00000000" w:rsidP="00332931">
      <w:pPr>
        <w:pStyle w:val="ListParagraph"/>
        <w:snapToGrid w:val="0"/>
        <w:spacing w:after="0" w:line="240" w:lineRule="auto"/>
        <w:ind w:left="1344"/>
        <w:contextualSpacing w:val="0"/>
        <w:rPr>
          <w:rFonts w:cstheme="minorHAnsi"/>
          <w:sz w:val="20"/>
          <w:szCs w:val="20"/>
          <w:lang w:val="en-US"/>
        </w:rPr>
      </w:pPr>
      <w:hyperlink r:id="rId24" w:history="1">
        <w:r w:rsidR="00332931" w:rsidRPr="00332931">
          <w:rPr>
            <w:rStyle w:val="Hyperlink"/>
            <w:rFonts w:cstheme="minorHAnsi"/>
            <w:color w:val="auto"/>
            <w:sz w:val="20"/>
            <w:szCs w:val="20"/>
            <w:u w:val="none"/>
            <w:lang w:val="en-US"/>
          </w:rPr>
          <w:t>https://link.springer.com/article/10.1007/s10551-016-3052-7</w:t>
        </w:r>
      </w:hyperlink>
    </w:p>
    <w:p w14:paraId="6E2050CD" w14:textId="77777777" w:rsidR="00332931" w:rsidRPr="00332931" w:rsidRDefault="00332931" w:rsidP="00332931">
      <w:pPr>
        <w:pStyle w:val="ListParagraph"/>
        <w:snapToGrid w:val="0"/>
        <w:spacing w:after="0" w:line="240" w:lineRule="auto"/>
        <w:ind w:left="1344"/>
        <w:contextualSpacing w:val="0"/>
        <w:rPr>
          <w:rFonts w:cstheme="minorHAnsi"/>
          <w:sz w:val="20"/>
          <w:szCs w:val="20"/>
          <w:lang w:val="en-US"/>
        </w:rPr>
      </w:pPr>
    </w:p>
    <w:p w14:paraId="68C8AEBF" w14:textId="77777777" w:rsidR="002D4F0C" w:rsidRPr="002D4F0C" w:rsidRDefault="00000000" w:rsidP="004E0E7D">
      <w:pPr>
        <w:pStyle w:val="ListParagraph"/>
        <w:numPr>
          <w:ilvl w:val="2"/>
          <w:numId w:val="1"/>
        </w:numPr>
        <w:snapToGrid w:val="0"/>
        <w:spacing w:after="0" w:line="240" w:lineRule="auto"/>
        <w:contextualSpacing w:val="0"/>
        <w:rPr>
          <w:rFonts w:cstheme="minorHAnsi"/>
          <w:sz w:val="20"/>
          <w:szCs w:val="20"/>
          <w:lang w:val="en-US"/>
        </w:rPr>
      </w:pPr>
      <w:r w:rsidRPr="002D4F0C">
        <w:rPr>
          <w:rFonts w:cstheme="minorHAnsi"/>
          <w:sz w:val="20"/>
          <w:szCs w:val="20"/>
          <w:lang w:val="en-US"/>
        </w:rPr>
        <w:t>The Great Recession and Its Aftermath</w:t>
      </w:r>
    </w:p>
    <w:p w14:paraId="75E4D357" w14:textId="77777777" w:rsidR="00EE705C" w:rsidRPr="00E74FB4" w:rsidRDefault="00000000" w:rsidP="00E74FB4">
      <w:pPr>
        <w:pStyle w:val="ListParagraph"/>
        <w:snapToGrid w:val="0"/>
        <w:spacing w:after="0" w:line="240" w:lineRule="auto"/>
        <w:ind w:left="1344"/>
        <w:contextualSpacing w:val="0"/>
        <w:rPr>
          <w:rFonts w:cstheme="minorHAnsi"/>
          <w:sz w:val="20"/>
          <w:szCs w:val="20"/>
          <w:lang w:val="en-US"/>
        </w:rPr>
      </w:pPr>
      <w:hyperlink r:id="rId25" w:history="1">
        <w:r w:rsidRPr="00E74FB4">
          <w:rPr>
            <w:rStyle w:val="Hyperlink"/>
            <w:rFonts w:cstheme="minorHAnsi"/>
            <w:color w:val="auto"/>
            <w:sz w:val="20"/>
            <w:szCs w:val="20"/>
            <w:u w:val="none"/>
            <w:lang w:val="en-US"/>
          </w:rPr>
          <w:t>https://www.federalreservehistory.org/essays/great-recession-and-its-aftermath</w:t>
        </w:r>
      </w:hyperlink>
    </w:p>
    <w:p w14:paraId="668C9768" w14:textId="77777777" w:rsidR="00AE6DE2" w:rsidRDefault="00AE6DE2" w:rsidP="00ED0785">
      <w:pPr>
        <w:pStyle w:val="ListParagraph"/>
        <w:snapToGrid w:val="0"/>
        <w:spacing w:after="0" w:line="240" w:lineRule="auto"/>
        <w:ind w:left="1344"/>
        <w:contextualSpacing w:val="0"/>
        <w:rPr>
          <w:rFonts w:cstheme="minorHAnsi"/>
          <w:sz w:val="20"/>
          <w:szCs w:val="20"/>
          <w:lang w:val="en-US"/>
        </w:rPr>
      </w:pPr>
    </w:p>
    <w:p w14:paraId="3A9952B7" w14:textId="77777777" w:rsidR="002D4F0C" w:rsidRPr="00AE6DE2" w:rsidRDefault="00000000" w:rsidP="004E0E7D">
      <w:pPr>
        <w:pStyle w:val="ListParagraph"/>
        <w:numPr>
          <w:ilvl w:val="2"/>
          <w:numId w:val="1"/>
        </w:numPr>
        <w:snapToGrid w:val="0"/>
        <w:spacing w:after="0" w:line="240" w:lineRule="auto"/>
        <w:contextualSpacing w:val="0"/>
        <w:rPr>
          <w:rFonts w:cstheme="minorHAnsi"/>
          <w:sz w:val="20"/>
          <w:szCs w:val="20"/>
          <w:lang w:val="en-US"/>
        </w:rPr>
      </w:pPr>
      <w:r w:rsidRPr="00AE6DE2">
        <w:rPr>
          <w:rFonts w:cstheme="minorHAnsi"/>
          <w:sz w:val="20"/>
          <w:szCs w:val="20"/>
          <w:lang w:val="en-US"/>
        </w:rPr>
        <w:t>Fiduciary Duties of Investment Intermediaries</w:t>
      </w:r>
    </w:p>
    <w:p w14:paraId="2706F978" w14:textId="77777777" w:rsidR="002D4F0C" w:rsidRPr="00E74FB4" w:rsidRDefault="00000000" w:rsidP="00E74FB4">
      <w:pPr>
        <w:pStyle w:val="ListParagraph"/>
        <w:snapToGrid w:val="0"/>
        <w:spacing w:after="0" w:line="240" w:lineRule="auto"/>
        <w:ind w:left="1344"/>
        <w:contextualSpacing w:val="0"/>
        <w:rPr>
          <w:rFonts w:cstheme="minorHAnsi"/>
          <w:sz w:val="20"/>
          <w:szCs w:val="20"/>
          <w:lang w:val="en-US"/>
        </w:rPr>
      </w:pPr>
      <w:hyperlink r:id="rId26" w:history="1">
        <w:r w:rsidRPr="00E74FB4">
          <w:rPr>
            <w:rStyle w:val="Hyperlink"/>
            <w:rFonts w:cstheme="minorHAnsi"/>
            <w:color w:val="auto"/>
            <w:sz w:val="20"/>
            <w:szCs w:val="20"/>
            <w:u w:val="none"/>
            <w:lang w:val="en-US"/>
          </w:rPr>
          <w:t>https://www.lawcom.gov.uk/project/fiduciary-duties-of-investment-intermediaries/</w:t>
        </w:r>
      </w:hyperlink>
    </w:p>
    <w:p w14:paraId="519D32E8" w14:textId="77777777" w:rsidR="00ED0785" w:rsidRDefault="00ED0785" w:rsidP="00ED0785">
      <w:pPr>
        <w:pStyle w:val="ListParagraph"/>
        <w:snapToGrid w:val="0"/>
        <w:spacing w:after="0" w:line="240" w:lineRule="auto"/>
        <w:ind w:left="1344"/>
        <w:contextualSpacing w:val="0"/>
        <w:rPr>
          <w:rFonts w:cstheme="minorHAnsi"/>
          <w:sz w:val="20"/>
          <w:szCs w:val="20"/>
          <w:lang w:val="en-US"/>
        </w:rPr>
      </w:pPr>
    </w:p>
    <w:p w14:paraId="16B6BE9B" w14:textId="77777777" w:rsidR="00556F8F" w:rsidRDefault="00000000" w:rsidP="004E0E7D">
      <w:pPr>
        <w:pStyle w:val="ListParagraph"/>
        <w:numPr>
          <w:ilvl w:val="2"/>
          <w:numId w:val="1"/>
        </w:numPr>
        <w:snapToGrid w:val="0"/>
        <w:spacing w:after="0" w:line="240" w:lineRule="auto"/>
        <w:contextualSpacing w:val="0"/>
        <w:rPr>
          <w:rFonts w:cstheme="minorHAnsi"/>
          <w:sz w:val="20"/>
          <w:szCs w:val="20"/>
          <w:lang w:val="en-US"/>
        </w:rPr>
      </w:pPr>
      <w:r w:rsidRPr="00556F8F">
        <w:rPr>
          <w:rFonts w:cstheme="minorHAnsi"/>
          <w:sz w:val="20"/>
          <w:szCs w:val="20"/>
          <w:lang w:val="en-US"/>
        </w:rPr>
        <w:t>Dodd-Frank Act</w:t>
      </w:r>
    </w:p>
    <w:p w14:paraId="7BBB0F5B" w14:textId="77777777" w:rsidR="00556F8F" w:rsidRPr="002D4F0C" w:rsidRDefault="00000000" w:rsidP="00E74FB4">
      <w:pPr>
        <w:pStyle w:val="ListParagraph"/>
        <w:snapToGrid w:val="0"/>
        <w:spacing w:after="0" w:line="240" w:lineRule="auto"/>
        <w:ind w:left="1344"/>
        <w:contextualSpacing w:val="0"/>
        <w:rPr>
          <w:rFonts w:cstheme="minorHAnsi"/>
          <w:sz w:val="20"/>
          <w:szCs w:val="20"/>
          <w:lang w:val="en-US"/>
        </w:rPr>
      </w:pPr>
      <w:r w:rsidRPr="00556F8F">
        <w:rPr>
          <w:rFonts w:cstheme="minorHAnsi"/>
          <w:sz w:val="20"/>
          <w:szCs w:val="20"/>
          <w:lang w:val="en-US"/>
        </w:rPr>
        <w:t>https://www.cftc.gov/LawRegulation/DoddFrankAct/index.htm</w:t>
      </w:r>
    </w:p>
    <w:p w14:paraId="52490819" w14:textId="77777777" w:rsidR="00332931" w:rsidRDefault="00332931" w:rsidP="00332931">
      <w:pPr>
        <w:pStyle w:val="ListParagraph"/>
        <w:snapToGrid w:val="0"/>
        <w:spacing w:after="0" w:line="240" w:lineRule="auto"/>
        <w:ind w:left="936"/>
        <w:contextualSpacing w:val="0"/>
        <w:rPr>
          <w:rFonts w:cstheme="minorHAnsi"/>
          <w:b/>
          <w:bCs/>
          <w:sz w:val="20"/>
          <w:szCs w:val="20"/>
          <w:lang w:val="en-US"/>
        </w:rPr>
      </w:pPr>
    </w:p>
    <w:p w14:paraId="56C8929A" w14:textId="77777777" w:rsidR="00370368" w:rsidRDefault="00370368" w:rsidP="00370368">
      <w:pPr>
        <w:pStyle w:val="ListParagraph"/>
        <w:snapToGrid w:val="0"/>
        <w:spacing w:after="0" w:line="240" w:lineRule="auto"/>
        <w:ind w:left="1344"/>
        <w:contextualSpacing w:val="0"/>
        <w:rPr>
          <w:rFonts w:cstheme="minorHAnsi"/>
          <w:sz w:val="20"/>
          <w:szCs w:val="20"/>
          <w:lang w:val="en-US"/>
        </w:rPr>
      </w:pPr>
    </w:p>
    <w:sectPr w:rsidR="00370368" w:rsidSect="00E214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5F117" w14:textId="77777777" w:rsidR="00BD15A1" w:rsidRDefault="00BD15A1">
      <w:pPr>
        <w:spacing w:after="0" w:line="240" w:lineRule="auto"/>
      </w:pPr>
      <w:r>
        <w:separator/>
      </w:r>
    </w:p>
  </w:endnote>
  <w:endnote w:type="continuationSeparator" w:id="0">
    <w:p w14:paraId="3EAC0ACD" w14:textId="77777777" w:rsidR="00BD15A1" w:rsidRDefault="00BD1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F79C0" w14:textId="77777777" w:rsidR="00BD15A1" w:rsidRDefault="00BD15A1">
      <w:pPr>
        <w:spacing w:after="0" w:line="240" w:lineRule="auto"/>
      </w:pPr>
      <w:r>
        <w:separator/>
      </w:r>
    </w:p>
  </w:footnote>
  <w:footnote w:type="continuationSeparator" w:id="0">
    <w:p w14:paraId="3F15C5B8" w14:textId="77777777" w:rsidR="00BD15A1" w:rsidRDefault="00BD1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Content>
      <w:p w14:paraId="4187A665" w14:textId="710C1578" w:rsidR="002332B0" w:rsidRDefault="00000000">
        <w:pPr>
          <w:pStyle w:val="Header"/>
        </w:pPr>
        <w:r>
          <w:t>Group Work Project:</w:t>
        </w:r>
        <w:r w:rsidR="00170340">
          <w:t xml:space="preserve"> </w:t>
        </w:r>
        <w:r w:rsidR="00AB541B">
          <w:t>3</w:t>
        </w:r>
        <w:r>
          <w:t>. Group Number:</w:t>
        </w:r>
        <w:r w:rsidR="00581DD9">
          <w:t xml:space="preserve"> </w:t>
        </w:r>
        <w:r w:rsidR="00334964">
          <w:t>4</w:t>
        </w:r>
        <w:r w:rsidR="00581DD9">
          <w:t>1</w:t>
        </w:r>
        <w:r w:rsidR="00334964">
          <w:t>75</w:t>
        </w:r>
        <w:r w:rsidR="00581DD9">
          <w:t>.</w:t>
        </w:r>
        <w:r>
          <w:t xml:space="preserve"> Group Member: Yhasreen</w:t>
        </w:r>
        <w:r w:rsidR="00627E49">
          <w:t>,</w:t>
        </w:r>
        <w:r w:rsidR="00AB541B" w:rsidRPr="00AB541B">
          <w:t xml:space="preserve"> </w:t>
        </w:r>
        <w:r w:rsidR="00AB541B">
          <w:t>Oratile</w:t>
        </w:r>
      </w:p>
      <w:p w14:paraId="0C074B95" w14:textId="77777777" w:rsidR="002332B0" w:rsidRDefault="00000000">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EEB5345" w14:textId="77777777" w:rsidR="002332B0" w:rsidRDefault="00233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D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B1A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0839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9378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D52C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0F50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C737FD"/>
    <w:multiLevelType w:val="multilevel"/>
    <w:tmpl w:val="4630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C79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BB46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F810D10"/>
    <w:multiLevelType w:val="multilevel"/>
    <w:tmpl w:val="C6DA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89459C"/>
    <w:multiLevelType w:val="hybridMultilevel"/>
    <w:tmpl w:val="CFE656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9BA252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556BF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5679BA"/>
    <w:multiLevelType w:val="multilevel"/>
    <w:tmpl w:val="9CAC17FA"/>
    <w:lvl w:ilvl="0">
      <w:start w:val="1"/>
      <w:numFmt w:val="decimal"/>
      <w:lvlText w:val="%1."/>
      <w:lvlJc w:val="left"/>
      <w:pPr>
        <w:ind w:left="360" w:hanging="360"/>
      </w:pPr>
      <w:rPr>
        <w:rFonts w:hint="default"/>
        <w:b/>
        <w:bCs/>
      </w:rPr>
    </w:lvl>
    <w:lvl w:ilvl="1">
      <w:start w:val="1"/>
      <w:numFmt w:val="decimal"/>
      <w:lvlText w:val="%1.%2."/>
      <w:lvlJc w:val="left"/>
      <w:pPr>
        <w:ind w:left="936" w:hanging="576"/>
      </w:pPr>
      <w:rPr>
        <w:rFonts w:hint="default"/>
        <w:b/>
        <w:bCs/>
      </w:rPr>
    </w:lvl>
    <w:lvl w:ilvl="2">
      <w:start w:val="1"/>
      <w:numFmt w:val="decimal"/>
      <w:lvlText w:val="%1.%2.%3."/>
      <w:lvlJc w:val="left"/>
      <w:pPr>
        <w:ind w:left="1191" w:hanging="624"/>
      </w:pPr>
      <w:rPr>
        <w:rFonts w:hint="default"/>
        <w:b w:val="0"/>
        <w:bCs w:val="0"/>
      </w:rPr>
    </w:lvl>
    <w:lvl w:ilvl="3">
      <w:start w:val="1"/>
      <w:numFmt w:val="decimal"/>
      <w:lvlText w:val="%1.%2.%3.%4."/>
      <w:lvlJc w:val="left"/>
      <w:pPr>
        <w:ind w:left="1824" w:hanging="744"/>
      </w:pPr>
      <w:rPr>
        <w:rFonts w:hint="default"/>
        <w:b w:val="0"/>
        <w:bCs w:val="0"/>
        <w:color w:val="auto"/>
      </w:rPr>
    </w:lvl>
    <w:lvl w:ilvl="4">
      <w:start w:val="1"/>
      <w:numFmt w:val="decimal"/>
      <w:lvlText w:val="%1.%2.%3.%4.%5."/>
      <w:lvlJc w:val="left"/>
      <w:pPr>
        <w:ind w:left="2304" w:hanging="864"/>
      </w:pPr>
      <w:rPr>
        <w:rFonts w:hint="default"/>
        <w:b w:val="0"/>
        <w:bCs w:val="0"/>
      </w:rPr>
    </w:lvl>
    <w:lvl w:ilvl="5">
      <w:start w:val="1"/>
      <w:numFmt w:val="decimal"/>
      <w:lvlText w:val="%1.%2.%3.%4.%5.%6."/>
      <w:lvlJc w:val="left"/>
      <w:pPr>
        <w:ind w:left="2784" w:hanging="98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DEC23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150A4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3F80D42"/>
    <w:multiLevelType w:val="multilevel"/>
    <w:tmpl w:val="A0A2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BB4D8B"/>
    <w:multiLevelType w:val="multilevel"/>
    <w:tmpl w:val="2F30C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365C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88A647C"/>
    <w:multiLevelType w:val="multilevel"/>
    <w:tmpl w:val="A3C40A0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D4C7152"/>
    <w:multiLevelType w:val="multilevel"/>
    <w:tmpl w:val="6DC8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C3957"/>
    <w:multiLevelType w:val="hybridMultilevel"/>
    <w:tmpl w:val="63C4D6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3F85FC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517757B"/>
    <w:multiLevelType w:val="multilevel"/>
    <w:tmpl w:val="A3C40A0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5634322"/>
    <w:multiLevelType w:val="multilevel"/>
    <w:tmpl w:val="A3C40A0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C106BD8"/>
    <w:multiLevelType w:val="multilevel"/>
    <w:tmpl w:val="1830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1A0CC3"/>
    <w:multiLevelType w:val="multilevel"/>
    <w:tmpl w:val="7404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E84982"/>
    <w:multiLevelType w:val="multilevel"/>
    <w:tmpl w:val="A3C40A0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15A31B0"/>
    <w:multiLevelType w:val="multilevel"/>
    <w:tmpl w:val="E01C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6A05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94D2E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8D440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7A78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547DE9"/>
    <w:multiLevelType w:val="hybridMultilevel"/>
    <w:tmpl w:val="46C2DB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963459F"/>
    <w:multiLevelType w:val="multilevel"/>
    <w:tmpl w:val="3F6C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2D711E"/>
    <w:multiLevelType w:val="multilevel"/>
    <w:tmpl w:val="A4D4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8B2830"/>
    <w:multiLevelType w:val="multilevel"/>
    <w:tmpl w:val="E4CE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29730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20A2C5F"/>
    <w:multiLevelType w:val="multilevel"/>
    <w:tmpl w:val="EADE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D70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9D70A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AE1A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4617767">
    <w:abstractNumId w:val="13"/>
  </w:num>
  <w:num w:numId="2" w16cid:durableId="792987747">
    <w:abstractNumId w:val="15"/>
  </w:num>
  <w:num w:numId="3" w16cid:durableId="155150960">
    <w:abstractNumId w:val="14"/>
  </w:num>
  <w:num w:numId="4" w16cid:durableId="1563759835">
    <w:abstractNumId w:val="18"/>
  </w:num>
  <w:num w:numId="5" w16cid:durableId="2139177919">
    <w:abstractNumId w:val="1"/>
  </w:num>
  <w:num w:numId="6" w16cid:durableId="1195731012">
    <w:abstractNumId w:val="23"/>
  </w:num>
  <w:num w:numId="7" w16cid:durableId="1253705294">
    <w:abstractNumId w:val="11"/>
  </w:num>
  <w:num w:numId="8" w16cid:durableId="265384077">
    <w:abstractNumId w:val="19"/>
  </w:num>
  <w:num w:numId="9" w16cid:durableId="1272932989">
    <w:abstractNumId w:val="12"/>
  </w:num>
  <w:num w:numId="10" w16cid:durableId="164177688">
    <w:abstractNumId w:val="8"/>
  </w:num>
  <w:num w:numId="11" w16cid:durableId="1711880589">
    <w:abstractNumId w:val="0"/>
  </w:num>
  <w:num w:numId="12" w16cid:durableId="857624808">
    <w:abstractNumId w:val="4"/>
  </w:num>
  <w:num w:numId="13" w16cid:durableId="537624100">
    <w:abstractNumId w:val="2"/>
  </w:num>
  <w:num w:numId="14" w16cid:durableId="670257949">
    <w:abstractNumId w:val="29"/>
  </w:num>
  <w:num w:numId="15" w16cid:durableId="359555518">
    <w:abstractNumId w:val="40"/>
  </w:num>
  <w:num w:numId="16" w16cid:durableId="1110006551">
    <w:abstractNumId w:val="3"/>
  </w:num>
  <w:num w:numId="17" w16cid:durableId="53701156">
    <w:abstractNumId w:val="5"/>
  </w:num>
  <w:num w:numId="18" w16cid:durableId="2071800960">
    <w:abstractNumId w:val="22"/>
  </w:num>
  <w:num w:numId="19" w16cid:durableId="1213881366">
    <w:abstractNumId w:val="37"/>
  </w:num>
  <w:num w:numId="20" w16cid:durableId="1877355862">
    <w:abstractNumId w:val="38"/>
  </w:num>
  <w:num w:numId="21" w16cid:durableId="1939826471">
    <w:abstractNumId w:val="6"/>
  </w:num>
  <w:num w:numId="22" w16cid:durableId="2026010998">
    <w:abstractNumId w:val="9"/>
  </w:num>
  <w:num w:numId="23" w16cid:durableId="495653059">
    <w:abstractNumId w:val="36"/>
  </w:num>
  <w:num w:numId="24" w16cid:durableId="932393709">
    <w:abstractNumId w:val="26"/>
  </w:num>
  <w:num w:numId="25" w16cid:durableId="343632754">
    <w:abstractNumId w:val="34"/>
  </w:num>
  <w:num w:numId="26" w16cid:durableId="1937060325">
    <w:abstractNumId w:val="16"/>
  </w:num>
  <w:num w:numId="27" w16cid:durableId="1658149025">
    <w:abstractNumId w:val="35"/>
  </w:num>
  <w:num w:numId="28" w16cid:durableId="1251310814">
    <w:abstractNumId w:val="28"/>
  </w:num>
  <w:num w:numId="29" w16cid:durableId="204678984">
    <w:abstractNumId w:val="17"/>
  </w:num>
  <w:num w:numId="30" w16cid:durableId="36901432">
    <w:abstractNumId w:val="25"/>
  </w:num>
  <w:num w:numId="31" w16cid:durableId="1499689758">
    <w:abstractNumId w:val="20"/>
  </w:num>
  <w:num w:numId="32" w16cid:durableId="1766657041">
    <w:abstractNumId w:val="10"/>
  </w:num>
  <w:num w:numId="33" w16cid:durableId="1931503758">
    <w:abstractNumId w:val="33"/>
  </w:num>
  <w:num w:numId="34" w16cid:durableId="1651786927">
    <w:abstractNumId w:val="21"/>
  </w:num>
  <w:num w:numId="35" w16cid:durableId="233667668">
    <w:abstractNumId w:val="39"/>
  </w:num>
  <w:num w:numId="36" w16cid:durableId="573008067">
    <w:abstractNumId w:val="30"/>
  </w:num>
  <w:num w:numId="37" w16cid:durableId="1985313175">
    <w:abstractNumId w:val="32"/>
  </w:num>
  <w:num w:numId="38" w16cid:durableId="1196119371">
    <w:abstractNumId w:val="27"/>
  </w:num>
  <w:num w:numId="39" w16cid:durableId="1512718175">
    <w:abstractNumId w:val="7"/>
  </w:num>
  <w:num w:numId="40" w16cid:durableId="589503691">
    <w:abstractNumId w:val="24"/>
  </w:num>
  <w:num w:numId="41" w16cid:durableId="41249227">
    <w:abstractNumId w:val="41"/>
  </w:num>
  <w:num w:numId="42" w16cid:durableId="446972997">
    <w:abstractNumId w:val="3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B0"/>
    <w:rsid w:val="00001835"/>
    <w:rsid w:val="00001F21"/>
    <w:rsid w:val="00002DFF"/>
    <w:rsid w:val="000032D1"/>
    <w:rsid w:val="00003861"/>
    <w:rsid w:val="00003F02"/>
    <w:rsid w:val="00004014"/>
    <w:rsid w:val="00004F9F"/>
    <w:rsid w:val="00007109"/>
    <w:rsid w:val="000103AE"/>
    <w:rsid w:val="00010494"/>
    <w:rsid w:val="00011D33"/>
    <w:rsid w:val="000126F5"/>
    <w:rsid w:val="000127DE"/>
    <w:rsid w:val="00012C02"/>
    <w:rsid w:val="00014F0D"/>
    <w:rsid w:val="000155D2"/>
    <w:rsid w:val="000173FD"/>
    <w:rsid w:val="0001776B"/>
    <w:rsid w:val="00017EFA"/>
    <w:rsid w:val="00022568"/>
    <w:rsid w:val="0002332C"/>
    <w:rsid w:val="0002405C"/>
    <w:rsid w:val="00025EED"/>
    <w:rsid w:val="000262D9"/>
    <w:rsid w:val="000267A5"/>
    <w:rsid w:val="00027133"/>
    <w:rsid w:val="000309A3"/>
    <w:rsid w:val="00030CBD"/>
    <w:rsid w:val="0003260B"/>
    <w:rsid w:val="00032F56"/>
    <w:rsid w:val="00040FFF"/>
    <w:rsid w:val="00043071"/>
    <w:rsid w:val="000434D1"/>
    <w:rsid w:val="00044A31"/>
    <w:rsid w:val="00045AB1"/>
    <w:rsid w:val="0004665D"/>
    <w:rsid w:val="000469BC"/>
    <w:rsid w:val="000500D6"/>
    <w:rsid w:val="000512CA"/>
    <w:rsid w:val="00051380"/>
    <w:rsid w:val="00053372"/>
    <w:rsid w:val="000546C3"/>
    <w:rsid w:val="00057E1F"/>
    <w:rsid w:val="000604C3"/>
    <w:rsid w:val="00061713"/>
    <w:rsid w:val="0006315E"/>
    <w:rsid w:val="0006476E"/>
    <w:rsid w:val="0006605F"/>
    <w:rsid w:val="00071533"/>
    <w:rsid w:val="00071CD0"/>
    <w:rsid w:val="000748F3"/>
    <w:rsid w:val="00075656"/>
    <w:rsid w:val="000757D3"/>
    <w:rsid w:val="0007612C"/>
    <w:rsid w:val="00081DAF"/>
    <w:rsid w:val="00082078"/>
    <w:rsid w:val="00082A9F"/>
    <w:rsid w:val="000868C1"/>
    <w:rsid w:val="000917E6"/>
    <w:rsid w:val="00092AFF"/>
    <w:rsid w:val="00092F67"/>
    <w:rsid w:val="00093E26"/>
    <w:rsid w:val="00094ADB"/>
    <w:rsid w:val="00096768"/>
    <w:rsid w:val="000A4FF0"/>
    <w:rsid w:val="000B133C"/>
    <w:rsid w:val="000B24FF"/>
    <w:rsid w:val="000B6AD7"/>
    <w:rsid w:val="000B6D3D"/>
    <w:rsid w:val="000B7F25"/>
    <w:rsid w:val="000C0FEC"/>
    <w:rsid w:val="000C3E13"/>
    <w:rsid w:val="000C4679"/>
    <w:rsid w:val="000C651A"/>
    <w:rsid w:val="000C6A85"/>
    <w:rsid w:val="000C6D6C"/>
    <w:rsid w:val="000D0595"/>
    <w:rsid w:val="000D0707"/>
    <w:rsid w:val="000D0E01"/>
    <w:rsid w:val="000D3C42"/>
    <w:rsid w:val="000D41F1"/>
    <w:rsid w:val="000D41F5"/>
    <w:rsid w:val="000D4EAF"/>
    <w:rsid w:val="000D7CC8"/>
    <w:rsid w:val="000E033F"/>
    <w:rsid w:val="000E1DC5"/>
    <w:rsid w:val="000E24B0"/>
    <w:rsid w:val="000E4691"/>
    <w:rsid w:val="000F150D"/>
    <w:rsid w:val="000F4246"/>
    <w:rsid w:val="000F531C"/>
    <w:rsid w:val="001005EE"/>
    <w:rsid w:val="0010133F"/>
    <w:rsid w:val="0010195B"/>
    <w:rsid w:val="00104D45"/>
    <w:rsid w:val="00105685"/>
    <w:rsid w:val="00107355"/>
    <w:rsid w:val="00110A1A"/>
    <w:rsid w:val="0011221E"/>
    <w:rsid w:val="0011382F"/>
    <w:rsid w:val="00113AFD"/>
    <w:rsid w:val="00116472"/>
    <w:rsid w:val="00117CC4"/>
    <w:rsid w:val="00120F0D"/>
    <w:rsid w:val="00121170"/>
    <w:rsid w:val="00121CD7"/>
    <w:rsid w:val="00125F36"/>
    <w:rsid w:val="00126F76"/>
    <w:rsid w:val="00126F94"/>
    <w:rsid w:val="001315CC"/>
    <w:rsid w:val="00131C20"/>
    <w:rsid w:val="001328D9"/>
    <w:rsid w:val="00132955"/>
    <w:rsid w:val="001332C6"/>
    <w:rsid w:val="00134AB5"/>
    <w:rsid w:val="00135276"/>
    <w:rsid w:val="00137054"/>
    <w:rsid w:val="0013791B"/>
    <w:rsid w:val="00150913"/>
    <w:rsid w:val="00153917"/>
    <w:rsid w:val="00155FC7"/>
    <w:rsid w:val="00160554"/>
    <w:rsid w:val="00162232"/>
    <w:rsid w:val="001644C8"/>
    <w:rsid w:val="0016501E"/>
    <w:rsid w:val="00165589"/>
    <w:rsid w:val="00165AD1"/>
    <w:rsid w:val="00165BFF"/>
    <w:rsid w:val="00166A7F"/>
    <w:rsid w:val="001672FD"/>
    <w:rsid w:val="001701A8"/>
    <w:rsid w:val="00170340"/>
    <w:rsid w:val="001710FF"/>
    <w:rsid w:val="00173E82"/>
    <w:rsid w:val="001772AA"/>
    <w:rsid w:val="001816C2"/>
    <w:rsid w:val="00182A74"/>
    <w:rsid w:val="001837B3"/>
    <w:rsid w:val="001840AA"/>
    <w:rsid w:val="001853AC"/>
    <w:rsid w:val="0018645A"/>
    <w:rsid w:val="001871FB"/>
    <w:rsid w:val="001879F3"/>
    <w:rsid w:val="001908E3"/>
    <w:rsid w:val="001912ED"/>
    <w:rsid w:val="0019151A"/>
    <w:rsid w:val="00191685"/>
    <w:rsid w:val="00191F8C"/>
    <w:rsid w:val="001926E3"/>
    <w:rsid w:val="0019290E"/>
    <w:rsid w:val="001937A8"/>
    <w:rsid w:val="001945BE"/>
    <w:rsid w:val="001953C7"/>
    <w:rsid w:val="00195466"/>
    <w:rsid w:val="00195935"/>
    <w:rsid w:val="00197929"/>
    <w:rsid w:val="00197A14"/>
    <w:rsid w:val="001A0111"/>
    <w:rsid w:val="001A1D97"/>
    <w:rsid w:val="001A6087"/>
    <w:rsid w:val="001A7E85"/>
    <w:rsid w:val="001B2FCB"/>
    <w:rsid w:val="001B31BE"/>
    <w:rsid w:val="001B3212"/>
    <w:rsid w:val="001B4D3A"/>
    <w:rsid w:val="001B56D2"/>
    <w:rsid w:val="001B6ACD"/>
    <w:rsid w:val="001C042D"/>
    <w:rsid w:val="001C0BCA"/>
    <w:rsid w:val="001C1310"/>
    <w:rsid w:val="001C1A3C"/>
    <w:rsid w:val="001C4AE7"/>
    <w:rsid w:val="001C7B1B"/>
    <w:rsid w:val="001D0991"/>
    <w:rsid w:val="001D0C54"/>
    <w:rsid w:val="001D1955"/>
    <w:rsid w:val="001D5DEE"/>
    <w:rsid w:val="001E0F22"/>
    <w:rsid w:val="001E19DA"/>
    <w:rsid w:val="001E28C0"/>
    <w:rsid w:val="001E28FA"/>
    <w:rsid w:val="001E4C04"/>
    <w:rsid w:val="001E546A"/>
    <w:rsid w:val="001F0375"/>
    <w:rsid w:val="001F0E7B"/>
    <w:rsid w:val="001F278D"/>
    <w:rsid w:val="001F36C4"/>
    <w:rsid w:val="001F3F19"/>
    <w:rsid w:val="001F55A0"/>
    <w:rsid w:val="001F66DC"/>
    <w:rsid w:val="001F6C8D"/>
    <w:rsid w:val="001F6E48"/>
    <w:rsid w:val="00200403"/>
    <w:rsid w:val="00200D9C"/>
    <w:rsid w:val="00200DAA"/>
    <w:rsid w:val="002026CC"/>
    <w:rsid w:val="0020661D"/>
    <w:rsid w:val="00206DDD"/>
    <w:rsid w:val="00214D7F"/>
    <w:rsid w:val="002205A8"/>
    <w:rsid w:val="00224935"/>
    <w:rsid w:val="00224CF9"/>
    <w:rsid w:val="00225C7D"/>
    <w:rsid w:val="0022674D"/>
    <w:rsid w:val="0022780C"/>
    <w:rsid w:val="002304FB"/>
    <w:rsid w:val="00231351"/>
    <w:rsid w:val="002332B0"/>
    <w:rsid w:val="00236028"/>
    <w:rsid w:val="0023672D"/>
    <w:rsid w:val="0023725C"/>
    <w:rsid w:val="00237B99"/>
    <w:rsid w:val="00241A63"/>
    <w:rsid w:val="00241A66"/>
    <w:rsid w:val="00242078"/>
    <w:rsid w:val="00243E56"/>
    <w:rsid w:val="0024595D"/>
    <w:rsid w:val="0024775F"/>
    <w:rsid w:val="002537AA"/>
    <w:rsid w:val="00253CFE"/>
    <w:rsid w:val="00253DE8"/>
    <w:rsid w:val="00254EE2"/>
    <w:rsid w:val="00255175"/>
    <w:rsid w:val="002553AE"/>
    <w:rsid w:val="00255432"/>
    <w:rsid w:val="00256784"/>
    <w:rsid w:val="0025710F"/>
    <w:rsid w:val="0025787E"/>
    <w:rsid w:val="00260292"/>
    <w:rsid w:val="0026359A"/>
    <w:rsid w:val="00265082"/>
    <w:rsid w:val="002747A9"/>
    <w:rsid w:val="00282189"/>
    <w:rsid w:val="00282CA8"/>
    <w:rsid w:val="00282EDB"/>
    <w:rsid w:val="00291609"/>
    <w:rsid w:val="00294243"/>
    <w:rsid w:val="002955B6"/>
    <w:rsid w:val="002966B4"/>
    <w:rsid w:val="002A03AC"/>
    <w:rsid w:val="002A22F7"/>
    <w:rsid w:val="002A3AF9"/>
    <w:rsid w:val="002A3F43"/>
    <w:rsid w:val="002A484A"/>
    <w:rsid w:val="002A5260"/>
    <w:rsid w:val="002A7419"/>
    <w:rsid w:val="002B18E8"/>
    <w:rsid w:val="002B3B1B"/>
    <w:rsid w:val="002C032E"/>
    <w:rsid w:val="002C09D1"/>
    <w:rsid w:val="002C1388"/>
    <w:rsid w:val="002C2455"/>
    <w:rsid w:val="002C3C3F"/>
    <w:rsid w:val="002C4FD8"/>
    <w:rsid w:val="002C6B01"/>
    <w:rsid w:val="002C7455"/>
    <w:rsid w:val="002D0403"/>
    <w:rsid w:val="002D0A75"/>
    <w:rsid w:val="002D24EE"/>
    <w:rsid w:val="002D2985"/>
    <w:rsid w:val="002D3701"/>
    <w:rsid w:val="002D3A4A"/>
    <w:rsid w:val="002D4F0C"/>
    <w:rsid w:val="002D648A"/>
    <w:rsid w:val="002D721A"/>
    <w:rsid w:val="002D7EA8"/>
    <w:rsid w:val="002E36B9"/>
    <w:rsid w:val="002E3A31"/>
    <w:rsid w:val="002E4CEB"/>
    <w:rsid w:val="002F2413"/>
    <w:rsid w:val="002F3429"/>
    <w:rsid w:val="002F3E44"/>
    <w:rsid w:val="002F4043"/>
    <w:rsid w:val="003007A5"/>
    <w:rsid w:val="00302C28"/>
    <w:rsid w:val="00304723"/>
    <w:rsid w:val="00306D80"/>
    <w:rsid w:val="003104F1"/>
    <w:rsid w:val="00310E2F"/>
    <w:rsid w:val="00310F7F"/>
    <w:rsid w:val="00312CC0"/>
    <w:rsid w:val="00316AA2"/>
    <w:rsid w:val="00317D24"/>
    <w:rsid w:val="00320B79"/>
    <w:rsid w:val="00321E5B"/>
    <w:rsid w:val="00322CA3"/>
    <w:rsid w:val="00323D7A"/>
    <w:rsid w:val="00324CCB"/>
    <w:rsid w:val="00324DF7"/>
    <w:rsid w:val="00326945"/>
    <w:rsid w:val="003273EC"/>
    <w:rsid w:val="003316E2"/>
    <w:rsid w:val="003325FA"/>
    <w:rsid w:val="00332931"/>
    <w:rsid w:val="00334964"/>
    <w:rsid w:val="00335592"/>
    <w:rsid w:val="00337360"/>
    <w:rsid w:val="00337781"/>
    <w:rsid w:val="00343CCB"/>
    <w:rsid w:val="003441B1"/>
    <w:rsid w:val="0034433E"/>
    <w:rsid w:val="00346A3D"/>
    <w:rsid w:val="00347490"/>
    <w:rsid w:val="0035098B"/>
    <w:rsid w:val="00354939"/>
    <w:rsid w:val="0035645E"/>
    <w:rsid w:val="003564B9"/>
    <w:rsid w:val="00360C25"/>
    <w:rsid w:val="00361EDF"/>
    <w:rsid w:val="003640F5"/>
    <w:rsid w:val="00366C74"/>
    <w:rsid w:val="003676C5"/>
    <w:rsid w:val="00370368"/>
    <w:rsid w:val="00370F05"/>
    <w:rsid w:val="00371489"/>
    <w:rsid w:val="00371A1B"/>
    <w:rsid w:val="00372C16"/>
    <w:rsid w:val="00372D03"/>
    <w:rsid w:val="00373540"/>
    <w:rsid w:val="003756C4"/>
    <w:rsid w:val="00380EF9"/>
    <w:rsid w:val="00384092"/>
    <w:rsid w:val="00385A2C"/>
    <w:rsid w:val="00385C07"/>
    <w:rsid w:val="00386697"/>
    <w:rsid w:val="00387CE5"/>
    <w:rsid w:val="00390B8C"/>
    <w:rsid w:val="00390FA2"/>
    <w:rsid w:val="00391C59"/>
    <w:rsid w:val="00391EAF"/>
    <w:rsid w:val="00391EDB"/>
    <w:rsid w:val="00391F78"/>
    <w:rsid w:val="00392EBB"/>
    <w:rsid w:val="003934C9"/>
    <w:rsid w:val="00393DAF"/>
    <w:rsid w:val="00396523"/>
    <w:rsid w:val="003A041C"/>
    <w:rsid w:val="003A50DB"/>
    <w:rsid w:val="003A5DDA"/>
    <w:rsid w:val="003A5EBF"/>
    <w:rsid w:val="003A5F1F"/>
    <w:rsid w:val="003A62E2"/>
    <w:rsid w:val="003B02C5"/>
    <w:rsid w:val="003B073B"/>
    <w:rsid w:val="003B0779"/>
    <w:rsid w:val="003B19C1"/>
    <w:rsid w:val="003B2692"/>
    <w:rsid w:val="003B2A94"/>
    <w:rsid w:val="003B3BB2"/>
    <w:rsid w:val="003B54E6"/>
    <w:rsid w:val="003D3D2D"/>
    <w:rsid w:val="003D4AF4"/>
    <w:rsid w:val="003D64B5"/>
    <w:rsid w:val="003D65E4"/>
    <w:rsid w:val="003E4199"/>
    <w:rsid w:val="003E4273"/>
    <w:rsid w:val="003E6FCA"/>
    <w:rsid w:val="003F03FB"/>
    <w:rsid w:val="003F1908"/>
    <w:rsid w:val="003F2498"/>
    <w:rsid w:val="003F50CD"/>
    <w:rsid w:val="003F6067"/>
    <w:rsid w:val="003F7A44"/>
    <w:rsid w:val="003F7FD2"/>
    <w:rsid w:val="004021CC"/>
    <w:rsid w:val="004021EF"/>
    <w:rsid w:val="00403088"/>
    <w:rsid w:val="00405989"/>
    <w:rsid w:val="00410973"/>
    <w:rsid w:val="0041140F"/>
    <w:rsid w:val="00415325"/>
    <w:rsid w:val="00416589"/>
    <w:rsid w:val="00416D9A"/>
    <w:rsid w:val="00416FA6"/>
    <w:rsid w:val="00420FD4"/>
    <w:rsid w:val="00421B94"/>
    <w:rsid w:val="00421F25"/>
    <w:rsid w:val="004228A3"/>
    <w:rsid w:val="0042425E"/>
    <w:rsid w:val="00425E17"/>
    <w:rsid w:val="00427D9E"/>
    <w:rsid w:val="004305A7"/>
    <w:rsid w:val="00432405"/>
    <w:rsid w:val="00432EF4"/>
    <w:rsid w:val="00433F29"/>
    <w:rsid w:val="00434002"/>
    <w:rsid w:val="004349D8"/>
    <w:rsid w:val="004374C9"/>
    <w:rsid w:val="00441CE2"/>
    <w:rsid w:val="004432D5"/>
    <w:rsid w:val="00444EE6"/>
    <w:rsid w:val="004453FB"/>
    <w:rsid w:val="00450EAF"/>
    <w:rsid w:val="004533FD"/>
    <w:rsid w:val="00455E83"/>
    <w:rsid w:val="004577BE"/>
    <w:rsid w:val="004610BE"/>
    <w:rsid w:val="00462ED1"/>
    <w:rsid w:val="00464743"/>
    <w:rsid w:val="00473A8B"/>
    <w:rsid w:val="00480F11"/>
    <w:rsid w:val="0048467B"/>
    <w:rsid w:val="0048531A"/>
    <w:rsid w:val="0049250C"/>
    <w:rsid w:val="00495627"/>
    <w:rsid w:val="00495750"/>
    <w:rsid w:val="00497F9A"/>
    <w:rsid w:val="004A3702"/>
    <w:rsid w:val="004A5235"/>
    <w:rsid w:val="004A6E2E"/>
    <w:rsid w:val="004A6F37"/>
    <w:rsid w:val="004A7DB2"/>
    <w:rsid w:val="004B005A"/>
    <w:rsid w:val="004B009B"/>
    <w:rsid w:val="004B083D"/>
    <w:rsid w:val="004B0DD5"/>
    <w:rsid w:val="004B1617"/>
    <w:rsid w:val="004B56F6"/>
    <w:rsid w:val="004B5B9D"/>
    <w:rsid w:val="004B7505"/>
    <w:rsid w:val="004C1639"/>
    <w:rsid w:val="004C32AF"/>
    <w:rsid w:val="004C660E"/>
    <w:rsid w:val="004D034B"/>
    <w:rsid w:val="004D090B"/>
    <w:rsid w:val="004D12C9"/>
    <w:rsid w:val="004D28EF"/>
    <w:rsid w:val="004D2B76"/>
    <w:rsid w:val="004D6027"/>
    <w:rsid w:val="004E08C6"/>
    <w:rsid w:val="004E0E7D"/>
    <w:rsid w:val="004E262E"/>
    <w:rsid w:val="004E2E25"/>
    <w:rsid w:val="004E38A6"/>
    <w:rsid w:val="004E4F36"/>
    <w:rsid w:val="004E7010"/>
    <w:rsid w:val="004F162C"/>
    <w:rsid w:val="004F522E"/>
    <w:rsid w:val="004F76A8"/>
    <w:rsid w:val="005014C8"/>
    <w:rsid w:val="00502B49"/>
    <w:rsid w:val="00504A68"/>
    <w:rsid w:val="00507747"/>
    <w:rsid w:val="005078D3"/>
    <w:rsid w:val="00510CE5"/>
    <w:rsid w:val="00512EF2"/>
    <w:rsid w:val="00513AA1"/>
    <w:rsid w:val="005145D1"/>
    <w:rsid w:val="00514D1B"/>
    <w:rsid w:val="005160FE"/>
    <w:rsid w:val="005167FD"/>
    <w:rsid w:val="00517E1B"/>
    <w:rsid w:val="00520261"/>
    <w:rsid w:val="00520B13"/>
    <w:rsid w:val="005223D9"/>
    <w:rsid w:val="00522BD3"/>
    <w:rsid w:val="00523103"/>
    <w:rsid w:val="00525525"/>
    <w:rsid w:val="00526671"/>
    <w:rsid w:val="00526CD3"/>
    <w:rsid w:val="0053460C"/>
    <w:rsid w:val="00534B59"/>
    <w:rsid w:val="00536AD8"/>
    <w:rsid w:val="00537339"/>
    <w:rsid w:val="00537EA9"/>
    <w:rsid w:val="00537F0D"/>
    <w:rsid w:val="00541BB7"/>
    <w:rsid w:val="00543CA0"/>
    <w:rsid w:val="00544757"/>
    <w:rsid w:val="00545C2D"/>
    <w:rsid w:val="00546D06"/>
    <w:rsid w:val="005503AB"/>
    <w:rsid w:val="0055128B"/>
    <w:rsid w:val="0055380E"/>
    <w:rsid w:val="0055402B"/>
    <w:rsid w:val="00554F54"/>
    <w:rsid w:val="00554F79"/>
    <w:rsid w:val="00555661"/>
    <w:rsid w:val="00555BEB"/>
    <w:rsid w:val="0055655E"/>
    <w:rsid w:val="00556D6D"/>
    <w:rsid w:val="00556F8F"/>
    <w:rsid w:val="00561AB3"/>
    <w:rsid w:val="00562612"/>
    <w:rsid w:val="00563520"/>
    <w:rsid w:val="0056552D"/>
    <w:rsid w:val="00565E79"/>
    <w:rsid w:val="00571847"/>
    <w:rsid w:val="00572AA1"/>
    <w:rsid w:val="00572B39"/>
    <w:rsid w:val="0057520D"/>
    <w:rsid w:val="00581DD9"/>
    <w:rsid w:val="00581EC9"/>
    <w:rsid w:val="005829CA"/>
    <w:rsid w:val="00583C92"/>
    <w:rsid w:val="00584AAE"/>
    <w:rsid w:val="005865B1"/>
    <w:rsid w:val="00587282"/>
    <w:rsid w:val="00587C95"/>
    <w:rsid w:val="00590652"/>
    <w:rsid w:val="00591528"/>
    <w:rsid w:val="00591ECA"/>
    <w:rsid w:val="0059393D"/>
    <w:rsid w:val="00595E90"/>
    <w:rsid w:val="00596203"/>
    <w:rsid w:val="0059629F"/>
    <w:rsid w:val="005970EE"/>
    <w:rsid w:val="005A31E2"/>
    <w:rsid w:val="005A4718"/>
    <w:rsid w:val="005A50F6"/>
    <w:rsid w:val="005A5150"/>
    <w:rsid w:val="005A7077"/>
    <w:rsid w:val="005B0A26"/>
    <w:rsid w:val="005B0D6C"/>
    <w:rsid w:val="005B2E79"/>
    <w:rsid w:val="005B52BE"/>
    <w:rsid w:val="005C041E"/>
    <w:rsid w:val="005C156A"/>
    <w:rsid w:val="005C1C0D"/>
    <w:rsid w:val="005C5FD2"/>
    <w:rsid w:val="005C615C"/>
    <w:rsid w:val="005D2772"/>
    <w:rsid w:val="005E407E"/>
    <w:rsid w:val="005E55D3"/>
    <w:rsid w:val="005E676E"/>
    <w:rsid w:val="005E79D8"/>
    <w:rsid w:val="005F6D6C"/>
    <w:rsid w:val="00600148"/>
    <w:rsid w:val="006008AD"/>
    <w:rsid w:val="00601439"/>
    <w:rsid w:val="00602A8F"/>
    <w:rsid w:val="00603232"/>
    <w:rsid w:val="00606022"/>
    <w:rsid w:val="006063A1"/>
    <w:rsid w:val="00606BDF"/>
    <w:rsid w:val="006073C0"/>
    <w:rsid w:val="00610C2C"/>
    <w:rsid w:val="00611B57"/>
    <w:rsid w:val="00611D7D"/>
    <w:rsid w:val="00616AA8"/>
    <w:rsid w:val="00616FB0"/>
    <w:rsid w:val="0062029B"/>
    <w:rsid w:val="006237BB"/>
    <w:rsid w:val="006253FE"/>
    <w:rsid w:val="00627E49"/>
    <w:rsid w:val="00631A19"/>
    <w:rsid w:val="006331CE"/>
    <w:rsid w:val="00634A59"/>
    <w:rsid w:val="00640BAF"/>
    <w:rsid w:val="0064192F"/>
    <w:rsid w:val="006431ED"/>
    <w:rsid w:val="00643309"/>
    <w:rsid w:val="00643422"/>
    <w:rsid w:val="006436AF"/>
    <w:rsid w:val="00643CFC"/>
    <w:rsid w:val="006440B9"/>
    <w:rsid w:val="006443F2"/>
    <w:rsid w:val="00644C67"/>
    <w:rsid w:val="0064513F"/>
    <w:rsid w:val="006514C9"/>
    <w:rsid w:val="00652C89"/>
    <w:rsid w:val="00655908"/>
    <w:rsid w:val="006637F4"/>
    <w:rsid w:val="006646CA"/>
    <w:rsid w:val="0067118D"/>
    <w:rsid w:val="00673FE8"/>
    <w:rsid w:val="006745FD"/>
    <w:rsid w:val="00674D0D"/>
    <w:rsid w:val="006755BF"/>
    <w:rsid w:val="00675C28"/>
    <w:rsid w:val="00676EA9"/>
    <w:rsid w:val="00676FC1"/>
    <w:rsid w:val="006802A6"/>
    <w:rsid w:val="00681908"/>
    <w:rsid w:val="00682E89"/>
    <w:rsid w:val="00685AFA"/>
    <w:rsid w:val="00685B24"/>
    <w:rsid w:val="006903AC"/>
    <w:rsid w:val="0069157E"/>
    <w:rsid w:val="00693553"/>
    <w:rsid w:val="00693EB3"/>
    <w:rsid w:val="006964F4"/>
    <w:rsid w:val="00696CDC"/>
    <w:rsid w:val="006B048E"/>
    <w:rsid w:val="006B10D6"/>
    <w:rsid w:val="006B11C6"/>
    <w:rsid w:val="006B16C4"/>
    <w:rsid w:val="006B3165"/>
    <w:rsid w:val="006B3907"/>
    <w:rsid w:val="006B5DDF"/>
    <w:rsid w:val="006B608D"/>
    <w:rsid w:val="006B6DE8"/>
    <w:rsid w:val="006B7E7A"/>
    <w:rsid w:val="006C09DF"/>
    <w:rsid w:val="006C164C"/>
    <w:rsid w:val="006C65B7"/>
    <w:rsid w:val="006C6EB7"/>
    <w:rsid w:val="006D3028"/>
    <w:rsid w:val="006D42EE"/>
    <w:rsid w:val="006D529B"/>
    <w:rsid w:val="006D6DC6"/>
    <w:rsid w:val="006E0AB1"/>
    <w:rsid w:val="006E2FE2"/>
    <w:rsid w:val="006E6BCB"/>
    <w:rsid w:val="006E7121"/>
    <w:rsid w:val="006E733F"/>
    <w:rsid w:val="006F13D0"/>
    <w:rsid w:val="006F168D"/>
    <w:rsid w:val="006F1811"/>
    <w:rsid w:val="006F23A7"/>
    <w:rsid w:val="006F25EC"/>
    <w:rsid w:val="006F4E87"/>
    <w:rsid w:val="006F53DC"/>
    <w:rsid w:val="00704164"/>
    <w:rsid w:val="0070542C"/>
    <w:rsid w:val="00705AD2"/>
    <w:rsid w:val="007060CC"/>
    <w:rsid w:val="0071019A"/>
    <w:rsid w:val="00710782"/>
    <w:rsid w:val="0071362F"/>
    <w:rsid w:val="00715EA5"/>
    <w:rsid w:val="0072120B"/>
    <w:rsid w:val="007218DB"/>
    <w:rsid w:val="007225D8"/>
    <w:rsid w:val="007254CD"/>
    <w:rsid w:val="00727638"/>
    <w:rsid w:val="00730160"/>
    <w:rsid w:val="007306AF"/>
    <w:rsid w:val="00732FA5"/>
    <w:rsid w:val="00733235"/>
    <w:rsid w:val="00733882"/>
    <w:rsid w:val="00733D81"/>
    <w:rsid w:val="00734349"/>
    <w:rsid w:val="00735E78"/>
    <w:rsid w:val="0074135C"/>
    <w:rsid w:val="00741955"/>
    <w:rsid w:val="0074318C"/>
    <w:rsid w:val="00743C87"/>
    <w:rsid w:val="0074539E"/>
    <w:rsid w:val="00745DB5"/>
    <w:rsid w:val="0074721B"/>
    <w:rsid w:val="00750815"/>
    <w:rsid w:val="0075107B"/>
    <w:rsid w:val="0075144A"/>
    <w:rsid w:val="00752E5E"/>
    <w:rsid w:val="00753271"/>
    <w:rsid w:val="00754D08"/>
    <w:rsid w:val="0075585A"/>
    <w:rsid w:val="00760144"/>
    <w:rsid w:val="00764889"/>
    <w:rsid w:val="00766CF3"/>
    <w:rsid w:val="00770331"/>
    <w:rsid w:val="00770917"/>
    <w:rsid w:val="00770AA1"/>
    <w:rsid w:val="00770C2E"/>
    <w:rsid w:val="00772ED8"/>
    <w:rsid w:val="007741AB"/>
    <w:rsid w:val="00775E92"/>
    <w:rsid w:val="00776BAE"/>
    <w:rsid w:val="00776D19"/>
    <w:rsid w:val="00777F34"/>
    <w:rsid w:val="00782B82"/>
    <w:rsid w:val="007871FC"/>
    <w:rsid w:val="00787E94"/>
    <w:rsid w:val="00787F6E"/>
    <w:rsid w:val="0079161F"/>
    <w:rsid w:val="007933B6"/>
    <w:rsid w:val="00794C5D"/>
    <w:rsid w:val="00795142"/>
    <w:rsid w:val="00796E9F"/>
    <w:rsid w:val="007A7C94"/>
    <w:rsid w:val="007B149C"/>
    <w:rsid w:val="007B2104"/>
    <w:rsid w:val="007B31E8"/>
    <w:rsid w:val="007B39C1"/>
    <w:rsid w:val="007B4ADE"/>
    <w:rsid w:val="007B4DCA"/>
    <w:rsid w:val="007B70AE"/>
    <w:rsid w:val="007C1DEE"/>
    <w:rsid w:val="007C46BD"/>
    <w:rsid w:val="007C5638"/>
    <w:rsid w:val="007C5793"/>
    <w:rsid w:val="007C58E4"/>
    <w:rsid w:val="007C6435"/>
    <w:rsid w:val="007D0029"/>
    <w:rsid w:val="007D5C5B"/>
    <w:rsid w:val="007D5F38"/>
    <w:rsid w:val="007D68BA"/>
    <w:rsid w:val="007D6CF5"/>
    <w:rsid w:val="007D7B5F"/>
    <w:rsid w:val="007E055B"/>
    <w:rsid w:val="007E5DDF"/>
    <w:rsid w:val="007E77CD"/>
    <w:rsid w:val="007E78BE"/>
    <w:rsid w:val="007F24B6"/>
    <w:rsid w:val="007F2892"/>
    <w:rsid w:val="007F3E8D"/>
    <w:rsid w:val="007F73FB"/>
    <w:rsid w:val="007F7BB0"/>
    <w:rsid w:val="008002B5"/>
    <w:rsid w:val="00802E8F"/>
    <w:rsid w:val="00804C85"/>
    <w:rsid w:val="00805D9D"/>
    <w:rsid w:val="00806DF6"/>
    <w:rsid w:val="00807678"/>
    <w:rsid w:val="00807C62"/>
    <w:rsid w:val="00810024"/>
    <w:rsid w:val="00810D4B"/>
    <w:rsid w:val="00816827"/>
    <w:rsid w:val="00816A52"/>
    <w:rsid w:val="00817E45"/>
    <w:rsid w:val="00823995"/>
    <w:rsid w:val="00823ADC"/>
    <w:rsid w:val="00824575"/>
    <w:rsid w:val="0082583D"/>
    <w:rsid w:val="00827284"/>
    <w:rsid w:val="00827C60"/>
    <w:rsid w:val="00830C6A"/>
    <w:rsid w:val="00830E6E"/>
    <w:rsid w:val="00832318"/>
    <w:rsid w:val="00833856"/>
    <w:rsid w:val="00834293"/>
    <w:rsid w:val="00835489"/>
    <w:rsid w:val="008417B8"/>
    <w:rsid w:val="00842FB4"/>
    <w:rsid w:val="00843501"/>
    <w:rsid w:val="008444CF"/>
    <w:rsid w:val="00846699"/>
    <w:rsid w:val="008473DE"/>
    <w:rsid w:val="00850433"/>
    <w:rsid w:val="00855124"/>
    <w:rsid w:val="00856588"/>
    <w:rsid w:val="00860540"/>
    <w:rsid w:val="00860B1F"/>
    <w:rsid w:val="0086266C"/>
    <w:rsid w:val="00862957"/>
    <w:rsid w:val="00862F83"/>
    <w:rsid w:val="00864782"/>
    <w:rsid w:val="0086667D"/>
    <w:rsid w:val="00870D0A"/>
    <w:rsid w:val="00872A2F"/>
    <w:rsid w:val="00873CE9"/>
    <w:rsid w:val="00875351"/>
    <w:rsid w:val="00876423"/>
    <w:rsid w:val="008815CC"/>
    <w:rsid w:val="008825C4"/>
    <w:rsid w:val="00882B08"/>
    <w:rsid w:val="008831F0"/>
    <w:rsid w:val="00884160"/>
    <w:rsid w:val="00884B50"/>
    <w:rsid w:val="00886B0E"/>
    <w:rsid w:val="0089094B"/>
    <w:rsid w:val="00891C4B"/>
    <w:rsid w:val="00894652"/>
    <w:rsid w:val="00894C27"/>
    <w:rsid w:val="00897673"/>
    <w:rsid w:val="00897676"/>
    <w:rsid w:val="00897986"/>
    <w:rsid w:val="008A154C"/>
    <w:rsid w:val="008A2003"/>
    <w:rsid w:val="008A3864"/>
    <w:rsid w:val="008A6C3B"/>
    <w:rsid w:val="008A717E"/>
    <w:rsid w:val="008B0EAE"/>
    <w:rsid w:val="008B147D"/>
    <w:rsid w:val="008B3607"/>
    <w:rsid w:val="008B4667"/>
    <w:rsid w:val="008B4EBD"/>
    <w:rsid w:val="008B6887"/>
    <w:rsid w:val="008B720C"/>
    <w:rsid w:val="008C068C"/>
    <w:rsid w:val="008C5936"/>
    <w:rsid w:val="008C7A9F"/>
    <w:rsid w:val="008C7DDC"/>
    <w:rsid w:val="008D17D6"/>
    <w:rsid w:val="008D1B51"/>
    <w:rsid w:val="008D1C84"/>
    <w:rsid w:val="008D1DF4"/>
    <w:rsid w:val="008D3AC9"/>
    <w:rsid w:val="008E05BF"/>
    <w:rsid w:val="008E1276"/>
    <w:rsid w:val="008E199B"/>
    <w:rsid w:val="008E61D0"/>
    <w:rsid w:val="008E6560"/>
    <w:rsid w:val="008E76F3"/>
    <w:rsid w:val="008E79F5"/>
    <w:rsid w:val="008F0C70"/>
    <w:rsid w:val="008F14B2"/>
    <w:rsid w:val="008F3042"/>
    <w:rsid w:val="008F3B20"/>
    <w:rsid w:val="008F3B4F"/>
    <w:rsid w:val="008F3C95"/>
    <w:rsid w:val="008F797F"/>
    <w:rsid w:val="009001D8"/>
    <w:rsid w:val="00900C3F"/>
    <w:rsid w:val="0090261E"/>
    <w:rsid w:val="00902B5F"/>
    <w:rsid w:val="009044DE"/>
    <w:rsid w:val="00905A20"/>
    <w:rsid w:val="00910283"/>
    <w:rsid w:val="009129F9"/>
    <w:rsid w:val="009134B9"/>
    <w:rsid w:val="00914729"/>
    <w:rsid w:val="00914798"/>
    <w:rsid w:val="00916864"/>
    <w:rsid w:val="00916CE8"/>
    <w:rsid w:val="0091773F"/>
    <w:rsid w:val="009213B2"/>
    <w:rsid w:val="00921DB4"/>
    <w:rsid w:val="009237FD"/>
    <w:rsid w:val="009276E9"/>
    <w:rsid w:val="00927E1F"/>
    <w:rsid w:val="0094122D"/>
    <w:rsid w:val="0094679A"/>
    <w:rsid w:val="00946A47"/>
    <w:rsid w:val="009508B1"/>
    <w:rsid w:val="00950A04"/>
    <w:rsid w:val="009522B4"/>
    <w:rsid w:val="00953B39"/>
    <w:rsid w:val="009541EB"/>
    <w:rsid w:val="00954D10"/>
    <w:rsid w:val="00955BA9"/>
    <w:rsid w:val="009571A6"/>
    <w:rsid w:val="00957296"/>
    <w:rsid w:val="00957619"/>
    <w:rsid w:val="0096035D"/>
    <w:rsid w:val="00961344"/>
    <w:rsid w:val="009617C2"/>
    <w:rsid w:val="00961C16"/>
    <w:rsid w:val="0096362F"/>
    <w:rsid w:val="00964358"/>
    <w:rsid w:val="009645BE"/>
    <w:rsid w:val="00965569"/>
    <w:rsid w:val="00966C51"/>
    <w:rsid w:val="009671C2"/>
    <w:rsid w:val="00967D55"/>
    <w:rsid w:val="00971016"/>
    <w:rsid w:val="00973524"/>
    <w:rsid w:val="009770FF"/>
    <w:rsid w:val="0097713C"/>
    <w:rsid w:val="009777D9"/>
    <w:rsid w:val="009777E2"/>
    <w:rsid w:val="009779EF"/>
    <w:rsid w:val="00981F5A"/>
    <w:rsid w:val="00983285"/>
    <w:rsid w:val="0098757A"/>
    <w:rsid w:val="00990266"/>
    <w:rsid w:val="0099199F"/>
    <w:rsid w:val="0099504B"/>
    <w:rsid w:val="009969EE"/>
    <w:rsid w:val="00996A3C"/>
    <w:rsid w:val="00997112"/>
    <w:rsid w:val="009A1BD0"/>
    <w:rsid w:val="009A355E"/>
    <w:rsid w:val="009A3DA1"/>
    <w:rsid w:val="009A578F"/>
    <w:rsid w:val="009A6446"/>
    <w:rsid w:val="009A67E9"/>
    <w:rsid w:val="009B001A"/>
    <w:rsid w:val="009B3BC5"/>
    <w:rsid w:val="009B46DE"/>
    <w:rsid w:val="009B5128"/>
    <w:rsid w:val="009B7406"/>
    <w:rsid w:val="009B7C68"/>
    <w:rsid w:val="009C5ADF"/>
    <w:rsid w:val="009C705D"/>
    <w:rsid w:val="009C7752"/>
    <w:rsid w:val="009D2B75"/>
    <w:rsid w:val="009D2B93"/>
    <w:rsid w:val="009D44FB"/>
    <w:rsid w:val="009D4501"/>
    <w:rsid w:val="009D7BCF"/>
    <w:rsid w:val="009E0BE0"/>
    <w:rsid w:val="009E4465"/>
    <w:rsid w:val="009E61C9"/>
    <w:rsid w:val="009F4C77"/>
    <w:rsid w:val="009F4DDF"/>
    <w:rsid w:val="009F516D"/>
    <w:rsid w:val="009F712F"/>
    <w:rsid w:val="00A00495"/>
    <w:rsid w:val="00A04F59"/>
    <w:rsid w:val="00A06563"/>
    <w:rsid w:val="00A0737D"/>
    <w:rsid w:val="00A10135"/>
    <w:rsid w:val="00A10B16"/>
    <w:rsid w:val="00A13740"/>
    <w:rsid w:val="00A15156"/>
    <w:rsid w:val="00A16B1A"/>
    <w:rsid w:val="00A20954"/>
    <w:rsid w:val="00A213E6"/>
    <w:rsid w:val="00A22952"/>
    <w:rsid w:val="00A2337D"/>
    <w:rsid w:val="00A25A1F"/>
    <w:rsid w:val="00A30B20"/>
    <w:rsid w:val="00A30EA3"/>
    <w:rsid w:val="00A316BA"/>
    <w:rsid w:val="00A32785"/>
    <w:rsid w:val="00A34E69"/>
    <w:rsid w:val="00A37521"/>
    <w:rsid w:val="00A378B2"/>
    <w:rsid w:val="00A40D10"/>
    <w:rsid w:val="00A448B0"/>
    <w:rsid w:val="00A47C24"/>
    <w:rsid w:val="00A53B9A"/>
    <w:rsid w:val="00A54FAE"/>
    <w:rsid w:val="00A55C2D"/>
    <w:rsid w:val="00A615D7"/>
    <w:rsid w:val="00A6185D"/>
    <w:rsid w:val="00A6339C"/>
    <w:rsid w:val="00A63D95"/>
    <w:rsid w:val="00A64266"/>
    <w:rsid w:val="00A64A4C"/>
    <w:rsid w:val="00A65A6A"/>
    <w:rsid w:val="00A65FFD"/>
    <w:rsid w:val="00A70196"/>
    <w:rsid w:val="00A73E0A"/>
    <w:rsid w:val="00A73F41"/>
    <w:rsid w:val="00A82995"/>
    <w:rsid w:val="00A83A9C"/>
    <w:rsid w:val="00A85230"/>
    <w:rsid w:val="00A87EEC"/>
    <w:rsid w:val="00A916A7"/>
    <w:rsid w:val="00A92FDF"/>
    <w:rsid w:val="00A960F0"/>
    <w:rsid w:val="00AA0787"/>
    <w:rsid w:val="00AA10DC"/>
    <w:rsid w:val="00AA10FD"/>
    <w:rsid w:val="00AA1A0E"/>
    <w:rsid w:val="00AA2150"/>
    <w:rsid w:val="00AA27DA"/>
    <w:rsid w:val="00AA5AEA"/>
    <w:rsid w:val="00AA686F"/>
    <w:rsid w:val="00AB19E1"/>
    <w:rsid w:val="00AB4E66"/>
    <w:rsid w:val="00AB541B"/>
    <w:rsid w:val="00AB6B38"/>
    <w:rsid w:val="00AB7A20"/>
    <w:rsid w:val="00AC05E1"/>
    <w:rsid w:val="00AC18A9"/>
    <w:rsid w:val="00AC24BC"/>
    <w:rsid w:val="00AC4001"/>
    <w:rsid w:val="00AC7311"/>
    <w:rsid w:val="00AD092E"/>
    <w:rsid w:val="00AD0D89"/>
    <w:rsid w:val="00AD2805"/>
    <w:rsid w:val="00AD5794"/>
    <w:rsid w:val="00AD5D14"/>
    <w:rsid w:val="00AE0611"/>
    <w:rsid w:val="00AE2E92"/>
    <w:rsid w:val="00AE41D8"/>
    <w:rsid w:val="00AE490F"/>
    <w:rsid w:val="00AE4C72"/>
    <w:rsid w:val="00AE61D4"/>
    <w:rsid w:val="00AE6DE2"/>
    <w:rsid w:val="00AF1936"/>
    <w:rsid w:val="00AF2814"/>
    <w:rsid w:val="00AF2F07"/>
    <w:rsid w:val="00AF30D1"/>
    <w:rsid w:val="00AF601C"/>
    <w:rsid w:val="00AF6394"/>
    <w:rsid w:val="00AF752A"/>
    <w:rsid w:val="00B01AA6"/>
    <w:rsid w:val="00B05047"/>
    <w:rsid w:val="00B05B5F"/>
    <w:rsid w:val="00B073C0"/>
    <w:rsid w:val="00B11B67"/>
    <w:rsid w:val="00B15D35"/>
    <w:rsid w:val="00B163AC"/>
    <w:rsid w:val="00B17117"/>
    <w:rsid w:val="00B20B70"/>
    <w:rsid w:val="00B21A83"/>
    <w:rsid w:val="00B23852"/>
    <w:rsid w:val="00B23B80"/>
    <w:rsid w:val="00B24A71"/>
    <w:rsid w:val="00B24FE1"/>
    <w:rsid w:val="00B25E9B"/>
    <w:rsid w:val="00B26DED"/>
    <w:rsid w:val="00B3176B"/>
    <w:rsid w:val="00B32380"/>
    <w:rsid w:val="00B32EB4"/>
    <w:rsid w:val="00B343DC"/>
    <w:rsid w:val="00B34451"/>
    <w:rsid w:val="00B34E0F"/>
    <w:rsid w:val="00B34FA5"/>
    <w:rsid w:val="00B353EA"/>
    <w:rsid w:val="00B37855"/>
    <w:rsid w:val="00B405A0"/>
    <w:rsid w:val="00B43E3D"/>
    <w:rsid w:val="00B4604B"/>
    <w:rsid w:val="00B47B1B"/>
    <w:rsid w:val="00B50FDF"/>
    <w:rsid w:val="00B51228"/>
    <w:rsid w:val="00B56685"/>
    <w:rsid w:val="00B64BD9"/>
    <w:rsid w:val="00B64BE5"/>
    <w:rsid w:val="00B64C71"/>
    <w:rsid w:val="00B6507C"/>
    <w:rsid w:val="00B70371"/>
    <w:rsid w:val="00B706F2"/>
    <w:rsid w:val="00B71B6F"/>
    <w:rsid w:val="00B71C77"/>
    <w:rsid w:val="00B730AC"/>
    <w:rsid w:val="00B74F4C"/>
    <w:rsid w:val="00B763AF"/>
    <w:rsid w:val="00B76EF9"/>
    <w:rsid w:val="00B77EE9"/>
    <w:rsid w:val="00B81157"/>
    <w:rsid w:val="00B81D71"/>
    <w:rsid w:val="00B8233E"/>
    <w:rsid w:val="00B827E1"/>
    <w:rsid w:val="00B83E54"/>
    <w:rsid w:val="00B875FB"/>
    <w:rsid w:val="00B87C61"/>
    <w:rsid w:val="00B91D07"/>
    <w:rsid w:val="00B924D9"/>
    <w:rsid w:val="00B92635"/>
    <w:rsid w:val="00B9344C"/>
    <w:rsid w:val="00B93EC7"/>
    <w:rsid w:val="00B95285"/>
    <w:rsid w:val="00B964E4"/>
    <w:rsid w:val="00B971CB"/>
    <w:rsid w:val="00B97BB7"/>
    <w:rsid w:val="00BA025D"/>
    <w:rsid w:val="00BA3F85"/>
    <w:rsid w:val="00BA4B1D"/>
    <w:rsid w:val="00BA5DD4"/>
    <w:rsid w:val="00BB3976"/>
    <w:rsid w:val="00BB501D"/>
    <w:rsid w:val="00BB58F8"/>
    <w:rsid w:val="00BB5BAF"/>
    <w:rsid w:val="00BB5E79"/>
    <w:rsid w:val="00BB6138"/>
    <w:rsid w:val="00BB7D45"/>
    <w:rsid w:val="00BC46E6"/>
    <w:rsid w:val="00BC6816"/>
    <w:rsid w:val="00BC73CC"/>
    <w:rsid w:val="00BD1082"/>
    <w:rsid w:val="00BD15A1"/>
    <w:rsid w:val="00BD1F25"/>
    <w:rsid w:val="00BD2FA2"/>
    <w:rsid w:val="00BD3C8A"/>
    <w:rsid w:val="00BD4290"/>
    <w:rsid w:val="00BD50DB"/>
    <w:rsid w:val="00BD6CE2"/>
    <w:rsid w:val="00BE0BAC"/>
    <w:rsid w:val="00BE3A28"/>
    <w:rsid w:val="00BE54BC"/>
    <w:rsid w:val="00BE5805"/>
    <w:rsid w:val="00BE6842"/>
    <w:rsid w:val="00BF12CD"/>
    <w:rsid w:val="00BF2813"/>
    <w:rsid w:val="00BF2E4E"/>
    <w:rsid w:val="00BF6CBA"/>
    <w:rsid w:val="00BF7FA2"/>
    <w:rsid w:val="00C006CF"/>
    <w:rsid w:val="00C0269A"/>
    <w:rsid w:val="00C03206"/>
    <w:rsid w:val="00C033AE"/>
    <w:rsid w:val="00C03FC6"/>
    <w:rsid w:val="00C065E1"/>
    <w:rsid w:val="00C06C85"/>
    <w:rsid w:val="00C078AF"/>
    <w:rsid w:val="00C13F44"/>
    <w:rsid w:val="00C20324"/>
    <w:rsid w:val="00C2503A"/>
    <w:rsid w:val="00C25DB2"/>
    <w:rsid w:val="00C268FE"/>
    <w:rsid w:val="00C26E6A"/>
    <w:rsid w:val="00C32C52"/>
    <w:rsid w:val="00C402A9"/>
    <w:rsid w:val="00C40DFE"/>
    <w:rsid w:val="00C4265D"/>
    <w:rsid w:val="00C47071"/>
    <w:rsid w:val="00C47A2A"/>
    <w:rsid w:val="00C47F98"/>
    <w:rsid w:val="00C50DAC"/>
    <w:rsid w:val="00C531C0"/>
    <w:rsid w:val="00C535E6"/>
    <w:rsid w:val="00C551D3"/>
    <w:rsid w:val="00C56492"/>
    <w:rsid w:val="00C61202"/>
    <w:rsid w:val="00C613A0"/>
    <w:rsid w:val="00C63327"/>
    <w:rsid w:val="00C637DE"/>
    <w:rsid w:val="00C64FAB"/>
    <w:rsid w:val="00C651F1"/>
    <w:rsid w:val="00C656AA"/>
    <w:rsid w:val="00C65ED3"/>
    <w:rsid w:val="00C6608C"/>
    <w:rsid w:val="00C7301C"/>
    <w:rsid w:val="00C760EC"/>
    <w:rsid w:val="00C77CB3"/>
    <w:rsid w:val="00C80399"/>
    <w:rsid w:val="00C8046D"/>
    <w:rsid w:val="00C8276E"/>
    <w:rsid w:val="00C831C0"/>
    <w:rsid w:val="00C856E8"/>
    <w:rsid w:val="00C85C2A"/>
    <w:rsid w:val="00C85FF7"/>
    <w:rsid w:val="00C911B0"/>
    <w:rsid w:val="00C915A9"/>
    <w:rsid w:val="00C92B49"/>
    <w:rsid w:val="00C92FB6"/>
    <w:rsid w:val="00C960FF"/>
    <w:rsid w:val="00CA030C"/>
    <w:rsid w:val="00CA0E9F"/>
    <w:rsid w:val="00CA1C86"/>
    <w:rsid w:val="00CA1CE9"/>
    <w:rsid w:val="00CA3175"/>
    <w:rsid w:val="00CA4581"/>
    <w:rsid w:val="00CA5CEA"/>
    <w:rsid w:val="00CA5E1B"/>
    <w:rsid w:val="00CB3246"/>
    <w:rsid w:val="00CB3760"/>
    <w:rsid w:val="00CB4485"/>
    <w:rsid w:val="00CB4DFB"/>
    <w:rsid w:val="00CC0084"/>
    <w:rsid w:val="00CC2016"/>
    <w:rsid w:val="00CC2C1F"/>
    <w:rsid w:val="00CC4236"/>
    <w:rsid w:val="00CC5C77"/>
    <w:rsid w:val="00CC5F74"/>
    <w:rsid w:val="00CC7105"/>
    <w:rsid w:val="00CD0047"/>
    <w:rsid w:val="00CD4D8E"/>
    <w:rsid w:val="00CD5A43"/>
    <w:rsid w:val="00CE03EB"/>
    <w:rsid w:val="00CE15C2"/>
    <w:rsid w:val="00CE4536"/>
    <w:rsid w:val="00CE4616"/>
    <w:rsid w:val="00CE58CC"/>
    <w:rsid w:val="00CE6438"/>
    <w:rsid w:val="00CF0BEB"/>
    <w:rsid w:val="00CF31DC"/>
    <w:rsid w:val="00CF348C"/>
    <w:rsid w:val="00CF35AD"/>
    <w:rsid w:val="00CF5707"/>
    <w:rsid w:val="00CF7AAF"/>
    <w:rsid w:val="00CF7EF8"/>
    <w:rsid w:val="00D022CA"/>
    <w:rsid w:val="00D03E1E"/>
    <w:rsid w:val="00D069BB"/>
    <w:rsid w:val="00D075C3"/>
    <w:rsid w:val="00D103D1"/>
    <w:rsid w:val="00D123C6"/>
    <w:rsid w:val="00D13766"/>
    <w:rsid w:val="00D14E8A"/>
    <w:rsid w:val="00D15DDC"/>
    <w:rsid w:val="00D1744D"/>
    <w:rsid w:val="00D2309F"/>
    <w:rsid w:val="00D23DC8"/>
    <w:rsid w:val="00D254C6"/>
    <w:rsid w:val="00D25D0A"/>
    <w:rsid w:val="00D25D75"/>
    <w:rsid w:val="00D2791C"/>
    <w:rsid w:val="00D27D71"/>
    <w:rsid w:val="00D320FA"/>
    <w:rsid w:val="00D332D4"/>
    <w:rsid w:val="00D41B3C"/>
    <w:rsid w:val="00D41DDC"/>
    <w:rsid w:val="00D44573"/>
    <w:rsid w:val="00D468A9"/>
    <w:rsid w:val="00D46C8A"/>
    <w:rsid w:val="00D46DAF"/>
    <w:rsid w:val="00D50CDE"/>
    <w:rsid w:val="00D51795"/>
    <w:rsid w:val="00D51E23"/>
    <w:rsid w:val="00D53931"/>
    <w:rsid w:val="00D53AF8"/>
    <w:rsid w:val="00D6204D"/>
    <w:rsid w:val="00D64F3D"/>
    <w:rsid w:val="00D65A5C"/>
    <w:rsid w:val="00D666B4"/>
    <w:rsid w:val="00D67791"/>
    <w:rsid w:val="00D75A3E"/>
    <w:rsid w:val="00D805B2"/>
    <w:rsid w:val="00D807A4"/>
    <w:rsid w:val="00D8112C"/>
    <w:rsid w:val="00D8143D"/>
    <w:rsid w:val="00D81852"/>
    <w:rsid w:val="00D83B69"/>
    <w:rsid w:val="00D85348"/>
    <w:rsid w:val="00D85910"/>
    <w:rsid w:val="00D86EA3"/>
    <w:rsid w:val="00D933EC"/>
    <w:rsid w:val="00DA085B"/>
    <w:rsid w:val="00DA170E"/>
    <w:rsid w:val="00DA2F98"/>
    <w:rsid w:val="00DA412F"/>
    <w:rsid w:val="00DA5B50"/>
    <w:rsid w:val="00DA6658"/>
    <w:rsid w:val="00DA749D"/>
    <w:rsid w:val="00DB01E6"/>
    <w:rsid w:val="00DB05A9"/>
    <w:rsid w:val="00DB115D"/>
    <w:rsid w:val="00DB19E1"/>
    <w:rsid w:val="00DB41D0"/>
    <w:rsid w:val="00DB449D"/>
    <w:rsid w:val="00DB4B0B"/>
    <w:rsid w:val="00DB6237"/>
    <w:rsid w:val="00DC13FC"/>
    <w:rsid w:val="00DC1448"/>
    <w:rsid w:val="00DC1ACD"/>
    <w:rsid w:val="00DC2E72"/>
    <w:rsid w:val="00DC3281"/>
    <w:rsid w:val="00DC367D"/>
    <w:rsid w:val="00DC4192"/>
    <w:rsid w:val="00DC65B0"/>
    <w:rsid w:val="00DD023E"/>
    <w:rsid w:val="00DD06B7"/>
    <w:rsid w:val="00DD35C7"/>
    <w:rsid w:val="00DD3892"/>
    <w:rsid w:val="00DD3D87"/>
    <w:rsid w:val="00DD5435"/>
    <w:rsid w:val="00DD554A"/>
    <w:rsid w:val="00DE306F"/>
    <w:rsid w:val="00DE3F21"/>
    <w:rsid w:val="00DE53BD"/>
    <w:rsid w:val="00DE6DF7"/>
    <w:rsid w:val="00DE755D"/>
    <w:rsid w:val="00DE77DA"/>
    <w:rsid w:val="00DE79BF"/>
    <w:rsid w:val="00DE7DAD"/>
    <w:rsid w:val="00DF1C62"/>
    <w:rsid w:val="00DF2DF0"/>
    <w:rsid w:val="00DF2F06"/>
    <w:rsid w:val="00DF43AB"/>
    <w:rsid w:val="00DF6317"/>
    <w:rsid w:val="00DF6DB6"/>
    <w:rsid w:val="00E01A69"/>
    <w:rsid w:val="00E03E14"/>
    <w:rsid w:val="00E0424C"/>
    <w:rsid w:val="00E04529"/>
    <w:rsid w:val="00E06DC8"/>
    <w:rsid w:val="00E1193A"/>
    <w:rsid w:val="00E12347"/>
    <w:rsid w:val="00E1564E"/>
    <w:rsid w:val="00E157FF"/>
    <w:rsid w:val="00E16A3D"/>
    <w:rsid w:val="00E173BD"/>
    <w:rsid w:val="00E17686"/>
    <w:rsid w:val="00E21416"/>
    <w:rsid w:val="00E231A8"/>
    <w:rsid w:val="00E27A21"/>
    <w:rsid w:val="00E309B6"/>
    <w:rsid w:val="00E32692"/>
    <w:rsid w:val="00E327BB"/>
    <w:rsid w:val="00E35C7F"/>
    <w:rsid w:val="00E37237"/>
    <w:rsid w:val="00E37274"/>
    <w:rsid w:val="00E405A5"/>
    <w:rsid w:val="00E42043"/>
    <w:rsid w:val="00E44CCA"/>
    <w:rsid w:val="00E45E87"/>
    <w:rsid w:val="00E46BBA"/>
    <w:rsid w:val="00E47130"/>
    <w:rsid w:val="00E5056B"/>
    <w:rsid w:val="00E5069F"/>
    <w:rsid w:val="00E50DB3"/>
    <w:rsid w:val="00E5148C"/>
    <w:rsid w:val="00E521BB"/>
    <w:rsid w:val="00E53F7E"/>
    <w:rsid w:val="00E55501"/>
    <w:rsid w:val="00E57EE6"/>
    <w:rsid w:val="00E60BD7"/>
    <w:rsid w:val="00E62B39"/>
    <w:rsid w:val="00E64D1C"/>
    <w:rsid w:val="00E66904"/>
    <w:rsid w:val="00E66A96"/>
    <w:rsid w:val="00E74FB4"/>
    <w:rsid w:val="00E76330"/>
    <w:rsid w:val="00E76E50"/>
    <w:rsid w:val="00E8298B"/>
    <w:rsid w:val="00E82AAF"/>
    <w:rsid w:val="00E83BD6"/>
    <w:rsid w:val="00E844A0"/>
    <w:rsid w:val="00E85D4A"/>
    <w:rsid w:val="00E8651C"/>
    <w:rsid w:val="00E9004F"/>
    <w:rsid w:val="00E92276"/>
    <w:rsid w:val="00E93452"/>
    <w:rsid w:val="00E95347"/>
    <w:rsid w:val="00E95EF9"/>
    <w:rsid w:val="00E9625C"/>
    <w:rsid w:val="00E96531"/>
    <w:rsid w:val="00EA258E"/>
    <w:rsid w:val="00EA3DCF"/>
    <w:rsid w:val="00EA4637"/>
    <w:rsid w:val="00EA5356"/>
    <w:rsid w:val="00EA649F"/>
    <w:rsid w:val="00EB1756"/>
    <w:rsid w:val="00EB1FCF"/>
    <w:rsid w:val="00EB495C"/>
    <w:rsid w:val="00EB4E60"/>
    <w:rsid w:val="00EB6696"/>
    <w:rsid w:val="00EB77FB"/>
    <w:rsid w:val="00EC0C14"/>
    <w:rsid w:val="00EC190E"/>
    <w:rsid w:val="00EC3CC6"/>
    <w:rsid w:val="00EC3D19"/>
    <w:rsid w:val="00EC62EF"/>
    <w:rsid w:val="00EC6597"/>
    <w:rsid w:val="00ED0785"/>
    <w:rsid w:val="00ED0E87"/>
    <w:rsid w:val="00ED2005"/>
    <w:rsid w:val="00ED400B"/>
    <w:rsid w:val="00ED52F6"/>
    <w:rsid w:val="00ED6165"/>
    <w:rsid w:val="00EE705C"/>
    <w:rsid w:val="00EF1817"/>
    <w:rsid w:val="00EF4826"/>
    <w:rsid w:val="00EF680D"/>
    <w:rsid w:val="00EF6EAB"/>
    <w:rsid w:val="00EF7CDE"/>
    <w:rsid w:val="00F03AC9"/>
    <w:rsid w:val="00F05898"/>
    <w:rsid w:val="00F13730"/>
    <w:rsid w:val="00F13EE9"/>
    <w:rsid w:val="00F15E43"/>
    <w:rsid w:val="00F16344"/>
    <w:rsid w:val="00F16A17"/>
    <w:rsid w:val="00F170F2"/>
    <w:rsid w:val="00F1738A"/>
    <w:rsid w:val="00F179AA"/>
    <w:rsid w:val="00F2001C"/>
    <w:rsid w:val="00F20650"/>
    <w:rsid w:val="00F2136D"/>
    <w:rsid w:val="00F252A4"/>
    <w:rsid w:val="00F25B47"/>
    <w:rsid w:val="00F25FB2"/>
    <w:rsid w:val="00F27B2F"/>
    <w:rsid w:val="00F27BFD"/>
    <w:rsid w:val="00F27C8B"/>
    <w:rsid w:val="00F3262B"/>
    <w:rsid w:val="00F328DE"/>
    <w:rsid w:val="00F331FB"/>
    <w:rsid w:val="00F33FF3"/>
    <w:rsid w:val="00F3574F"/>
    <w:rsid w:val="00F36A68"/>
    <w:rsid w:val="00F3762E"/>
    <w:rsid w:val="00F40539"/>
    <w:rsid w:val="00F41E0F"/>
    <w:rsid w:val="00F4266C"/>
    <w:rsid w:val="00F46442"/>
    <w:rsid w:val="00F46A64"/>
    <w:rsid w:val="00F47992"/>
    <w:rsid w:val="00F524D4"/>
    <w:rsid w:val="00F52E28"/>
    <w:rsid w:val="00F5361E"/>
    <w:rsid w:val="00F550C7"/>
    <w:rsid w:val="00F57EC7"/>
    <w:rsid w:val="00F62845"/>
    <w:rsid w:val="00F63FD2"/>
    <w:rsid w:val="00F6465F"/>
    <w:rsid w:val="00F6578A"/>
    <w:rsid w:val="00F6670D"/>
    <w:rsid w:val="00F669AB"/>
    <w:rsid w:val="00F675A3"/>
    <w:rsid w:val="00F67F06"/>
    <w:rsid w:val="00F7111D"/>
    <w:rsid w:val="00F71C30"/>
    <w:rsid w:val="00F72812"/>
    <w:rsid w:val="00F728F0"/>
    <w:rsid w:val="00F74E29"/>
    <w:rsid w:val="00F75B87"/>
    <w:rsid w:val="00F75E2D"/>
    <w:rsid w:val="00F81349"/>
    <w:rsid w:val="00F82CC4"/>
    <w:rsid w:val="00F8768F"/>
    <w:rsid w:val="00F8799B"/>
    <w:rsid w:val="00F93233"/>
    <w:rsid w:val="00F93C83"/>
    <w:rsid w:val="00F9582E"/>
    <w:rsid w:val="00FA25F4"/>
    <w:rsid w:val="00FA3C0D"/>
    <w:rsid w:val="00FA45D4"/>
    <w:rsid w:val="00FA4CCF"/>
    <w:rsid w:val="00FA53B1"/>
    <w:rsid w:val="00FB043F"/>
    <w:rsid w:val="00FB094F"/>
    <w:rsid w:val="00FB1938"/>
    <w:rsid w:val="00FB25AE"/>
    <w:rsid w:val="00FB6876"/>
    <w:rsid w:val="00FB6E3A"/>
    <w:rsid w:val="00FC06D2"/>
    <w:rsid w:val="00FC08F3"/>
    <w:rsid w:val="00FC1AF1"/>
    <w:rsid w:val="00FC281F"/>
    <w:rsid w:val="00FC3B4F"/>
    <w:rsid w:val="00FC572E"/>
    <w:rsid w:val="00FC6126"/>
    <w:rsid w:val="00FC6268"/>
    <w:rsid w:val="00FD085B"/>
    <w:rsid w:val="00FD157D"/>
    <w:rsid w:val="00FD29C0"/>
    <w:rsid w:val="00FD43CB"/>
    <w:rsid w:val="00FD4865"/>
    <w:rsid w:val="00FD5F7D"/>
    <w:rsid w:val="00FD72BF"/>
    <w:rsid w:val="00FE09D3"/>
    <w:rsid w:val="00FE21EB"/>
    <w:rsid w:val="00FE4C71"/>
    <w:rsid w:val="00FE4DC1"/>
    <w:rsid w:val="00FF34B9"/>
    <w:rsid w:val="00FF47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8ACF"/>
  <w15:chartTrackingRefBased/>
  <w15:docId w15:val="{F03A656B-8077-4827-85A3-AB229A08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2B0"/>
  </w:style>
  <w:style w:type="paragraph" w:styleId="Footer">
    <w:name w:val="footer"/>
    <w:basedOn w:val="Normal"/>
    <w:link w:val="FooterChar"/>
    <w:uiPriority w:val="99"/>
    <w:unhideWhenUsed/>
    <w:rsid w:val="00233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2B0"/>
  </w:style>
  <w:style w:type="paragraph" w:styleId="ListParagraph">
    <w:name w:val="List Paragraph"/>
    <w:basedOn w:val="Normal"/>
    <w:uiPriority w:val="34"/>
    <w:qFormat/>
    <w:rsid w:val="00F4266C"/>
    <w:pPr>
      <w:ind w:left="720"/>
      <w:contextualSpacing/>
    </w:pPr>
  </w:style>
  <w:style w:type="table" w:styleId="TableGrid">
    <w:name w:val="Table Grid"/>
    <w:basedOn w:val="TableNormal"/>
    <w:uiPriority w:val="39"/>
    <w:rsid w:val="00E8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30D1"/>
    <w:rPr>
      <w:color w:val="0563C1" w:themeColor="hyperlink"/>
      <w:u w:val="single"/>
    </w:rPr>
  </w:style>
  <w:style w:type="character" w:styleId="UnresolvedMention">
    <w:name w:val="Unresolved Mention"/>
    <w:basedOn w:val="DefaultParagraphFont"/>
    <w:uiPriority w:val="99"/>
    <w:semiHidden/>
    <w:unhideWhenUsed/>
    <w:rsid w:val="00AF30D1"/>
    <w:rPr>
      <w:color w:val="605E5C"/>
      <w:shd w:val="clear" w:color="auto" w:fill="E1DFDD"/>
    </w:rPr>
  </w:style>
  <w:style w:type="character" w:styleId="FollowedHyperlink">
    <w:name w:val="FollowedHyperlink"/>
    <w:basedOn w:val="DefaultParagraphFont"/>
    <w:uiPriority w:val="99"/>
    <w:semiHidden/>
    <w:unhideWhenUsed/>
    <w:rsid w:val="00AF30D1"/>
    <w:rPr>
      <w:color w:val="954F72" w:themeColor="followedHyperlink"/>
      <w:u w:val="single"/>
    </w:rPr>
  </w:style>
  <w:style w:type="paragraph" w:styleId="NormalWeb">
    <w:name w:val="Normal (Web)"/>
    <w:basedOn w:val="Normal"/>
    <w:uiPriority w:val="99"/>
    <w:unhideWhenUsed/>
    <w:rsid w:val="00C065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style01">
    <w:name w:val="fontstyle01"/>
    <w:basedOn w:val="DefaultParagraphFont"/>
    <w:rsid w:val="00F15E43"/>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9791">
      <w:bodyDiv w:val="1"/>
      <w:marLeft w:val="0"/>
      <w:marRight w:val="0"/>
      <w:marTop w:val="0"/>
      <w:marBottom w:val="0"/>
      <w:divBdr>
        <w:top w:val="none" w:sz="0" w:space="0" w:color="auto"/>
        <w:left w:val="none" w:sz="0" w:space="0" w:color="auto"/>
        <w:bottom w:val="none" w:sz="0" w:space="0" w:color="auto"/>
        <w:right w:val="none" w:sz="0" w:space="0" w:color="auto"/>
      </w:divBdr>
    </w:div>
    <w:div w:id="590814075">
      <w:bodyDiv w:val="1"/>
      <w:marLeft w:val="0"/>
      <w:marRight w:val="0"/>
      <w:marTop w:val="0"/>
      <w:marBottom w:val="0"/>
      <w:divBdr>
        <w:top w:val="none" w:sz="0" w:space="0" w:color="auto"/>
        <w:left w:val="none" w:sz="0" w:space="0" w:color="auto"/>
        <w:bottom w:val="none" w:sz="0" w:space="0" w:color="auto"/>
        <w:right w:val="none" w:sz="0" w:space="0" w:color="auto"/>
      </w:divBdr>
    </w:div>
    <w:div w:id="688525986">
      <w:bodyDiv w:val="1"/>
      <w:marLeft w:val="0"/>
      <w:marRight w:val="0"/>
      <w:marTop w:val="0"/>
      <w:marBottom w:val="0"/>
      <w:divBdr>
        <w:top w:val="none" w:sz="0" w:space="0" w:color="auto"/>
        <w:left w:val="none" w:sz="0" w:space="0" w:color="auto"/>
        <w:bottom w:val="none" w:sz="0" w:space="0" w:color="auto"/>
        <w:right w:val="none" w:sz="0" w:space="0" w:color="auto"/>
      </w:divBdr>
    </w:div>
    <w:div w:id="731930776">
      <w:bodyDiv w:val="1"/>
      <w:marLeft w:val="0"/>
      <w:marRight w:val="0"/>
      <w:marTop w:val="0"/>
      <w:marBottom w:val="0"/>
      <w:divBdr>
        <w:top w:val="none" w:sz="0" w:space="0" w:color="auto"/>
        <w:left w:val="none" w:sz="0" w:space="0" w:color="auto"/>
        <w:bottom w:val="none" w:sz="0" w:space="0" w:color="auto"/>
        <w:right w:val="none" w:sz="0" w:space="0" w:color="auto"/>
      </w:divBdr>
    </w:div>
    <w:div w:id="851257986">
      <w:bodyDiv w:val="1"/>
      <w:marLeft w:val="0"/>
      <w:marRight w:val="0"/>
      <w:marTop w:val="0"/>
      <w:marBottom w:val="0"/>
      <w:divBdr>
        <w:top w:val="none" w:sz="0" w:space="0" w:color="auto"/>
        <w:left w:val="none" w:sz="0" w:space="0" w:color="auto"/>
        <w:bottom w:val="none" w:sz="0" w:space="0" w:color="auto"/>
        <w:right w:val="none" w:sz="0" w:space="0" w:color="auto"/>
      </w:divBdr>
    </w:div>
    <w:div w:id="1611011360">
      <w:bodyDiv w:val="1"/>
      <w:marLeft w:val="0"/>
      <w:marRight w:val="0"/>
      <w:marTop w:val="0"/>
      <w:marBottom w:val="0"/>
      <w:divBdr>
        <w:top w:val="none" w:sz="0" w:space="0" w:color="auto"/>
        <w:left w:val="none" w:sz="0" w:space="0" w:color="auto"/>
        <w:bottom w:val="none" w:sz="0" w:space="0" w:color="auto"/>
        <w:right w:val="none" w:sz="0" w:space="0" w:color="auto"/>
      </w:divBdr>
    </w:div>
    <w:div w:id="1613586631">
      <w:bodyDiv w:val="1"/>
      <w:marLeft w:val="0"/>
      <w:marRight w:val="0"/>
      <w:marTop w:val="0"/>
      <w:marBottom w:val="0"/>
      <w:divBdr>
        <w:top w:val="none" w:sz="0" w:space="0" w:color="auto"/>
        <w:left w:val="none" w:sz="0" w:space="0" w:color="auto"/>
        <w:bottom w:val="none" w:sz="0" w:space="0" w:color="auto"/>
        <w:right w:val="none" w:sz="0" w:space="0" w:color="auto"/>
      </w:divBdr>
    </w:div>
    <w:div w:id="1792893638">
      <w:bodyDiv w:val="1"/>
      <w:marLeft w:val="0"/>
      <w:marRight w:val="0"/>
      <w:marTop w:val="0"/>
      <w:marBottom w:val="0"/>
      <w:divBdr>
        <w:top w:val="none" w:sz="0" w:space="0" w:color="auto"/>
        <w:left w:val="none" w:sz="0" w:space="0" w:color="auto"/>
        <w:bottom w:val="none" w:sz="0" w:space="0" w:color="auto"/>
        <w:right w:val="none" w:sz="0" w:space="0" w:color="auto"/>
      </w:divBdr>
    </w:div>
    <w:div w:id="1898734087">
      <w:bodyDiv w:val="1"/>
      <w:marLeft w:val="0"/>
      <w:marRight w:val="0"/>
      <w:marTop w:val="0"/>
      <w:marBottom w:val="0"/>
      <w:divBdr>
        <w:top w:val="none" w:sz="0" w:space="0" w:color="auto"/>
        <w:left w:val="none" w:sz="0" w:space="0" w:color="auto"/>
        <w:bottom w:val="none" w:sz="0" w:space="0" w:color="auto"/>
        <w:right w:val="none" w:sz="0" w:space="0" w:color="auto"/>
      </w:divBdr>
    </w:div>
    <w:div w:id="204678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louisfed.org/series/" TargetMode="External"/><Relationship Id="rId13" Type="http://schemas.openxmlformats.org/officeDocument/2006/relationships/image" Target="media/image4.png"/><Relationship Id="rId18" Type="http://schemas.microsoft.com/office/2007/relationships/diagramDrawing" Target="diagrams/drawing1.xml"/><Relationship Id="rId26" Type="http://schemas.openxmlformats.org/officeDocument/2006/relationships/hyperlink" Target="https://www.lawcom.gov.uk/project/fiduciary-duties-of-investment-intermediaries/" TargetMode="External"/><Relationship Id="rId3" Type="http://schemas.openxmlformats.org/officeDocument/2006/relationships/styles" Target="styles.xml"/><Relationship Id="rId21" Type="http://schemas.openxmlformats.org/officeDocument/2006/relationships/hyperlink" Target="https://chat.openai.com/cha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Colors" Target="diagrams/colors1.xml"/><Relationship Id="rId25" Type="http://schemas.openxmlformats.org/officeDocument/2006/relationships/hyperlink" Target="https://www.federalreservehistory.org/essays/great-recession-and-its-aftermath" TargetMode="Externa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link.springer.com/article/10.1007/s10551-016-3052-7"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www.federalreserve.gov/supervisionreg/volcker-rule.htm"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hyperlink" Target="https://www.cnbc.com/id/49988091"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D3AFC0-D5D4-454F-A55F-639A028D1314}" type="doc">
      <dgm:prSet loTypeId="urn:microsoft.com/office/officeart/2005/8/layout/cycle1#1" loCatId="cycle" qsTypeId="urn:microsoft.com/office/officeart/2005/8/quickstyle/simple1" qsCatId="simple" csTypeId="urn:microsoft.com/office/officeart/2005/8/colors/accent1_2" csCatId="accent1" phldr="1"/>
      <dgm:spPr/>
      <dgm:t>
        <a:bodyPr/>
        <a:lstStyle/>
        <a:p>
          <a:endParaRPr lang="en-GB"/>
        </a:p>
      </dgm:t>
    </dgm:pt>
    <dgm:pt modelId="{5FCB2C78-6BDF-4A07-B2EA-CDB5CBE64520}">
      <dgm:prSet phldrT="[Text]"/>
      <dgm:spPr/>
      <dgm:t>
        <a:bodyPr/>
        <a:lstStyle/>
        <a:p>
          <a:r>
            <a:rPr lang="en-GB"/>
            <a:t>1. Collect</a:t>
          </a:r>
        </a:p>
        <a:p>
          <a:r>
            <a:rPr lang="en-GB"/>
            <a:t>Data</a:t>
          </a:r>
        </a:p>
      </dgm:t>
    </dgm:pt>
    <dgm:pt modelId="{2AB45565-72E8-44BD-AFC6-2AE82A6FDA26}" type="parTrans" cxnId="{BEFA9794-CDBD-4C1E-8E73-905648FEDEEC}">
      <dgm:prSet/>
      <dgm:spPr/>
      <dgm:t>
        <a:bodyPr/>
        <a:lstStyle/>
        <a:p>
          <a:endParaRPr lang="en-GB"/>
        </a:p>
      </dgm:t>
    </dgm:pt>
    <dgm:pt modelId="{65D2049C-7F9D-429E-A134-09B1BA78F15C}" type="sibTrans" cxnId="{BEFA9794-CDBD-4C1E-8E73-905648FEDEEC}">
      <dgm:prSet/>
      <dgm:spPr/>
      <dgm:t>
        <a:bodyPr/>
        <a:lstStyle/>
        <a:p>
          <a:endParaRPr lang="en-GB"/>
        </a:p>
      </dgm:t>
    </dgm:pt>
    <dgm:pt modelId="{D85AAC89-2313-4DAC-B0A8-5EF60B9133F7}">
      <dgm:prSet phldrT="[Text]"/>
      <dgm:spPr/>
      <dgm:t>
        <a:bodyPr/>
        <a:lstStyle/>
        <a:p>
          <a:r>
            <a:rPr lang="en-GB"/>
            <a:t>2. Technical</a:t>
          </a:r>
        </a:p>
        <a:p>
          <a:r>
            <a:rPr lang="en-GB"/>
            <a:t>Indicator</a:t>
          </a:r>
        </a:p>
        <a:p>
          <a:r>
            <a:rPr lang="en-GB"/>
            <a:t>Consideration</a:t>
          </a:r>
        </a:p>
      </dgm:t>
    </dgm:pt>
    <dgm:pt modelId="{79720D82-CEEC-4E51-9CA8-546BA2769CB0}" type="parTrans" cxnId="{A8F27AAF-E2EE-4234-BF9C-BEBA7B515081}">
      <dgm:prSet/>
      <dgm:spPr/>
      <dgm:t>
        <a:bodyPr/>
        <a:lstStyle/>
        <a:p>
          <a:endParaRPr lang="en-GB"/>
        </a:p>
      </dgm:t>
    </dgm:pt>
    <dgm:pt modelId="{018BAC4E-39D0-45C5-B305-5893A714BC64}" type="sibTrans" cxnId="{A8F27AAF-E2EE-4234-BF9C-BEBA7B515081}">
      <dgm:prSet/>
      <dgm:spPr/>
      <dgm:t>
        <a:bodyPr/>
        <a:lstStyle/>
        <a:p>
          <a:endParaRPr lang="en-GB"/>
        </a:p>
      </dgm:t>
    </dgm:pt>
    <dgm:pt modelId="{B13D6EF0-E88E-4A29-A5E6-0F400784F72D}">
      <dgm:prSet phldrT="[Text]"/>
      <dgm:spPr/>
      <dgm:t>
        <a:bodyPr/>
        <a:lstStyle/>
        <a:p>
          <a:r>
            <a:rPr lang="en-GB"/>
            <a:t>3. Ethical Consideration</a:t>
          </a:r>
        </a:p>
      </dgm:t>
    </dgm:pt>
    <dgm:pt modelId="{7DC75C00-AE02-4D7C-AD38-C2C151B2442D}" type="parTrans" cxnId="{86921334-615F-42C1-9F4B-67665249668B}">
      <dgm:prSet/>
      <dgm:spPr/>
      <dgm:t>
        <a:bodyPr/>
        <a:lstStyle/>
        <a:p>
          <a:endParaRPr lang="en-GB"/>
        </a:p>
      </dgm:t>
    </dgm:pt>
    <dgm:pt modelId="{C63210AA-9736-4AB9-960A-816E21928C40}" type="sibTrans" cxnId="{86921334-615F-42C1-9F4B-67665249668B}">
      <dgm:prSet/>
      <dgm:spPr/>
      <dgm:t>
        <a:bodyPr/>
        <a:lstStyle/>
        <a:p>
          <a:endParaRPr lang="en-GB"/>
        </a:p>
      </dgm:t>
    </dgm:pt>
    <dgm:pt modelId="{1E3AC805-1B91-4A8E-B6EC-0CED8F7DE675}">
      <dgm:prSet phldrT="[Text]"/>
      <dgm:spPr/>
      <dgm:t>
        <a:bodyPr/>
        <a:lstStyle/>
        <a:p>
          <a:r>
            <a:rPr lang="en-GB"/>
            <a:t>4. Final Investment Decision</a:t>
          </a:r>
        </a:p>
      </dgm:t>
    </dgm:pt>
    <dgm:pt modelId="{666E2AB1-E818-44F8-A6BB-55A36C6D2E27}" type="parTrans" cxnId="{E6DBB98C-DF52-470A-880D-D9940591E71F}">
      <dgm:prSet/>
      <dgm:spPr/>
      <dgm:t>
        <a:bodyPr/>
        <a:lstStyle/>
        <a:p>
          <a:endParaRPr lang="en-GB"/>
        </a:p>
      </dgm:t>
    </dgm:pt>
    <dgm:pt modelId="{F8E45AA9-401A-4AD9-B70E-CF6BE86CB20B}" type="sibTrans" cxnId="{E6DBB98C-DF52-470A-880D-D9940591E71F}">
      <dgm:prSet/>
      <dgm:spPr/>
      <dgm:t>
        <a:bodyPr/>
        <a:lstStyle/>
        <a:p>
          <a:endParaRPr lang="en-GB"/>
        </a:p>
      </dgm:t>
    </dgm:pt>
    <dgm:pt modelId="{18805B8F-6192-419C-9C47-9F5A64624668}" type="pres">
      <dgm:prSet presAssocID="{06D3AFC0-D5D4-454F-A55F-639A028D1314}" presName="cycle" presStyleCnt="0">
        <dgm:presLayoutVars>
          <dgm:dir/>
          <dgm:resizeHandles val="exact"/>
        </dgm:presLayoutVars>
      </dgm:prSet>
      <dgm:spPr/>
    </dgm:pt>
    <dgm:pt modelId="{7DF72C42-02FB-4C1F-B309-3499268700EC}" type="pres">
      <dgm:prSet presAssocID="{5FCB2C78-6BDF-4A07-B2EA-CDB5CBE64520}" presName="dummy" presStyleCnt="0"/>
      <dgm:spPr/>
    </dgm:pt>
    <dgm:pt modelId="{283E8349-7115-41A6-892B-DD4DDD3D7EAF}" type="pres">
      <dgm:prSet presAssocID="{5FCB2C78-6BDF-4A07-B2EA-CDB5CBE64520}" presName="node" presStyleLbl="revTx" presStyleIdx="0" presStyleCnt="4">
        <dgm:presLayoutVars>
          <dgm:bulletEnabled val="1"/>
        </dgm:presLayoutVars>
      </dgm:prSet>
      <dgm:spPr/>
    </dgm:pt>
    <dgm:pt modelId="{9C2D09C0-C943-4C0F-9A7A-3E623BF6185C}" type="pres">
      <dgm:prSet presAssocID="{65D2049C-7F9D-429E-A134-09B1BA78F15C}" presName="sibTrans" presStyleLbl="node1" presStyleIdx="0" presStyleCnt="4"/>
      <dgm:spPr/>
    </dgm:pt>
    <dgm:pt modelId="{B2FE214C-7A2F-46A3-ABDE-730A68C0E4E2}" type="pres">
      <dgm:prSet presAssocID="{D85AAC89-2313-4DAC-B0A8-5EF60B9133F7}" presName="dummy" presStyleCnt="0"/>
      <dgm:spPr/>
    </dgm:pt>
    <dgm:pt modelId="{5ECE52D2-91F0-4D4E-A3B1-42EF3FFF4E7C}" type="pres">
      <dgm:prSet presAssocID="{D85AAC89-2313-4DAC-B0A8-5EF60B9133F7}" presName="node" presStyleLbl="revTx" presStyleIdx="1" presStyleCnt="4">
        <dgm:presLayoutVars>
          <dgm:bulletEnabled val="1"/>
        </dgm:presLayoutVars>
      </dgm:prSet>
      <dgm:spPr/>
    </dgm:pt>
    <dgm:pt modelId="{6886AA76-B799-4675-A4F5-F0E71DA5889F}" type="pres">
      <dgm:prSet presAssocID="{018BAC4E-39D0-45C5-B305-5893A714BC64}" presName="sibTrans" presStyleLbl="node1" presStyleIdx="1" presStyleCnt="4"/>
      <dgm:spPr/>
    </dgm:pt>
    <dgm:pt modelId="{684DEE54-63E3-429C-AEC1-8303F43C89CA}" type="pres">
      <dgm:prSet presAssocID="{B13D6EF0-E88E-4A29-A5E6-0F400784F72D}" presName="dummy" presStyleCnt="0"/>
      <dgm:spPr/>
    </dgm:pt>
    <dgm:pt modelId="{2050C76F-2251-43BD-BFEF-05F3FC345EA8}" type="pres">
      <dgm:prSet presAssocID="{B13D6EF0-E88E-4A29-A5E6-0F400784F72D}" presName="node" presStyleLbl="revTx" presStyleIdx="2" presStyleCnt="4">
        <dgm:presLayoutVars>
          <dgm:bulletEnabled val="1"/>
        </dgm:presLayoutVars>
      </dgm:prSet>
      <dgm:spPr/>
    </dgm:pt>
    <dgm:pt modelId="{C54EDF7E-7EDF-4767-94B8-A233EB90285D}" type="pres">
      <dgm:prSet presAssocID="{C63210AA-9736-4AB9-960A-816E21928C40}" presName="sibTrans" presStyleLbl="node1" presStyleIdx="2" presStyleCnt="4"/>
      <dgm:spPr/>
    </dgm:pt>
    <dgm:pt modelId="{29D1F120-F423-4B63-8802-1E607E339F26}" type="pres">
      <dgm:prSet presAssocID="{1E3AC805-1B91-4A8E-B6EC-0CED8F7DE675}" presName="dummy" presStyleCnt="0"/>
      <dgm:spPr/>
    </dgm:pt>
    <dgm:pt modelId="{3BAE0AF2-0163-4861-B710-37807B6112AC}" type="pres">
      <dgm:prSet presAssocID="{1E3AC805-1B91-4A8E-B6EC-0CED8F7DE675}" presName="node" presStyleLbl="revTx" presStyleIdx="3" presStyleCnt="4">
        <dgm:presLayoutVars>
          <dgm:bulletEnabled val="1"/>
        </dgm:presLayoutVars>
      </dgm:prSet>
      <dgm:spPr/>
    </dgm:pt>
    <dgm:pt modelId="{08F82D89-1FE5-4062-B820-5051C75E84EF}" type="pres">
      <dgm:prSet presAssocID="{F8E45AA9-401A-4AD9-B70E-CF6BE86CB20B}" presName="sibTrans" presStyleLbl="node1" presStyleIdx="3" presStyleCnt="4"/>
      <dgm:spPr/>
    </dgm:pt>
  </dgm:ptLst>
  <dgm:cxnLst>
    <dgm:cxn modelId="{506CA30D-5606-4B18-9F31-38F0F4243298}" type="presOf" srcId="{5FCB2C78-6BDF-4A07-B2EA-CDB5CBE64520}" destId="{283E8349-7115-41A6-892B-DD4DDD3D7EAF}" srcOrd="0" destOrd="0" presId="urn:microsoft.com/office/officeart/2005/8/layout/cycle1#1"/>
    <dgm:cxn modelId="{74640327-999A-453A-BA1A-3131C98A6D6F}" type="presOf" srcId="{D85AAC89-2313-4DAC-B0A8-5EF60B9133F7}" destId="{5ECE52D2-91F0-4D4E-A3B1-42EF3FFF4E7C}" srcOrd="0" destOrd="0" presId="urn:microsoft.com/office/officeart/2005/8/layout/cycle1#1"/>
    <dgm:cxn modelId="{1DCFB728-3C5F-4BB7-A71D-14B7370CB613}" type="presOf" srcId="{F8E45AA9-401A-4AD9-B70E-CF6BE86CB20B}" destId="{08F82D89-1FE5-4062-B820-5051C75E84EF}" srcOrd="0" destOrd="0" presId="urn:microsoft.com/office/officeart/2005/8/layout/cycle1#1"/>
    <dgm:cxn modelId="{86921334-615F-42C1-9F4B-67665249668B}" srcId="{06D3AFC0-D5D4-454F-A55F-639A028D1314}" destId="{B13D6EF0-E88E-4A29-A5E6-0F400784F72D}" srcOrd="2" destOrd="0" parTransId="{7DC75C00-AE02-4D7C-AD38-C2C151B2442D}" sibTransId="{C63210AA-9736-4AB9-960A-816E21928C40}"/>
    <dgm:cxn modelId="{DD85D052-5DE5-4659-A1BD-B227544EE0C1}" type="presOf" srcId="{C63210AA-9736-4AB9-960A-816E21928C40}" destId="{C54EDF7E-7EDF-4767-94B8-A233EB90285D}" srcOrd="0" destOrd="0" presId="urn:microsoft.com/office/officeart/2005/8/layout/cycle1#1"/>
    <dgm:cxn modelId="{041D8276-AAAF-4EFC-8CC8-D1C68B61015E}" type="presOf" srcId="{018BAC4E-39D0-45C5-B305-5893A714BC64}" destId="{6886AA76-B799-4675-A4F5-F0E71DA5889F}" srcOrd="0" destOrd="0" presId="urn:microsoft.com/office/officeart/2005/8/layout/cycle1#1"/>
    <dgm:cxn modelId="{E6DBB98C-DF52-470A-880D-D9940591E71F}" srcId="{06D3AFC0-D5D4-454F-A55F-639A028D1314}" destId="{1E3AC805-1B91-4A8E-B6EC-0CED8F7DE675}" srcOrd="3" destOrd="0" parTransId="{666E2AB1-E818-44F8-A6BB-55A36C6D2E27}" sibTransId="{F8E45AA9-401A-4AD9-B70E-CF6BE86CB20B}"/>
    <dgm:cxn modelId="{BEFA9794-CDBD-4C1E-8E73-905648FEDEEC}" srcId="{06D3AFC0-D5D4-454F-A55F-639A028D1314}" destId="{5FCB2C78-6BDF-4A07-B2EA-CDB5CBE64520}" srcOrd="0" destOrd="0" parTransId="{2AB45565-72E8-44BD-AFC6-2AE82A6FDA26}" sibTransId="{65D2049C-7F9D-429E-A134-09B1BA78F15C}"/>
    <dgm:cxn modelId="{338908A8-E33E-4B59-BD4F-8B873C68C7F3}" type="presOf" srcId="{65D2049C-7F9D-429E-A134-09B1BA78F15C}" destId="{9C2D09C0-C943-4C0F-9A7A-3E623BF6185C}" srcOrd="0" destOrd="0" presId="urn:microsoft.com/office/officeart/2005/8/layout/cycle1#1"/>
    <dgm:cxn modelId="{F57FE9AE-20A9-4F83-9A68-C947662A6645}" type="presOf" srcId="{B13D6EF0-E88E-4A29-A5E6-0F400784F72D}" destId="{2050C76F-2251-43BD-BFEF-05F3FC345EA8}" srcOrd="0" destOrd="0" presId="urn:microsoft.com/office/officeart/2005/8/layout/cycle1#1"/>
    <dgm:cxn modelId="{A8F27AAF-E2EE-4234-BF9C-BEBA7B515081}" srcId="{06D3AFC0-D5D4-454F-A55F-639A028D1314}" destId="{D85AAC89-2313-4DAC-B0A8-5EF60B9133F7}" srcOrd="1" destOrd="0" parTransId="{79720D82-CEEC-4E51-9CA8-546BA2769CB0}" sibTransId="{018BAC4E-39D0-45C5-B305-5893A714BC64}"/>
    <dgm:cxn modelId="{6AC46BC5-55C0-4089-ACBA-35B07D155734}" type="presOf" srcId="{06D3AFC0-D5D4-454F-A55F-639A028D1314}" destId="{18805B8F-6192-419C-9C47-9F5A64624668}" srcOrd="0" destOrd="0" presId="urn:microsoft.com/office/officeart/2005/8/layout/cycle1#1"/>
    <dgm:cxn modelId="{733637ED-0F1B-496D-B2F7-379B7B2EB516}" type="presOf" srcId="{1E3AC805-1B91-4A8E-B6EC-0CED8F7DE675}" destId="{3BAE0AF2-0163-4861-B710-37807B6112AC}" srcOrd="0" destOrd="0" presId="urn:microsoft.com/office/officeart/2005/8/layout/cycle1#1"/>
    <dgm:cxn modelId="{9A3ADB31-6522-4570-9C6C-DA1A24DA5350}" type="presParOf" srcId="{18805B8F-6192-419C-9C47-9F5A64624668}" destId="{7DF72C42-02FB-4C1F-B309-3499268700EC}" srcOrd="0" destOrd="0" presId="urn:microsoft.com/office/officeart/2005/8/layout/cycle1#1"/>
    <dgm:cxn modelId="{D2D97A35-E920-4B8F-B863-AD4B17310958}" type="presParOf" srcId="{18805B8F-6192-419C-9C47-9F5A64624668}" destId="{283E8349-7115-41A6-892B-DD4DDD3D7EAF}" srcOrd="1" destOrd="0" presId="urn:microsoft.com/office/officeart/2005/8/layout/cycle1#1"/>
    <dgm:cxn modelId="{0AD52437-C7BC-4F17-97E5-342757BBBF55}" type="presParOf" srcId="{18805B8F-6192-419C-9C47-9F5A64624668}" destId="{9C2D09C0-C943-4C0F-9A7A-3E623BF6185C}" srcOrd="2" destOrd="0" presId="urn:microsoft.com/office/officeart/2005/8/layout/cycle1#1"/>
    <dgm:cxn modelId="{36223610-83C3-4048-A6F1-2E0099D3DE80}" type="presParOf" srcId="{18805B8F-6192-419C-9C47-9F5A64624668}" destId="{B2FE214C-7A2F-46A3-ABDE-730A68C0E4E2}" srcOrd="3" destOrd="0" presId="urn:microsoft.com/office/officeart/2005/8/layout/cycle1#1"/>
    <dgm:cxn modelId="{CDCD3959-4E57-4185-92B2-E3A9344EF3B1}" type="presParOf" srcId="{18805B8F-6192-419C-9C47-9F5A64624668}" destId="{5ECE52D2-91F0-4D4E-A3B1-42EF3FFF4E7C}" srcOrd="4" destOrd="0" presId="urn:microsoft.com/office/officeart/2005/8/layout/cycle1#1"/>
    <dgm:cxn modelId="{41D3F4ED-36F2-4817-B7B8-D8B4DB1E7217}" type="presParOf" srcId="{18805B8F-6192-419C-9C47-9F5A64624668}" destId="{6886AA76-B799-4675-A4F5-F0E71DA5889F}" srcOrd="5" destOrd="0" presId="urn:microsoft.com/office/officeart/2005/8/layout/cycle1#1"/>
    <dgm:cxn modelId="{3F5B4700-81C0-47CA-882D-3370E678CC48}" type="presParOf" srcId="{18805B8F-6192-419C-9C47-9F5A64624668}" destId="{684DEE54-63E3-429C-AEC1-8303F43C89CA}" srcOrd="6" destOrd="0" presId="urn:microsoft.com/office/officeart/2005/8/layout/cycle1#1"/>
    <dgm:cxn modelId="{6ECF4E42-A3B4-4905-9F20-C7D2D2C8423B}" type="presParOf" srcId="{18805B8F-6192-419C-9C47-9F5A64624668}" destId="{2050C76F-2251-43BD-BFEF-05F3FC345EA8}" srcOrd="7" destOrd="0" presId="urn:microsoft.com/office/officeart/2005/8/layout/cycle1#1"/>
    <dgm:cxn modelId="{5A28E8AC-5DB6-4561-8E29-06AE8C63A98F}" type="presParOf" srcId="{18805B8F-6192-419C-9C47-9F5A64624668}" destId="{C54EDF7E-7EDF-4767-94B8-A233EB90285D}" srcOrd="8" destOrd="0" presId="urn:microsoft.com/office/officeart/2005/8/layout/cycle1#1"/>
    <dgm:cxn modelId="{D3D9E6D6-D926-4EB9-BCBE-98B5103DDF6A}" type="presParOf" srcId="{18805B8F-6192-419C-9C47-9F5A64624668}" destId="{29D1F120-F423-4B63-8802-1E607E339F26}" srcOrd="9" destOrd="0" presId="urn:microsoft.com/office/officeart/2005/8/layout/cycle1#1"/>
    <dgm:cxn modelId="{50B37CD5-10D3-441B-BC82-15A137230879}" type="presParOf" srcId="{18805B8F-6192-419C-9C47-9F5A64624668}" destId="{3BAE0AF2-0163-4861-B710-37807B6112AC}" srcOrd="10" destOrd="0" presId="urn:microsoft.com/office/officeart/2005/8/layout/cycle1#1"/>
    <dgm:cxn modelId="{18143D14-A53C-4534-A9A5-7D129D1A62B6}" type="presParOf" srcId="{18805B8F-6192-419C-9C47-9F5A64624668}" destId="{08F82D89-1FE5-4062-B820-5051C75E84EF}" srcOrd="11" destOrd="0" presId="urn:microsoft.com/office/officeart/2005/8/layout/cycle1#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3E8349-7115-41A6-892B-DD4DDD3D7EAF}">
      <dsp:nvSpPr>
        <dsp:cNvPr id="0" name=""/>
        <dsp:cNvSpPr/>
      </dsp:nvSpPr>
      <dsp:spPr>
        <a:xfrm>
          <a:off x="3081022" y="71130"/>
          <a:ext cx="1128064" cy="1128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GB" sz="1500" kern="1200"/>
            <a:t>1. Collect</a:t>
          </a:r>
        </a:p>
        <a:p>
          <a:pPr marL="0" lvl="0" indent="0" algn="ctr" defTabSz="666750">
            <a:lnSpc>
              <a:spcPct val="90000"/>
            </a:lnSpc>
            <a:spcBef>
              <a:spcPct val="0"/>
            </a:spcBef>
            <a:spcAft>
              <a:spcPct val="35000"/>
            </a:spcAft>
            <a:buNone/>
          </a:pPr>
          <a:r>
            <a:rPr lang="en-GB" sz="1500" kern="1200"/>
            <a:t>Data</a:t>
          </a:r>
        </a:p>
      </dsp:txBody>
      <dsp:txXfrm>
        <a:off x="3081022" y="71130"/>
        <a:ext cx="1128064" cy="1128064"/>
      </dsp:txXfrm>
    </dsp:sp>
    <dsp:sp modelId="{9C2D09C0-C943-4C0F-9A7A-3E623BF6185C}">
      <dsp:nvSpPr>
        <dsp:cNvPr id="0" name=""/>
        <dsp:cNvSpPr/>
      </dsp:nvSpPr>
      <dsp:spPr>
        <a:xfrm>
          <a:off x="1092276" y="-241"/>
          <a:ext cx="3188182" cy="3188182"/>
        </a:xfrm>
        <a:prstGeom prst="circularArrow">
          <a:avLst>
            <a:gd name="adj1" fmla="val 6900"/>
            <a:gd name="adj2" fmla="val 465158"/>
            <a:gd name="adj3" fmla="val 550230"/>
            <a:gd name="adj4" fmla="val 20584611"/>
            <a:gd name="adj5" fmla="val 805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CE52D2-91F0-4D4E-A3B1-42EF3FFF4E7C}">
      <dsp:nvSpPr>
        <dsp:cNvPr id="0" name=""/>
        <dsp:cNvSpPr/>
      </dsp:nvSpPr>
      <dsp:spPr>
        <a:xfrm>
          <a:off x="3081022" y="1988504"/>
          <a:ext cx="1128064" cy="1128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GB" sz="1500" kern="1200"/>
            <a:t>2. Technical</a:t>
          </a:r>
        </a:p>
        <a:p>
          <a:pPr marL="0" lvl="0" indent="0" algn="ctr" defTabSz="666750">
            <a:lnSpc>
              <a:spcPct val="90000"/>
            </a:lnSpc>
            <a:spcBef>
              <a:spcPct val="0"/>
            </a:spcBef>
            <a:spcAft>
              <a:spcPct val="35000"/>
            </a:spcAft>
            <a:buNone/>
          </a:pPr>
          <a:r>
            <a:rPr lang="en-GB" sz="1500" kern="1200"/>
            <a:t>Indicator</a:t>
          </a:r>
        </a:p>
        <a:p>
          <a:pPr marL="0" lvl="0" indent="0" algn="ctr" defTabSz="666750">
            <a:lnSpc>
              <a:spcPct val="90000"/>
            </a:lnSpc>
            <a:spcBef>
              <a:spcPct val="0"/>
            </a:spcBef>
            <a:spcAft>
              <a:spcPct val="35000"/>
            </a:spcAft>
            <a:buNone/>
          </a:pPr>
          <a:r>
            <a:rPr lang="en-GB" sz="1500" kern="1200"/>
            <a:t>Consideration</a:t>
          </a:r>
        </a:p>
      </dsp:txBody>
      <dsp:txXfrm>
        <a:off x="3081022" y="1988504"/>
        <a:ext cx="1128064" cy="1128064"/>
      </dsp:txXfrm>
    </dsp:sp>
    <dsp:sp modelId="{6886AA76-B799-4675-A4F5-F0E71DA5889F}">
      <dsp:nvSpPr>
        <dsp:cNvPr id="0" name=""/>
        <dsp:cNvSpPr/>
      </dsp:nvSpPr>
      <dsp:spPr>
        <a:xfrm>
          <a:off x="1092276" y="-241"/>
          <a:ext cx="3188182" cy="3188182"/>
        </a:xfrm>
        <a:prstGeom prst="circularArrow">
          <a:avLst>
            <a:gd name="adj1" fmla="val 6900"/>
            <a:gd name="adj2" fmla="val 465158"/>
            <a:gd name="adj3" fmla="val 5950230"/>
            <a:gd name="adj4" fmla="val 4384611"/>
            <a:gd name="adj5" fmla="val 805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50C76F-2251-43BD-BFEF-05F3FC345EA8}">
      <dsp:nvSpPr>
        <dsp:cNvPr id="0" name=""/>
        <dsp:cNvSpPr/>
      </dsp:nvSpPr>
      <dsp:spPr>
        <a:xfrm>
          <a:off x="1163648" y="1988504"/>
          <a:ext cx="1128064" cy="1128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GB" sz="1500" kern="1200"/>
            <a:t>3. Ethical Consideration</a:t>
          </a:r>
        </a:p>
      </dsp:txBody>
      <dsp:txXfrm>
        <a:off x="1163648" y="1988504"/>
        <a:ext cx="1128064" cy="1128064"/>
      </dsp:txXfrm>
    </dsp:sp>
    <dsp:sp modelId="{C54EDF7E-7EDF-4767-94B8-A233EB90285D}">
      <dsp:nvSpPr>
        <dsp:cNvPr id="0" name=""/>
        <dsp:cNvSpPr/>
      </dsp:nvSpPr>
      <dsp:spPr>
        <a:xfrm>
          <a:off x="1092276" y="-241"/>
          <a:ext cx="3188182" cy="3188182"/>
        </a:xfrm>
        <a:prstGeom prst="circularArrow">
          <a:avLst>
            <a:gd name="adj1" fmla="val 6900"/>
            <a:gd name="adj2" fmla="val 465158"/>
            <a:gd name="adj3" fmla="val 11350230"/>
            <a:gd name="adj4" fmla="val 9784611"/>
            <a:gd name="adj5" fmla="val 805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AE0AF2-0163-4861-B710-37807B6112AC}">
      <dsp:nvSpPr>
        <dsp:cNvPr id="0" name=""/>
        <dsp:cNvSpPr/>
      </dsp:nvSpPr>
      <dsp:spPr>
        <a:xfrm>
          <a:off x="1163648" y="71130"/>
          <a:ext cx="1128064" cy="1128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GB" sz="1500" kern="1200"/>
            <a:t>4. Final Investment Decision</a:t>
          </a:r>
        </a:p>
      </dsp:txBody>
      <dsp:txXfrm>
        <a:off x="1163648" y="71130"/>
        <a:ext cx="1128064" cy="1128064"/>
      </dsp:txXfrm>
    </dsp:sp>
    <dsp:sp modelId="{08F82D89-1FE5-4062-B820-5051C75E84EF}">
      <dsp:nvSpPr>
        <dsp:cNvPr id="0" name=""/>
        <dsp:cNvSpPr/>
      </dsp:nvSpPr>
      <dsp:spPr>
        <a:xfrm>
          <a:off x="1092276" y="-241"/>
          <a:ext cx="3188182" cy="3188182"/>
        </a:xfrm>
        <a:prstGeom prst="circularArrow">
          <a:avLst>
            <a:gd name="adj1" fmla="val 6900"/>
            <a:gd name="adj2" fmla="val 465158"/>
            <a:gd name="adj3" fmla="val 16750230"/>
            <a:gd name="adj4" fmla="val 15184611"/>
            <a:gd name="adj5" fmla="val 805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panAng" val="360"/>
          <dgm:param type="stAng" val="0"/>
        </dgm:alg>
      </dgm:if>
      <dgm:else name="Name2">
        <dgm:alg type="cycle">
          <dgm:param type="spanAng" val="-360"/>
          <dgm:param type="stAng" val="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begPts" val="radial"/>
                <dgm:param type="connRout" val="curve"/>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7B62D-B677-43CE-BEAE-58C846058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34</Pages>
  <Words>10327</Words>
  <Characters>58866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81</cp:revision>
  <cp:lastPrinted>2023-10-26T23:16:00Z</cp:lastPrinted>
  <dcterms:created xsi:type="dcterms:W3CDTF">2023-10-24T03:54:00Z</dcterms:created>
  <dcterms:modified xsi:type="dcterms:W3CDTF">2023-10-26T23:22:00Z</dcterms:modified>
</cp:coreProperties>
</file>