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16EA" w14:textId="77777777" w:rsidR="00941ACA" w:rsidRDefault="00941ACA">
      <w:pPr>
        <w:rPr>
          <w:rFonts w:asciiTheme="majorHAnsi" w:hAnsiTheme="majorHAnsi" w:cstheme="majorHAnsi"/>
          <w:sz w:val="22"/>
          <w:szCs w:val="22"/>
        </w:rPr>
      </w:pPr>
    </w:p>
    <w:p w14:paraId="634FF0D0" w14:textId="77777777" w:rsidR="00941ACA" w:rsidRDefault="00941ACA" w:rsidP="00941ACA"/>
    <w:p w14:paraId="11AE97E0" w14:textId="532EBC4F" w:rsidR="00941ACA" w:rsidRDefault="00941ACA" w:rsidP="00941ACA">
      <w:pPr>
        <w:rPr>
          <w:rFonts w:asciiTheme="majorHAnsi" w:hAnsiTheme="majorHAnsi" w:cstheme="majorHAnsi"/>
        </w:rPr>
      </w:pPr>
    </w:p>
    <w:p w14:paraId="3FB7F15B" w14:textId="03FA4077" w:rsidR="00FB2275" w:rsidRPr="00FB2275" w:rsidRDefault="00FB2275" w:rsidP="00FB2275">
      <w:pPr>
        <w:rPr>
          <w:rFonts w:asciiTheme="majorHAnsi" w:hAnsiTheme="majorHAnsi" w:cstheme="majorHAnsi"/>
          <w:b/>
          <w:bCs/>
          <w:sz w:val="40"/>
          <w:szCs w:val="40"/>
        </w:rPr>
      </w:pPr>
      <w:r w:rsidRPr="00FB2275">
        <w:rPr>
          <w:rFonts w:asciiTheme="majorHAnsi" w:hAnsiTheme="majorHAnsi" w:cstheme="majorHAnsi"/>
          <w:b/>
          <w:bCs/>
          <w:sz w:val="40"/>
          <w:szCs w:val="40"/>
        </w:rPr>
        <w:t xml:space="preserve">Step </w:t>
      </w:r>
      <w:r>
        <w:rPr>
          <w:rFonts w:asciiTheme="majorHAnsi" w:hAnsiTheme="majorHAnsi" w:cstheme="majorHAnsi"/>
          <w:b/>
          <w:bCs/>
          <w:sz w:val="40"/>
          <w:szCs w:val="40"/>
        </w:rPr>
        <w:t>1</w:t>
      </w:r>
    </w:p>
    <w:p w14:paraId="5CD05774" w14:textId="77777777" w:rsidR="00FB2275" w:rsidRDefault="00FB2275" w:rsidP="00941ACA">
      <w:pPr>
        <w:rPr>
          <w:rFonts w:asciiTheme="majorHAnsi" w:hAnsiTheme="majorHAnsi" w:cstheme="majorHAnsi"/>
        </w:rPr>
      </w:pPr>
    </w:p>
    <w:p w14:paraId="38290095"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Overview of an Open-Ended, Low-Cost Mutual Fund Tracking a Broad Market Index</w:t>
      </w:r>
    </w:p>
    <w:p w14:paraId="18081F36" w14:textId="77777777" w:rsidR="00FF24A4" w:rsidRPr="00FF24A4" w:rsidRDefault="00FF24A4" w:rsidP="00FF24A4">
      <w:pPr>
        <w:rPr>
          <w:rFonts w:asciiTheme="majorHAnsi" w:hAnsiTheme="majorHAnsi" w:cstheme="majorHAnsi"/>
        </w:rPr>
      </w:pPr>
    </w:p>
    <w:p w14:paraId="0AA20E3F"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An open-ended, low-cost mutual fund that tracks a broad market index is a compelling investment option that offers investors exposure to a diverse range of assets, reflecting the performance of the underlying market index. This type of investment vehicle provides several features and benefits that align with the interests of a wide range of investors seeking market participation with minimized risk.</w:t>
      </w:r>
    </w:p>
    <w:p w14:paraId="06094023" w14:textId="77777777" w:rsidR="00FF24A4" w:rsidRPr="00FF24A4" w:rsidRDefault="00FF24A4" w:rsidP="00FF24A4">
      <w:pPr>
        <w:rPr>
          <w:rFonts w:asciiTheme="majorHAnsi" w:hAnsiTheme="majorHAnsi" w:cstheme="majorHAnsi"/>
        </w:rPr>
      </w:pPr>
    </w:p>
    <w:p w14:paraId="2BEE2980"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1. Performance:</w:t>
      </w:r>
    </w:p>
    <w:p w14:paraId="6ABAE279"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Similar to exchange-traded funds (ETFs), open-ended mutual funds that track broad market indices provide investors with a performance that mirrors the overall market index. This diversified approach reduces the impact of poor performance from individual assets, offering the potential for more consistent returns over time.</w:t>
      </w:r>
    </w:p>
    <w:p w14:paraId="1E8F2708" w14:textId="77777777" w:rsidR="00FF24A4" w:rsidRPr="00FF24A4" w:rsidRDefault="00FF24A4" w:rsidP="00FF24A4">
      <w:pPr>
        <w:rPr>
          <w:rFonts w:asciiTheme="majorHAnsi" w:hAnsiTheme="majorHAnsi" w:cstheme="majorHAnsi"/>
        </w:rPr>
      </w:pPr>
    </w:p>
    <w:p w14:paraId="74D92709"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2. Fees:</w:t>
      </w:r>
    </w:p>
    <w:p w14:paraId="49BB68E6"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One of the key advantages of low-cost mutual funds is their fee structure. These funds typically have lower expense ratios compared to actively managed funds, making them a cost-effective choice for investors. The minimal fees contribute to enhancing overall returns, as a larger portion of investment gains is retained by the investor.</w:t>
      </w:r>
    </w:p>
    <w:p w14:paraId="35B4174C" w14:textId="77777777" w:rsidR="00FF24A4" w:rsidRPr="00FF24A4" w:rsidRDefault="00FF24A4" w:rsidP="00FF24A4">
      <w:pPr>
        <w:rPr>
          <w:rFonts w:asciiTheme="majorHAnsi" w:hAnsiTheme="majorHAnsi" w:cstheme="majorHAnsi"/>
        </w:rPr>
      </w:pPr>
    </w:p>
    <w:p w14:paraId="58EE8CFC"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3. Transparency:</w:t>
      </w:r>
    </w:p>
    <w:p w14:paraId="52A3793C"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Transparency is a hallmark of open-ended mutual funds. Investors have access to regular disclosure of the fund's holdings, performance, and expenses. Fund managers often provide detailed reports, including information on the allocation of assets within the portfolio. This transparency empowers investors to make informed decisions and monitor the progress of their investments.</w:t>
      </w:r>
    </w:p>
    <w:p w14:paraId="646EDCE5" w14:textId="77777777" w:rsidR="00FF24A4" w:rsidRPr="00FF24A4" w:rsidRDefault="00FF24A4" w:rsidP="00FF24A4">
      <w:pPr>
        <w:rPr>
          <w:rFonts w:asciiTheme="majorHAnsi" w:hAnsiTheme="majorHAnsi" w:cstheme="majorHAnsi"/>
        </w:rPr>
      </w:pPr>
    </w:p>
    <w:p w14:paraId="0C1D1ED4"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4. Liquidity:</w:t>
      </w:r>
    </w:p>
    <w:p w14:paraId="54345221"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Open-ended mutual funds offer high liquidity, allowing investors to buy or sell shares on any business day at the current net asset value (NAV). Unlike indexed annuities, which may have surrender periods and withdrawal fees, these mutual funds provide flexibility for investors to access their funds without significant constraints.</w:t>
      </w:r>
    </w:p>
    <w:p w14:paraId="763F8EC8" w14:textId="77777777" w:rsidR="00FF24A4" w:rsidRPr="00FF24A4" w:rsidRDefault="00FF24A4" w:rsidP="00FF24A4">
      <w:pPr>
        <w:rPr>
          <w:rFonts w:asciiTheme="majorHAnsi" w:hAnsiTheme="majorHAnsi" w:cstheme="majorHAnsi"/>
        </w:rPr>
      </w:pPr>
    </w:p>
    <w:p w14:paraId="7F5583D7"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lastRenderedPageBreak/>
        <w:t>5. Professional Management:</w:t>
      </w:r>
    </w:p>
    <w:p w14:paraId="0EAFD29C"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Expert management is a hallmark of open-ended mutual funds tracking broad market indices. While these funds are passively managed and aim to replicate the index's performance, the underlying assets still need strategic allocation and periodic rebalancing. Fund managers ensure that the portfolio composition remains in line with the chosen index, optimizing exposure to market trends.</w:t>
      </w:r>
    </w:p>
    <w:p w14:paraId="0A2F55C2" w14:textId="77777777" w:rsidR="00FF24A4" w:rsidRPr="00FF24A4" w:rsidRDefault="00FF24A4" w:rsidP="00FF24A4">
      <w:pPr>
        <w:rPr>
          <w:rFonts w:asciiTheme="majorHAnsi" w:hAnsiTheme="majorHAnsi" w:cstheme="majorHAnsi"/>
        </w:rPr>
      </w:pPr>
    </w:p>
    <w:p w14:paraId="54F9B7F6"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6. Investor Protections:</w:t>
      </w:r>
    </w:p>
    <w:p w14:paraId="0B1332F6" w14:textId="77777777" w:rsidR="00FF24A4" w:rsidRPr="00FF24A4" w:rsidRDefault="00FF24A4" w:rsidP="00FF24A4">
      <w:pPr>
        <w:rPr>
          <w:rFonts w:asciiTheme="majorHAnsi" w:hAnsiTheme="majorHAnsi" w:cstheme="majorHAnsi"/>
        </w:rPr>
      </w:pPr>
      <w:r w:rsidRPr="00FF24A4">
        <w:rPr>
          <w:rFonts w:asciiTheme="majorHAnsi" w:hAnsiTheme="majorHAnsi" w:cstheme="majorHAnsi"/>
        </w:rPr>
        <w:t>Investor protections are robust for open-ended mutual funds. These funds fall under the purview of regulatory bodies like the Securities and Exchange Commission (SEC) and the Financial Industry Regulatory Authority (FINRA). Fund managers have a fiduciary responsibility to act in the best interests of investors, ensuring transparency, and minimizing conflicts of interest.</w:t>
      </w:r>
    </w:p>
    <w:p w14:paraId="7A96ABA1" w14:textId="77777777" w:rsidR="00FF24A4" w:rsidRPr="00FF24A4" w:rsidRDefault="00FF24A4" w:rsidP="00FF24A4">
      <w:pPr>
        <w:rPr>
          <w:rFonts w:asciiTheme="majorHAnsi" w:hAnsiTheme="majorHAnsi" w:cstheme="majorHAnsi"/>
        </w:rPr>
      </w:pPr>
    </w:p>
    <w:p w14:paraId="51230633" w14:textId="01433C66" w:rsidR="00FB2275" w:rsidRDefault="00FF24A4" w:rsidP="00FF24A4">
      <w:pPr>
        <w:rPr>
          <w:rFonts w:asciiTheme="majorHAnsi" w:hAnsiTheme="majorHAnsi" w:cstheme="majorHAnsi"/>
        </w:rPr>
      </w:pPr>
      <w:r w:rsidRPr="00FF24A4">
        <w:rPr>
          <w:rFonts w:asciiTheme="majorHAnsi" w:hAnsiTheme="majorHAnsi" w:cstheme="majorHAnsi"/>
        </w:rPr>
        <w:t>Moreover, the Securities Investor Protection Corporation (SIPC) provides a safeguard for investors in case of a brokerage firm's failure. While it doesn't protect against losses in the market, SIPC provides coverage up to $500,000 per account, with a limit of $250,000 for cash. This protection enhances investor confidence in the safety of their investments.</w:t>
      </w:r>
    </w:p>
    <w:p w14:paraId="18F6B9C1" w14:textId="77777777" w:rsidR="00FF24A4" w:rsidRDefault="00FF24A4" w:rsidP="00FF24A4">
      <w:pPr>
        <w:rPr>
          <w:rFonts w:asciiTheme="majorHAnsi" w:hAnsiTheme="majorHAnsi" w:cstheme="majorHAnsi"/>
        </w:rPr>
      </w:pPr>
    </w:p>
    <w:p w14:paraId="06E09BCE" w14:textId="0118D4C2" w:rsidR="00FB2275" w:rsidRPr="00FB2275" w:rsidRDefault="00FB2275" w:rsidP="004D6563">
      <w:pPr>
        <w:rPr>
          <w:rFonts w:asciiTheme="majorHAnsi" w:hAnsiTheme="majorHAnsi" w:cstheme="majorHAnsi"/>
          <w:b/>
          <w:bCs/>
          <w:sz w:val="40"/>
          <w:szCs w:val="40"/>
        </w:rPr>
      </w:pPr>
      <w:r w:rsidRPr="00FB2275">
        <w:rPr>
          <w:rFonts w:asciiTheme="majorHAnsi" w:hAnsiTheme="majorHAnsi" w:cstheme="majorHAnsi"/>
          <w:b/>
          <w:bCs/>
          <w:sz w:val="40"/>
          <w:szCs w:val="40"/>
        </w:rPr>
        <w:t>Step 2</w:t>
      </w:r>
    </w:p>
    <w:p w14:paraId="42FAF1C0" w14:textId="5AD17478" w:rsidR="00837A80" w:rsidRPr="00941ACA" w:rsidRDefault="004D6563" w:rsidP="003D310D">
      <w:pPr>
        <w:rPr>
          <w:rFonts w:asciiTheme="majorHAnsi" w:hAnsiTheme="majorHAnsi" w:cstheme="majorHAnsi"/>
        </w:rPr>
      </w:pPr>
      <w:r>
        <w:rPr>
          <w:rFonts w:asciiTheme="majorHAnsi" w:hAnsiTheme="majorHAnsi" w:cstheme="majorHAnsi"/>
        </w:rPr>
        <w:t xml:space="preserve">   </w:t>
      </w:r>
    </w:p>
    <w:p w14:paraId="17E2A865" w14:textId="77777777" w:rsidR="00BB613B" w:rsidRPr="00BB613B" w:rsidRDefault="00BB613B" w:rsidP="00BB613B">
      <w:pPr>
        <w:rPr>
          <w:rFonts w:asciiTheme="majorHAnsi" w:hAnsiTheme="majorHAnsi" w:cstheme="majorHAnsi"/>
        </w:rPr>
      </w:pPr>
      <w:r w:rsidRPr="00BB613B">
        <w:rPr>
          <w:rFonts w:asciiTheme="majorHAnsi" w:hAnsiTheme="majorHAnsi" w:cstheme="majorHAnsi"/>
        </w:rPr>
        <w:t>7. Collateral-Related Risks: Credit Risk:</w:t>
      </w:r>
    </w:p>
    <w:p w14:paraId="6D62EF9F" w14:textId="77777777" w:rsidR="00BB613B" w:rsidRPr="00BB613B" w:rsidRDefault="00BB613B" w:rsidP="00BB613B">
      <w:pPr>
        <w:rPr>
          <w:rFonts w:asciiTheme="majorHAnsi" w:hAnsiTheme="majorHAnsi" w:cstheme="majorHAnsi"/>
        </w:rPr>
      </w:pPr>
    </w:p>
    <w:p w14:paraId="078FAB2A" w14:textId="77777777" w:rsidR="00BB613B" w:rsidRPr="00BB613B" w:rsidRDefault="00BB613B" w:rsidP="00BB613B">
      <w:pPr>
        <w:rPr>
          <w:rFonts w:asciiTheme="majorHAnsi" w:hAnsiTheme="majorHAnsi" w:cstheme="majorHAnsi"/>
        </w:rPr>
      </w:pPr>
      <w:r w:rsidRPr="00BB613B">
        <w:rPr>
          <w:rFonts w:asciiTheme="majorHAnsi" w:hAnsiTheme="majorHAnsi" w:cstheme="majorHAnsi"/>
        </w:rPr>
        <w:t>a. Open-ended mutual funds typically do not carry direct collateral-related risks or credit risk. Investors' money is pooled and invested in a diversified portfolio of securities, reducing the impact of credit risk associated with individual assets.</w:t>
      </w:r>
    </w:p>
    <w:p w14:paraId="2DA61C3D" w14:textId="77777777" w:rsidR="00BB613B" w:rsidRPr="00BB613B" w:rsidRDefault="00BB613B" w:rsidP="00BB613B">
      <w:pPr>
        <w:rPr>
          <w:rFonts w:asciiTheme="majorHAnsi" w:hAnsiTheme="majorHAnsi" w:cstheme="majorHAnsi"/>
        </w:rPr>
      </w:pPr>
    </w:p>
    <w:p w14:paraId="5896098E" w14:textId="77777777" w:rsidR="00BB613B" w:rsidRPr="00BB613B" w:rsidRDefault="00BB613B" w:rsidP="00BB613B">
      <w:pPr>
        <w:rPr>
          <w:rFonts w:asciiTheme="majorHAnsi" w:hAnsiTheme="majorHAnsi" w:cstheme="majorHAnsi"/>
        </w:rPr>
      </w:pPr>
      <w:r w:rsidRPr="00BB613B">
        <w:rPr>
          <w:rFonts w:asciiTheme="majorHAnsi" w:hAnsiTheme="majorHAnsi" w:cstheme="majorHAnsi"/>
        </w:rPr>
        <w:t>b. In open-ended mutual funds, there aren't specific institutions that insure payment of dividends or credit guarantees. Instead, the performance of the fund relies on the performance of the underlying securities.</w:t>
      </w:r>
    </w:p>
    <w:p w14:paraId="0EF96BAC" w14:textId="77777777" w:rsidR="00BB613B" w:rsidRPr="00BB613B" w:rsidRDefault="00BB613B" w:rsidP="00BB613B">
      <w:pPr>
        <w:rPr>
          <w:rFonts w:asciiTheme="majorHAnsi" w:hAnsiTheme="majorHAnsi" w:cstheme="majorHAnsi"/>
        </w:rPr>
      </w:pPr>
    </w:p>
    <w:p w14:paraId="27FFD2CC" w14:textId="11A46C38" w:rsidR="007539D4" w:rsidRDefault="00BB613B" w:rsidP="00BB613B">
      <w:pPr>
        <w:rPr>
          <w:rFonts w:asciiTheme="majorHAnsi" w:hAnsiTheme="majorHAnsi" w:cstheme="majorHAnsi"/>
        </w:rPr>
      </w:pPr>
      <w:r w:rsidRPr="00BB613B">
        <w:rPr>
          <w:rFonts w:asciiTheme="majorHAnsi" w:hAnsiTheme="majorHAnsi" w:cstheme="majorHAnsi"/>
        </w:rPr>
        <w:t>c. Questions about credit guarantees might not apply to open-ended mutual funds, as these funds typically don't provide specific credit guarantees or insurance for dividends.</w:t>
      </w:r>
    </w:p>
    <w:p w14:paraId="5D51E8E1" w14:textId="77777777" w:rsidR="00BB613B" w:rsidRDefault="00BB613B" w:rsidP="00BB613B">
      <w:pPr>
        <w:rPr>
          <w:rFonts w:asciiTheme="majorHAnsi" w:hAnsiTheme="majorHAnsi" w:cstheme="majorHAnsi"/>
        </w:rPr>
      </w:pPr>
    </w:p>
    <w:p w14:paraId="396959BF" w14:textId="29374B3C" w:rsidR="00BB613B" w:rsidRPr="00BB613B" w:rsidRDefault="00BB613B" w:rsidP="00BB613B">
      <w:pPr>
        <w:rPr>
          <w:rFonts w:asciiTheme="majorHAnsi" w:hAnsiTheme="majorHAnsi" w:cstheme="majorHAnsi"/>
        </w:rPr>
      </w:pPr>
      <w:r w:rsidRPr="00BB613B">
        <w:rPr>
          <w:rFonts w:asciiTheme="majorHAnsi" w:hAnsiTheme="majorHAnsi" w:cstheme="majorHAnsi"/>
        </w:rPr>
        <w:t>Statistical-Related Risks: Correlation:</w:t>
      </w:r>
    </w:p>
    <w:p w14:paraId="19A4D100" w14:textId="77777777" w:rsidR="00BB613B" w:rsidRPr="00BB613B" w:rsidRDefault="00BB613B" w:rsidP="00BB613B">
      <w:pPr>
        <w:rPr>
          <w:rFonts w:asciiTheme="majorHAnsi" w:hAnsiTheme="majorHAnsi" w:cstheme="majorHAnsi"/>
        </w:rPr>
      </w:pPr>
    </w:p>
    <w:p w14:paraId="62F2B3F5" w14:textId="77777777" w:rsidR="00BB613B" w:rsidRPr="00BB613B" w:rsidRDefault="00BB613B" w:rsidP="00BB613B">
      <w:pPr>
        <w:rPr>
          <w:rFonts w:asciiTheme="majorHAnsi" w:hAnsiTheme="majorHAnsi" w:cstheme="majorHAnsi"/>
        </w:rPr>
      </w:pPr>
      <w:r w:rsidRPr="00BB613B">
        <w:rPr>
          <w:rFonts w:asciiTheme="majorHAnsi" w:hAnsiTheme="majorHAnsi" w:cstheme="majorHAnsi"/>
        </w:rPr>
        <w:lastRenderedPageBreak/>
        <w:t>a. Open-ended mutual funds with a well-diversified portfolio can help mitigate risks associated with medium to high correlation among equities. Diversification across various assets reduces the impact of poor performance from individual securities.</w:t>
      </w:r>
    </w:p>
    <w:p w14:paraId="13EE985F" w14:textId="77777777" w:rsidR="00BB613B" w:rsidRPr="00BB613B" w:rsidRDefault="00BB613B" w:rsidP="00BB613B">
      <w:pPr>
        <w:rPr>
          <w:rFonts w:asciiTheme="majorHAnsi" w:hAnsiTheme="majorHAnsi" w:cstheme="majorHAnsi"/>
        </w:rPr>
      </w:pPr>
    </w:p>
    <w:p w14:paraId="43582A3C" w14:textId="77777777" w:rsidR="00BB613B" w:rsidRPr="00BB613B" w:rsidRDefault="00BB613B" w:rsidP="00BB613B">
      <w:pPr>
        <w:rPr>
          <w:rFonts w:asciiTheme="majorHAnsi" w:hAnsiTheme="majorHAnsi" w:cstheme="majorHAnsi"/>
        </w:rPr>
      </w:pPr>
      <w:r w:rsidRPr="00BB613B">
        <w:rPr>
          <w:rFonts w:asciiTheme="majorHAnsi" w:hAnsiTheme="majorHAnsi" w:cstheme="majorHAnsi"/>
        </w:rPr>
        <w:t>b. In down markets, investors might inquire about the historical performance of the open-ended mutual fund and how it has navigated challenging market conditions.</w:t>
      </w:r>
    </w:p>
    <w:p w14:paraId="285922B4" w14:textId="77777777" w:rsidR="00BB613B" w:rsidRPr="00BB613B" w:rsidRDefault="00BB613B" w:rsidP="00BB613B">
      <w:pPr>
        <w:rPr>
          <w:rFonts w:asciiTheme="majorHAnsi" w:hAnsiTheme="majorHAnsi" w:cstheme="majorHAnsi"/>
        </w:rPr>
      </w:pPr>
    </w:p>
    <w:p w14:paraId="3CD9D587" w14:textId="7E95243C" w:rsidR="00BB613B" w:rsidRDefault="00BB613B" w:rsidP="00BB613B">
      <w:pPr>
        <w:rPr>
          <w:rFonts w:asciiTheme="majorHAnsi" w:hAnsiTheme="majorHAnsi" w:cstheme="majorHAnsi"/>
        </w:rPr>
      </w:pPr>
      <w:r w:rsidRPr="00BB613B">
        <w:rPr>
          <w:rFonts w:asciiTheme="majorHAnsi" w:hAnsiTheme="majorHAnsi" w:cstheme="majorHAnsi"/>
        </w:rPr>
        <w:t>c. This question doesn't apply to open-ended mutual funds, as participation rates and equity market performance are specific to indexed annuities and are not relevant to mutual funds.</w:t>
      </w:r>
    </w:p>
    <w:p w14:paraId="1D42B915" w14:textId="77777777" w:rsidR="00036D53" w:rsidRDefault="00036D53" w:rsidP="00AF76FE">
      <w:pPr>
        <w:rPr>
          <w:rFonts w:asciiTheme="majorHAnsi" w:hAnsiTheme="majorHAnsi" w:cstheme="majorHAnsi"/>
        </w:rPr>
      </w:pPr>
    </w:p>
    <w:p w14:paraId="6AE6F3FE" w14:textId="571F32AA" w:rsidR="0000793D" w:rsidRDefault="00137F6E" w:rsidP="00AF76FE">
      <w:pPr>
        <w:rPr>
          <w:rFonts w:ascii="Calibri" w:eastAsia="Calibri" w:hAnsi="Calibri" w:cs="Calibri"/>
          <w:b/>
          <w:sz w:val="22"/>
          <w:szCs w:val="22"/>
        </w:rPr>
      </w:pPr>
      <w:r>
        <w:rPr>
          <w:rFonts w:asciiTheme="majorHAnsi" w:hAnsiTheme="majorHAnsi" w:cstheme="majorHAnsi"/>
        </w:rPr>
        <w:t xml:space="preserve"> </w:t>
      </w:r>
      <w:r w:rsidR="00AF76FE">
        <w:rPr>
          <w:rFonts w:asciiTheme="majorHAnsi" w:hAnsiTheme="majorHAnsi" w:cstheme="majorHAnsi"/>
        </w:rPr>
        <w:t xml:space="preserve"> </w:t>
      </w:r>
    </w:p>
    <w:sectPr w:rsidR="0000793D">
      <w:headerReference w:type="default" r:id="rId7"/>
      <w:footerReference w:type="default" r:id="rId8"/>
      <w:headerReference w:type="first" r:id="rId9"/>
      <w:footerReference w:type="first" r:id="rId10"/>
      <w:pgSz w:w="12240" w:h="15840"/>
      <w:pgMar w:top="1440" w:right="1440" w:bottom="1440" w:left="1440" w:header="720" w:footer="64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FDB12" w14:textId="77777777" w:rsidR="00C31E74" w:rsidRDefault="00C31E74">
      <w:pPr>
        <w:spacing w:line="240" w:lineRule="auto"/>
      </w:pPr>
      <w:r>
        <w:separator/>
      </w:r>
    </w:p>
  </w:endnote>
  <w:endnote w:type="continuationSeparator" w:id="0">
    <w:p w14:paraId="61098B29" w14:textId="77777777" w:rsidR="00C31E74" w:rsidRDefault="00C31E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Palatino">
    <w:altName w:val="Book Antiqu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3njj2xp27vi6" w:colFirst="0" w:colLast="0"/>
  <w:bookmarkEnd w:id="1"/>
  <w:p w14:paraId="58FE8E3A" w14:textId="77777777" w:rsidR="0000793D" w:rsidRDefault="008822B4">
    <w:pPr>
      <w:pStyle w:val="Subtitle"/>
      <w:tabs>
        <w:tab w:val="right" w:pos="9360"/>
      </w:tabs>
      <w:jc w:val="right"/>
      <w:rPr>
        <w:color w:val="CCCCCC"/>
        <w:sz w:val="15"/>
        <w:szCs w:val="15"/>
      </w:rPr>
    </w:pPr>
    <w:r>
      <w:rPr>
        <w:color w:val="CCCCCC"/>
        <w:sz w:val="15"/>
        <w:szCs w:val="15"/>
      </w:rPr>
      <w:fldChar w:fldCharType="begin"/>
    </w:r>
    <w:r>
      <w:rPr>
        <w:color w:val="CCCCCC"/>
        <w:sz w:val="15"/>
        <w:szCs w:val="15"/>
      </w:rPr>
      <w:instrText>PAGE</w:instrText>
    </w:r>
    <w:r>
      <w:rPr>
        <w:color w:val="CCCCCC"/>
        <w:sz w:val="15"/>
        <w:szCs w:val="15"/>
      </w:rPr>
      <w:fldChar w:fldCharType="separate"/>
    </w:r>
    <w:r w:rsidR="00941ACA">
      <w:rPr>
        <w:noProof/>
        <w:color w:val="CCCCCC"/>
        <w:sz w:val="15"/>
        <w:szCs w:val="15"/>
      </w:rPr>
      <w:t>1</w:t>
    </w:r>
    <w:r>
      <w:rPr>
        <w:color w:val="CCCCCC"/>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lmzikmqfw25z" w:colFirst="0" w:colLast="0"/>
  <w:bookmarkEnd w:id="3"/>
  <w:p w14:paraId="43CED8B7" w14:textId="77777777" w:rsidR="0000793D" w:rsidRDefault="008822B4">
    <w:pPr>
      <w:pStyle w:val="Subtitle"/>
      <w:tabs>
        <w:tab w:val="right" w:pos="9360"/>
      </w:tabs>
      <w:rPr>
        <w:color w:val="D9D9D9"/>
        <w:sz w:val="15"/>
        <w:szCs w:val="15"/>
      </w:rPr>
    </w:pPr>
    <w:r>
      <w:rPr>
        <w:color w:val="D9D9D9"/>
        <w:sz w:val="15"/>
        <w:szCs w:val="15"/>
      </w:rPr>
      <w:fldChar w:fldCharType="begin"/>
    </w:r>
    <w:r>
      <w:rPr>
        <w:color w:val="D9D9D9"/>
        <w:sz w:val="15"/>
        <w:szCs w:val="15"/>
      </w:rPr>
      <w:instrText>PAGE</w:instrText>
    </w:r>
    <w:r>
      <w:rPr>
        <w:color w:val="D9D9D9"/>
        <w:sz w:val="15"/>
        <w:szCs w:val="15"/>
      </w:rPr>
      <w:fldChar w:fldCharType="separate"/>
    </w:r>
    <w:r w:rsidR="00941ACA">
      <w:rPr>
        <w:noProof/>
        <w:color w:val="D9D9D9"/>
        <w:sz w:val="15"/>
        <w:szCs w:val="15"/>
      </w:rPr>
      <w:t>0</w:t>
    </w:r>
    <w:r>
      <w:rPr>
        <w:color w:val="D9D9D9"/>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CBD75" w14:textId="77777777" w:rsidR="00C31E74" w:rsidRDefault="00C31E74">
      <w:pPr>
        <w:spacing w:line="240" w:lineRule="auto"/>
      </w:pPr>
      <w:r>
        <w:separator/>
      </w:r>
    </w:p>
  </w:footnote>
  <w:footnote w:type="continuationSeparator" w:id="0">
    <w:p w14:paraId="1C120DFB" w14:textId="77777777" w:rsidR="00C31E74" w:rsidRDefault="00C31E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E4B8D" w14:textId="77777777" w:rsidR="0000793D" w:rsidRDefault="008822B4">
    <w:pPr>
      <w:pStyle w:val="Subtitle"/>
    </w:pPr>
    <w:bookmarkStart w:id="0" w:name="_qabbsffvlmwa" w:colFirst="0" w:colLast="0"/>
    <w:bookmarkEnd w:id="0"/>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23F5314C" w14:textId="77777777" w:rsidR="0000793D" w:rsidRDefault="008822B4">
    <w:r>
      <w:rPr>
        <w:b/>
      </w:rPr>
      <w:t>Group Number:</w:t>
    </w:r>
    <w:r>
      <w:t xml:space="preserve"> 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2B796" w14:textId="77777777" w:rsidR="0000793D" w:rsidRDefault="008822B4">
    <w:pPr>
      <w:pStyle w:val="Subtitle"/>
    </w:pPr>
    <w:bookmarkStart w:id="2" w:name="_4017fk80lz86" w:colFirst="0" w:colLast="0"/>
    <w:bookmarkEnd w:id="2"/>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2E29E1C4" w14:textId="77777777" w:rsidR="0000793D" w:rsidRDefault="008822B4">
    <w:r>
      <w:rPr>
        <w:b/>
      </w:rPr>
      <w:t>GROUP NUMBER:</w:t>
    </w:r>
    <w:r>
      <w:t xml:space="preserve">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C0DA5"/>
    <w:multiLevelType w:val="multilevel"/>
    <w:tmpl w:val="281AD5E6"/>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663A7E18"/>
    <w:multiLevelType w:val="multilevel"/>
    <w:tmpl w:val="6D468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3776738">
    <w:abstractNumId w:val="1"/>
  </w:num>
  <w:num w:numId="2" w16cid:durableId="1118331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3D"/>
    <w:rsid w:val="0000793D"/>
    <w:rsid w:val="00036D53"/>
    <w:rsid w:val="00094118"/>
    <w:rsid w:val="00137F6E"/>
    <w:rsid w:val="002B0553"/>
    <w:rsid w:val="003D310D"/>
    <w:rsid w:val="004D6563"/>
    <w:rsid w:val="007539D4"/>
    <w:rsid w:val="00837A80"/>
    <w:rsid w:val="008822B4"/>
    <w:rsid w:val="00941ACA"/>
    <w:rsid w:val="00AE551C"/>
    <w:rsid w:val="00AF76FE"/>
    <w:rsid w:val="00BB613B"/>
    <w:rsid w:val="00BF7D71"/>
    <w:rsid w:val="00C31E74"/>
    <w:rsid w:val="00FB2275"/>
    <w:rsid w:val="00FF24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D69"/>
  <w15:docId w15:val="{79900C57-6160-408B-BA5C-9173847D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29333D"/>
        <w:sz w:val="24"/>
        <w:szCs w:val="24"/>
        <w:lang w:val="en"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line="240" w:lineRule="auto"/>
      <w:outlineLvl w:val="0"/>
    </w:pPr>
    <w:rPr>
      <w:b/>
      <w:color w:val="004974"/>
      <w:sz w:val="44"/>
      <w:szCs w:val="44"/>
    </w:rPr>
  </w:style>
  <w:style w:type="paragraph" w:styleId="Heading2">
    <w:name w:val="heading 2"/>
    <w:basedOn w:val="Normal"/>
    <w:next w:val="Normal"/>
    <w:uiPriority w:val="9"/>
    <w:unhideWhenUsed/>
    <w:qFormat/>
    <w:pPr>
      <w:keepNext/>
      <w:keepLines/>
      <w:shd w:val="clear" w:color="auto" w:fill="FFFFFF"/>
      <w:spacing w:before="300" w:after="300" w:line="240" w:lineRule="auto"/>
      <w:outlineLvl w:val="1"/>
    </w:pPr>
    <w:rPr>
      <w:b/>
      <w:color w:val="004974"/>
      <w:sz w:val="32"/>
      <w:szCs w:val="32"/>
    </w:rPr>
  </w:style>
  <w:style w:type="paragraph" w:styleId="Heading3">
    <w:name w:val="heading 3"/>
    <w:basedOn w:val="Normal"/>
    <w:next w:val="Normal"/>
    <w:uiPriority w:val="9"/>
    <w:unhideWhenUsed/>
    <w:qFormat/>
    <w:pPr>
      <w:keepNext/>
      <w:keepLines/>
      <w:outlineLvl w:val="2"/>
    </w:pPr>
    <w:rPr>
      <w:b/>
      <w:color w:val="004974"/>
    </w:rPr>
  </w:style>
  <w:style w:type="paragraph" w:styleId="Heading4">
    <w:name w:val="heading 4"/>
    <w:basedOn w:val="Normal"/>
    <w:next w:val="Normal"/>
    <w:uiPriority w:val="9"/>
    <w:unhideWhenUsed/>
    <w:qFormat/>
    <w:pPr>
      <w:keepNext/>
      <w:keepLines/>
      <w:spacing w:line="240" w:lineRule="auto"/>
      <w:outlineLvl w:val="3"/>
    </w:pPr>
    <w:rPr>
      <w:b/>
      <w:color w:val="FFFFFF"/>
      <w:sz w:val="20"/>
      <w:szCs w:val="20"/>
    </w:rPr>
  </w:style>
  <w:style w:type="paragraph" w:styleId="Heading5">
    <w:name w:val="heading 5"/>
    <w:basedOn w:val="Normal"/>
    <w:next w:val="Normal"/>
    <w:uiPriority w:val="9"/>
    <w:semiHidden/>
    <w:unhideWhenUsed/>
    <w:qFormat/>
    <w:pPr>
      <w:keepNext/>
      <w:keepLines/>
      <w:spacing w:line="240" w:lineRule="auto"/>
      <w:outlineLvl w:val="4"/>
    </w:pPr>
    <w:rPr>
      <w:b/>
      <w:color w:val="E17714"/>
      <w:u w:val="single"/>
    </w:rPr>
  </w:style>
  <w:style w:type="paragraph" w:styleId="Heading6">
    <w:name w:val="heading 6"/>
    <w:basedOn w:val="Normal"/>
    <w:next w:val="Normal"/>
    <w:uiPriority w:val="9"/>
    <w:semiHidden/>
    <w:unhideWhenUsed/>
    <w:qFormat/>
    <w:pPr>
      <w:keepNext/>
      <w:keepLines/>
      <w:shd w:val="clear" w:color="auto" w:fill="FFFFFF"/>
      <w:spacing w:before="180" w:after="300"/>
      <w:jc w:val="center"/>
      <w:outlineLvl w:val="5"/>
    </w:pPr>
    <w:rPr>
      <w:rFonts w:ascii="Palatino" w:eastAsia="Palatino" w:hAnsi="Palatino" w:cs="Palatino"/>
      <w:i/>
      <w:color w:val="434343"/>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004974"/>
      <w:sz w:val="52"/>
      <w:szCs w:val="52"/>
    </w:rPr>
  </w:style>
  <w:style w:type="paragraph" w:styleId="Subtitle">
    <w:name w:val="Subtitle"/>
    <w:basedOn w:val="Normal"/>
    <w:next w:val="Normal"/>
    <w:uiPriority w:val="11"/>
    <w:qFormat/>
    <w:pPr>
      <w:keepNext/>
      <w:keepLines/>
      <w:spacing w:line="240" w:lineRule="auto"/>
    </w:pPr>
    <w:rPr>
      <w:color w:val="B7B7B7"/>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54891">
      <w:bodyDiv w:val="1"/>
      <w:marLeft w:val="0"/>
      <w:marRight w:val="0"/>
      <w:marTop w:val="0"/>
      <w:marBottom w:val="0"/>
      <w:divBdr>
        <w:top w:val="none" w:sz="0" w:space="0" w:color="auto"/>
        <w:left w:val="none" w:sz="0" w:space="0" w:color="auto"/>
        <w:bottom w:val="none" w:sz="0" w:space="0" w:color="auto"/>
        <w:right w:val="none" w:sz="0" w:space="0" w:color="auto"/>
      </w:divBdr>
    </w:div>
    <w:div w:id="741215279">
      <w:bodyDiv w:val="1"/>
      <w:marLeft w:val="0"/>
      <w:marRight w:val="0"/>
      <w:marTop w:val="0"/>
      <w:marBottom w:val="0"/>
      <w:divBdr>
        <w:top w:val="none" w:sz="0" w:space="0" w:color="auto"/>
        <w:left w:val="none" w:sz="0" w:space="0" w:color="auto"/>
        <w:bottom w:val="none" w:sz="0" w:space="0" w:color="auto"/>
        <w:right w:val="none" w:sz="0" w:space="0" w:color="auto"/>
      </w:divBdr>
    </w:div>
    <w:div w:id="1170097100">
      <w:bodyDiv w:val="1"/>
      <w:marLeft w:val="0"/>
      <w:marRight w:val="0"/>
      <w:marTop w:val="0"/>
      <w:marBottom w:val="0"/>
      <w:divBdr>
        <w:top w:val="none" w:sz="0" w:space="0" w:color="auto"/>
        <w:left w:val="none" w:sz="0" w:space="0" w:color="auto"/>
        <w:bottom w:val="none" w:sz="0" w:space="0" w:color="auto"/>
        <w:right w:val="none" w:sz="0" w:space="0" w:color="auto"/>
      </w:divBdr>
    </w:div>
    <w:div w:id="1439107570">
      <w:bodyDiv w:val="1"/>
      <w:marLeft w:val="0"/>
      <w:marRight w:val="0"/>
      <w:marTop w:val="0"/>
      <w:marBottom w:val="0"/>
      <w:divBdr>
        <w:top w:val="none" w:sz="0" w:space="0" w:color="auto"/>
        <w:left w:val="none" w:sz="0" w:space="0" w:color="auto"/>
        <w:bottom w:val="none" w:sz="0" w:space="0" w:color="auto"/>
        <w:right w:val="none" w:sz="0" w:space="0" w:color="auto"/>
      </w:divBdr>
    </w:div>
    <w:div w:id="1579362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Ebenezer Yeboah</dc:creator>
  <cp:lastModifiedBy>Haobey Multimedia</cp:lastModifiedBy>
  <cp:revision>2</cp:revision>
  <dcterms:created xsi:type="dcterms:W3CDTF">2023-08-21T08:13:00Z</dcterms:created>
  <dcterms:modified xsi:type="dcterms:W3CDTF">2023-08-21T08:13:00Z</dcterms:modified>
</cp:coreProperties>
</file>