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Resultado de aprendizaje — Unidad 1</w:t>
      </w:r>
    </w:p>
    <w:p>
      <w:pPr>
        <w:jc w:val="center"/>
      </w:pPr>
      <w:r>
        <w:rPr>
          <w:b/>
        </w:rPr>
        <w:t>Proyecto Django REST: precios finales por categoría</w:t>
      </w:r>
    </w:p>
    <w:p>
      <w:pPr>
        <w:pStyle w:val="Heading1"/>
      </w:pPr>
      <w:r>
        <w:t>Arquitectura del proyecto</w:t>
      </w:r>
    </w:p>
    <w:p>
      <w:pPr>
        <w:jc w:val="both"/>
      </w:pPr>
      <w:r>
        <w:t>El proyecto usa la estructura MVT de Django y está organizado en capas. La ruta recibe la petición, la vista revisa el acceso con JWT, el servicio calcula el precio y el modelo obtiene los datos del producto. Así, el descuento queda en un solo lugar y la vista es más fácil de entender.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83"/>
        <w:gridCol w:w="1531"/>
        <w:gridCol w:w="283"/>
        <w:gridCol w:w="2041"/>
        <w:gridCol w:w="283"/>
        <w:gridCol w:w="1701"/>
      </w:tblGrid>
      <w:tr>
        <w:tc>
          <w:tcPr>
            <w:tcW w:type="dxa" w:w="15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urls.py</w:t>
            </w:r>
          </w:p>
        </w:tc>
        <w:tc>
          <w:tcPr>
            <w:tcW w:type="dxa" w:w="28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→</w:t>
            </w:r>
          </w:p>
        </w:tc>
        <w:tc>
          <w:tcPr>
            <w:tcW w:type="dxa" w:w="153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views.py</w:t>
            </w:r>
          </w:p>
        </w:tc>
        <w:tc>
          <w:tcPr>
            <w:tcW w:type="dxa" w:w="28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→</w:t>
            </w:r>
          </w:p>
        </w:tc>
        <w:tc>
          <w:tcPr>
            <w:tcW w:type="dxa" w:w="204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services.py</w:t>
            </w:r>
          </w:p>
        </w:tc>
        <w:tc>
          <w:tcPr>
            <w:tcW w:type="dxa" w:w="28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→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models.py</w:t>
            </w:r>
          </w:p>
        </w:tc>
      </w:tr>
    </w:tbl>
    <w:p/>
    <w:p>
      <w:pPr>
        <w:jc w:val="both"/>
      </w:pPr>
      <w:r>
        <w:t>El recorrido empieza en /api/products/&lt;id&gt;/precio-final/. La vista pide el resultado al servicio y el servicio consulta el producto y su categoría; después regresa el precio final en formato JSON.</w:t>
      </w:r>
    </w:p>
    <w:p>
      <w:r>
        <w:br w:type="page"/>
      </w:r>
    </w:p>
    <w:p>
      <w:pPr>
        <w:pStyle w:val="Heading1"/>
      </w:pPr>
      <w:r>
        <w:t>Strategy: descuento según la categoría</w:t>
      </w:r>
    </w:p>
    <w:p>
      <w:pPr>
        <w:jc w:val="both"/>
      </w:pPr>
      <w:r>
        <w:t>En products/services.py se definieron tres formas de calcular el precio: 10 % de descuento para Electrónica, 20 % para Ropa y sin descuento para las demás categorías. El servicio elige la opción que corresponde al nombre de la categoría y calcula con dos decimales.</w:t>
      </w:r>
    </w:p>
    <w:p>
      <w:pPr>
        <w:spacing w:before="60" w:after="160"/>
      </w:pPr>
      <w:r>
        <w:rPr>
          <w:rFonts w:ascii="Arial" w:hAnsi="Arial"/>
          <w:b/>
          <w:sz w:val="24"/>
        </w:rPr>
        <w:t>Captura 1. Estrategias de descuento en services.py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632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_recor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32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Factory Method: categoría predeterminada</w:t>
      </w:r>
    </w:p>
    <w:p>
      <w:pPr>
        <w:jc w:val="both"/>
      </w:pPr>
      <w:r>
        <w:t>El método crear_con_categoria_default crea un producto cuando no se indica una categoría. Primero busca o crea “Sin categoría” y luego guarda el producto con esa relación. Esto evita repetir esos pasos cada vez que se necesite un producto así.</w:t>
      </w:r>
    </w:p>
    <w:p>
      <w:pPr>
        <w:spacing w:before="60" w:after="160"/>
      </w:pPr>
      <w:r>
        <w:rPr>
          <w:rFonts w:ascii="Arial" w:hAnsi="Arial"/>
          <w:b/>
          <w:sz w:val="24"/>
        </w:rPr>
        <w:t>Captura 2. Método en models.py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500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s_recor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0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Facade: consulta del precio final</w:t>
      </w:r>
    </w:p>
    <w:p>
      <w:pPr>
        <w:jc w:val="both"/>
      </w:pPr>
      <w:r>
        <w:t>El endpoint /api/products/&lt;id&gt;/precio-final/ está protegido con JWT. La vista hace una sola llamada al servicio y entrega el resultado; por eso funciona como una entrada sencilla al cálculo completo. La ruta también está disponible bajo /api/v1/.</w:t>
      </w:r>
    </w:p>
    <w:p>
      <w:r>
        <w:br w:type="page"/>
      </w:r>
    </w:p>
    <w:p>
      <w:pPr>
        <w:pStyle w:val="Heading1"/>
      </w:pPr>
      <w:r>
        <w:t>Prueba con dos categorías</w:t>
      </w:r>
    </w:p>
    <w:p>
      <w:pPr>
        <w:jc w:val="both"/>
      </w:pPr>
      <w:r>
        <w:t>Se consultó el endpoint con un token de acceso para dos productos reales del proyecto. Mouse cuesta 250.00 y, al ser de Electrónica, queda en 225.00; Playera cuesta 180.00 y, al ser de Ropa, queda en 144.00. Las dos peticiones respondieron con código 200.</w:t>
      </w:r>
    </w:p>
    <w:p>
      <w:pPr>
        <w:spacing w:before="60" w:after="160"/>
      </w:pPr>
      <w:r>
        <w:rPr>
          <w:rFonts w:ascii="Arial" w:hAnsi="Arial"/>
          <w:b/>
          <w:sz w:val="24"/>
        </w:rPr>
        <w:t>Captura 3. Respuestas del endpoint con JWT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034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recor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03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Pruebas del endpoint</w:t>
      </w:r>
    </w:p>
    <w:p>
      <w:pPr>
        <w:jc w:val="both"/>
      </w:pPr>
      <w:r>
        <w:t>Se agregaron dos pruebas nuevas. La primera consulta dos productos con acceso autorizado y comprueba el precio de cada uno; la segunda consulta sin token y espera el código 401. Las pruebas anteriores también siguen funcionando.</w:t>
      </w:r>
    </w:p>
    <w:p>
      <w:pPr>
        <w:spacing w:before="60" w:after="160"/>
      </w:pPr>
      <w:r>
        <w:rPr>
          <w:rFonts w:ascii="Arial" w:hAnsi="Arial"/>
          <w:b/>
          <w:sz w:val="24"/>
        </w:rPr>
        <w:t>Captura 4. Pruebas nuevas en tests.py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812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recor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12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</w:pPr>
      <w:r>
        <w:rPr>
          <w:rFonts w:ascii="Arial" w:hAnsi="Arial"/>
          <w:b/>
          <w:sz w:val="24"/>
        </w:rPr>
        <w:t>Captura 5. Salida de python manage.py test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05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recor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0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Tabla de patrones de diseño</w:t>
      </w:r>
    </w:p>
    <w:p>
      <w:pPr>
        <w:jc w:val="both"/>
      </w:pPr>
      <w:r>
        <w:t>Los tres patrones se aplicaron en partes distintas del proyecto. Cada uno ayuda a ordenar una tarea concreta: crear productos, elegir descuentos o responder desde la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2891"/>
        <w:gridCol w:w="3061"/>
      </w:tblGrid>
      <w:tr>
        <w:tc>
          <w:tcPr>
            <w:tcW w:type="dxa" w:w="233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Nombre</w:t>
            </w:r>
          </w:p>
        </w:tc>
        <w:tc>
          <w:tcPr>
            <w:tcW w:type="dxa" w:w="233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Categoría</w:t>
            </w:r>
          </w:p>
        </w:tc>
        <w:tc>
          <w:tcPr>
            <w:tcW w:type="dxa" w:w="233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Evidencia</w:t>
            </w:r>
          </w:p>
        </w:tc>
        <w:tc>
          <w:tcPr>
            <w:tcW w:type="dxa" w:w="233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Explicación</w:t>
            </w:r>
          </w:p>
        </w:tc>
      </w:tr>
      <w:tr>
        <w:tc>
          <w:tcPr>
            <w:tcW w:type="dxa" w:w="233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Factory Method</w:t>
            </w:r>
          </w:p>
        </w:tc>
        <w:tc>
          <w:tcPr>
            <w:tcW w:type="dxa" w:w="233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Creacional</w:t>
            </w:r>
          </w:p>
        </w:tc>
        <w:tc>
          <w:tcPr>
            <w:tcW w:type="dxa" w:w="233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Método de Product en models.py</w:t>
            </w:r>
          </w:p>
        </w:tc>
        <w:tc>
          <w:tcPr>
            <w:tcW w:type="dxa" w:w="233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Crea el producto en “Sin categoría”.</w:t>
            </w:r>
          </w:p>
        </w:tc>
      </w:tr>
      <w:tr>
        <w:tc>
          <w:tcPr>
            <w:tcW w:type="dxa" w:w="233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Strategy</w:t>
            </w:r>
          </w:p>
        </w:tc>
        <w:tc>
          <w:tcPr>
            <w:tcW w:type="dxa" w:w="233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Comportamiento</w:t>
            </w:r>
          </w:p>
        </w:tc>
        <w:tc>
          <w:tcPr>
            <w:tcW w:type="dxa" w:w="233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Clases de descuento en services.py</w:t>
            </w:r>
          </w:p>
        </w:tc>
        <w:tc>
          <w:tcPr>
            <w:tcW w:type="dxa" w:w="233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Elige 10 % o 20 % según la categoría.</w:t>
            </w:r>
          </w:p>
        </w:tc>
      </w:tr>
      <w:tr>
        <w:tc>
          <w:tcPr>
            <w:tcW w:type="dxa" w:w="233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Facade</w:t>
            </w:r>
          </w:p>
        </w:tc>
        <w:tc>
          <w:tcPr>
            <w:tcW w:type="dxa" w:w="233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Estructural</w:t>
            </w:r>
          </w:p>
        </w:tc>
        <w:tc>
          <w:tcPr>
            <w:tcW w:type="dxa" w:w="233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precio_final() en views.py</w:t>
            </w:r>
          </w:p>
        </w:tc>
        <w:tc>
          <w:tcPr>
            <w:tcW w:type="dxa" w:w="233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Da una sola entrada al cálculo del servicio.</w:t>
            </w:r>
          </w:p>
        </w:tc>
      </w:tr>
    </w:tbl>
    <w:sectPr w:rsidR="00FC693F" w:rsidRPr="0006063C" w:rsidSect="00034616">
      <w:pgSz w:w="11906" w:h="16838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