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5B6478"/>
          <w:sz w:val="20"/>
          <w:szCs w:val="20"/>
        </w:rPr>
        <w:t xml:space="preserve">CALI LIVE PLAY LLC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0151B"/>
          <w:sz w:val="40"/>
          <w:szCs w:val="40"/>
        </w:rPr>
        <w:t xml:space="preserve">STATEMENT OF WORK #[ __ ]</w:t>
      </w:r>
    </w:p>
    <w:p>
      <w:pPr>
        <w:pBdr>
          <w:bottom w:val="single" w:color="10151B" w:sz="6" w:space="6"/>
        </w:pBdr>
        <w:spacing w:after="200"/>
      </w:pPr>
      <w:r>
        <w:rPr>
          <w:rFonts w:ascii="Arial" w:cs="Arial" w:eastAsia="Arial" w:hAnsi="Arial"/>
          <w:b/>
          <w:bCs/>
          <w:color w:val="2F8F3C"/>
          <w:sz w:val="24"/>
          <w:szCs w:val="24"/>
        </w:rPr>
        <w:t xml:space="preserve">Moveworks → ServiceNow Migration Readiness Assessment</w:t>
      </w:r>
    </w:p>
    <w:p>
      <w:pPr>
        <w:spacing w:after="200"/>
      </w:pPr>
      <w:r>
        <w:rPr>
          <w:rFonts w:ascii="Arial" w:cs="Arial" w:eastAsia="Arial" w:hAnsi="Arial"/>
          <w:color w:val="10151B"/>
          <w:sz w:val="21"/>
          <w:szCs w:val="21"/>
        </w:rPr>
        <w:t xml:space="preserve">This Statement of Work (“SOW”) is entered into under the Master Service Agreement dated </w:t>
      </w:r>
      <w:r>
        <w:rPr>
          <w:rFonts w:ascii="Arial" w:cs="Arial" w:eastAsia="Arial" w:hAnsi="Arial"/>
          <w:b/>
          <w:bCs/>
          <w:color w:val="2F8F3C"/>
          <w:sz w:val="21"/>
          <w:szCs w:val="21"/>
        </w:rPr>
        <w:t xml:space="preserve">[DATE]</w:t>
      </w:r>
      <w:r>
        <w:rPr>
          <w:rFonts w:ascii="Arial" w:cs="Arial" w:eastAsia="Arial" w:hAnsi="Arial"/>
          <w:color w:val="10151B"/>
          <w:sz w:val="21"/>
          <w:szCs w:val="21"/>
        </w:rPr>
        <w:t xml:space="preserve"> between </w:t>
      </w:r>
      <w:r>
        <w:rPr>
          <w:rFonts w:ascii="Arial" w:cs="Arial" w:eastAsia="Arial" w:hAnsi="Arial"/>
          <w:b/>
          <w:bCs/>
          <w:color w:val="10151B"/>
          <w:sz w:val="21"/>
          <w:szCs w:val="21"/>
        </w:rPr>
        <w:t xml:space="preserve">Cali Live Play LLC</w:t>
      </w:r>
      <w:r>
        <w:rPr>
          <w:rFonts w:ascii="Arial" w:cs="Arial" w:eastAsia="Arial" w:hAnsi="Arial"/>
          <w:color w:val="10151B"/>
          <w:sz w:val="21"/>
          <w:szCs w:val="21"/>
        </w:rPr>
        <w:t xml:space="preserve"> (“Consultant”) and </w:t>
      </w:r>
      <w:r>
        <w:rPr>
          <w:rFonts w:ascii="Arial" w:cs="Arial" w:eastAsia="Arial" w:hAnsi="Arial"/>
          <w:b/>
          <w:bCs/>
          <w:color w:val="2F8F3C"/>
          <w:sz w:val="21"/>
          <w:szCs w:val="21"/>
        </w:rPr>
        <w:t xml:space="preserve">[CLIENT LEGAL NAME]</w:t>
      </w:r>
      <w:r>
        <w:rPr>
          <w:rFonts w:ascii="Arial" w:cs="Arial" w:eastAsia="Arial" w:hAnsi="Arial"/>
          <w:color w:val="10151B"/>
          <w:sz w:val="21"/>
          <w:szCs w:val="21"/>
        </w:rPr>
        <w:t xml:space="preserve"> (“Client”). Capitalized terms not defined here have the meanings in the Master Service Agreement.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0151B"/>
          <w:sz w:val="26"/>
          <w:szCs w:val="26"/>
        </w:rPr>
        <w:t xml:space="preserve">1.  Engagement and deliverable</w:t>
      </w:r>
    </w:p>
    <w:p>
      <w:pPr>
        <w:spacing w:after="120"/>
      </w:pPr>
      <w:r>
        <w:rPr>
          <w:rFonts w:ascii="Arial" w:cs="Arial" w:eastAsia="Arial" w:hAnsi="Arial"/>
          <w:color w:val="10151B"/>
          <w:sz w:val="21"/>
          <w:szCs w:val="21"/>
        </w:rPr>
        <w:t xml:space="preserve">Consultant will perform a fixed-fee readiness assessment of Client’s Moveworks estate and deliver one written report (“the Report”) answering, for Client’s environment: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0151B"/>
          <w:sz w:val="21"/>
          <w:szCs w:val="21"/>
        </w:rPr>
        <w:t xml:space="preserve">Plugin inventory — every plugin rated easy / medium / hard to rebuild, with reasons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0151B"/>
          <w:sz w:val="21"/>
          <w:szCs w:val="21"/>
        </w:rPr>
        <w:t xml:space="preserve">Retire-vs-rebuild analysis (plugins to kill or merge before any build)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0151B"/>
          <w:sz w:val="21"/>
          <w:szCs w:val="21"/>
        </w:rPr>
        <w:t xml:space="preserve">Behavioral parity — what changes on ServiceNow (memory, triggers, knowledge search)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0151B"/>
          <w:sz w:val="21"/>
          <w:szCs w:val="21"/>
        </w:rPr>
        <w:t xml:space="preserve">Live-agent handoff decision — Deep-Link vs. Message Brokering, against Client’s licenses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0151B"/>
          <w:sz w:val="21"/>
          <w:szCs w:val="21"/>
        </w:rPr>
        <w:t xml:space="preserve">Systems, credentials, and ServiceNow license gaps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0151B"/>
          <w:sz w:val="21"/>
          <w:szCs w:val="21"/>
        </w:rPr>
        <w:t xml:space="preserve">Sequenced build plan with per-plugin hour estimates — pricing both paths: migrate and stay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0151B"/>
          <w:sz w:val="21"/>
          <w:szCs w:val="21"/>
        </w:rPr>
        <w:t xml:space="preserve">A live readout presenting the findings to Client’s leadership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0151B"/>
          <w:sz w:val="26"/>
          <w:szCs w:val="26"/>
        </w:rPr>
        <w:t xml:space="preserve">2.  Scope</w:t>
      </w:r>
    </w:p>
    <w:p>
      <w:pPr>
        <w:spacing w:after="120"/>
      </w:pPr>
      <w:r>
        <w:rPr>
          <w:rFonts w:ascii="Arial" w:cs="Arial" w:eastAsia="Arial" w:hAnsi="Arial"/>
          <w:color w:val="10151B"/>
          <w:sz w:val="21"/>
          <w:szCs w:val="21"/>
        </w:rPr>
        <w:t xml:space="preserve">One Moveworks tenant: </w:t>
      </w:r>
      <w:r>
        <w:rPr>
          <w:rFonts w:ascii="Arial" w:cs="Arial" w:eastAsia="Arial" w:hAnsi="Arial"/>
          <w:b/>
          <w:bCs/>
          <w:color w:val="2F8F3C"/>
          <w:sz w:val="21"/>
          <w:szCs w:val="21"/>
        </w:rPr>
        <w:t xml:space="preserve">[TENANT]</w:t>
      </w:r>
      <w:r>
        <w:rPr>
          <w:rFonts w:ascii="Arial" w:cs="Arial" w:eastAsia="Arial" w:hAnsi="Arial"/>
          <w:color w:val="10151B"/>
          <w:sz w:val="21"/>
          <w:szCs w:val="21"/>
        </w:rPr>
        <w:t xml:space="preserve">   ·   One ServiceNow instance: </w:t>
      </w:r>
      <w:r>
        <w:rPr>
          <w:rFonts w:ascii="Arial" w:cs="Arial" w:eastAsia="Arial" w:hAnsi="Arial"/>
          <w:b/>
          <w:bCs/>
          <w:color w:val="2F8F3C"/>
          <w:sz w:val="21"/>
          <w:szCs w:val="21"/>
        </w:rPr>
        <w:t xml:space="preserve">[INSTANCE]</w:t>
      </w:r>
    </w:p>
    <w:p>
      <w:pPr>
        <w:spacing w:after="120"/>
      </w:pPr>
      <w:r>
        <w:rPr>
          <w:rFonts w:ascii="Arial" w:cs="Arial" w:eastAsia="Arial" w:hAnsi="Arial"/>
          <w:color w:val="10151B"/>
          <w:sz w:val="21"/>
          <w:szCs w:val="21"/>
        </w:rPr>
        <w:t xml:space="preserve">Plugin count assessed: </w:t>
      </w:r>
      <w:r>
        <w:rPr>
          <w:rFonts w:ascii="Arial" w:cs="Arial" w:eastAsia="Arial" w:hAnsi="Arial"/>
          <w:b/>
          <w:bCs/>
          <w:color w:val="2F8F3C"/>
          <w:sz w:val="21"/>
          <w:szCs w:val="21"/>
        </w:rPr>
        <w:t xml:space="preserve">[N]</w:t>
      </w:r>
      <w:r>
        <w:rPr>
          <w:rFonts w:ascii="Arial" w:cs="Arial" w:eastAsia="Arial" w:hAnsi="Arial"/>
          <w:color w:val="10151B"/>
          <w:sz w:val="21"/>
          <w:szCs w:val="21"/>
        </w:rPr>
        <w:t xml:space="preserve"> plugins, as confirmed on the readiness call. Material variance discovered during fieldwork is handled by written change order before additional work.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0151B"/>
          <w:sz w:val="26"/>
          <w:szCs w:val="26"/>
        </w:rPr>
        <w:t xml:space="preserve">3.  Client inputs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00"/>
        <w:gridCol w:w="3100"/>
      </w:tblGrid>
      <w:tr>
        <w:tc>
          <w:tcPr>
            <w:tcW w:type="dxa" w:w="3400"/>
            <w:tcBorders>
              <w:top w:val="single" w:color="C9D2CD" w:sz="4"/>
              <w:left w:val="single" w:color="C9D2CD" w:sz="4"/>
              <w:bottom w:val="single" w:color="C9D2CD" w:sz="4"/>
              <w:right w:val="single" w:color="C9D2CD" w:sz="4"/>
            </w:tcBorders>
            <w:shd w:fill="EE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51B"/>
                <w:sz w:val="20"/>
                <w:szCs w:val="20"/>
              </w:rPr>
              <w:t xml:space="preserve">Input</w:t>
            </w:r>
          </w:p>
        </w:tc>
        <w:tc>
          <w:tcPr>
            <w:tcW w:type="dxa" w:w="3200"/>
            <w:tcBorders>
              <w:top w:val="single" w:color="C9D2CD" w:sz="4"/>
              <w:left w:val="single" w:color="C9D2CD" w:sz="4"/>
              <w:bottom w:val="single" w:color="C9D2CD" w:sz="4"/>
              <w:right w:val="single" w:color="C9D2CD" w:sz="4"/>
            </w:tcBorders>
            <w:shd w:fill="EE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51B"/>
                <w:sz w:val="20"/>
                <w:szCs w:val="20"/>
              </w:rPr>
              <w:t xml:space="preserve">Owner</w:t>
            </w:r>
          </w:p>
        </w:tc>
        <w:tc>
          <w:tcPr>
            <w:tcW w:type="dxa" w:w="3100"/>
            <w:tcBorders>
              <w:top w:val="single" w:color="C9D2CD" w:sz="4"/>
              <w:left w:val="single" w:color="C9D2CD" w:sz="4"/>
              <w:bottom w:val="single" w:color="C9D2CD" w:sz="4"/>
              <w:right w:val="single" w:color="C9D2CD" w:sz="4"/>
            </w:tcBorders>
            <w:shd w:fill="EE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51B"/>
                <w:sz w:val="20"/>
                <w:szCs w:val="20"/>
              </w:rPr>
              <w:t xml:space="preserve">Due</w:t>
            </w:r>
          </w:p>
        </w:tc>
      </w:tr>
      <w:tr>
        <w:tc>
          <w:tcPr>
            <w:tcW w:type="dxa" w:w="3400"/>
            <w:tcBorders>
              <w:top w:val="single" w:color="C9D2CD" w:sz="4"/>
              <w:left w:val="single" w:color="C9D2CD" w:sz="4"/>
              <w:bottom w:val="single" w:color="C9D2CD" w:sz="4"/>
              <w:right w:val="single" w:color="C9D2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51B"/>
                <w:sz w:val="20"/>
                <w:szCs w:val="20"/>
              </w:rPr>
              <w:t xml:space="preserve">Read-only Moveworks tenant access or config + analytics exports</w:t>
            </w:r>
          </w:p>
        </w:tc>
        <w:tc>
          <w:tcPr>
            <w:tcW w:type="dxa" w:w="3200"/>
            <w:tcBorders>
              <w:top w:val="single" w:color="C9D2CD" w:sz="4"/>
              <w:left w:val="single" w:color="C9D2CD" w:sz="4"/>
              <w:bottom w:val="single" w:color="C9D2CD" w:sz="4"/>
              <w:right w:val="single" w:color="C9D2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51B"/>
                <w:sz w:val="20"/>
                <w:szCs w:val="20"/>
              </w:rPr>
              <w:t xml:space="preserve">[CLIENT CONTACT]</w:t>
            </w:r>
          </w:p>
        </w:tc>
        <w:tc>
          <w:tcPr>
            <w:tcW w:type="dxa" w:w="3100"/>
            <w:tcBorders>
              <w:top w:val="single" w:color="C9D2CD" w:sz="4"/>
              <w:left w:val="single" w:color="C9D2CD" w:sz="4"/>
              <w:bottom w:val="single" w:color="C9D2CD" w:sz="4"/>
              <w:right w:val="single" w:color="C9D2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51B"/>
                <w:sz w:val="20"/>
                <w:szCs w:val="20"/>
              </w:rPr>
              <w:t xml:space="preserve">Access Date</w:t>
            </w:r>
          </w:p>
        </w:tc>
      </w:tr>
      <w:tr>
        <w:tc>
          <w:tcPr>
            <w:tcW w:type="dxa" w:w="3400"/>
            <w:tcBorders>
              <w:top w:val="single" w:color="C9D2CD" w:sz="4"/>
              <w:left w:val="single" w:color="C9D2CD" w:sz="4"/>
              <w:bottom w:val="single" w:color="C9D2CD" w:sz="4"/>
              <w:right w:val="single" w:color="C9D2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51B"/>
                <w:sz w:val="20"/>
                <w:szCs w:val="20"/>
              </w:rPr>
              <w:t xml:space="preserve">Read-only ServiceNow instance access</w:t>
            </w:r>
          </w:p>
        </w:tc>
        <w:tc>
          <w:tcPr>
            <w:tcW w:type="dxa" w:w="3200"/>
            <w:tcBorders>
              <w:top w:val="single" w:color="C9D2CD" w:sz="4"/>
              <w:left w:val="single" w:color="C9D2CD" w:sz="4"/>
              <w:bottom w:val="single" w:color="C9D2CD" w:sz="4"/>
              <w:right w:val="single" w:color="C9D2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51B"/>
                <w:sz w:val="20"/>
                <w:szCs w:val="20"/>
              </w:rPr>
              <w:t xml:space="preserve">[CLIENT CONTACT]</w:t>
            </w:r>
          </w:p>
        </w:tc>
        <w:tc>
          <w:tcPr>
            <w:tcW w:type="dxa" w:w="3100"/>
            <w:tcBorders>
              <w:top w:val="single" w:color="C9D2CD" w:sz="4"/>
              <w:left w:val="single" w:color="C9D2CD" w:sz="4"/>
              <w:bottom w:val="single" w:color="C9D2CD" w:sz="4"/>
              <w:right w:val="single" w:color="C9D2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51B"/>
                <w:sz w:val="20"/>
                <w:szCs w:val="20"/>
              </w:rPr>
              <w:t xml:space="preserve">Access Date</w:t>
            </w:r>
          </w:p>
        </w:tc>
      </w:tr>
      <w:tr>
        <w:tc>
          <w:tcPr>
            <w:tcW w:type="dxa" w:w="3400"/>
            <w:tcBorders>
              <w:top w:val="single" w:color="C9D2CD" w:sz="4"/>
              <w:left w:val="single" w:color="C9D2CD" w:sz="4"/>
              <w:bottom w:val="single" w:color="C9D2CD" w:sz="4"/>
              <w:right w:val="single" w:color="C9D2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51B"/>
                <w:sz w:val="20"/>
                <w:szCs w:val="20"/>
              </w:rPr>
              <w:t xml:space="preserve">License entitlement summary + Moveworks renewal date</w:t>
            </w:r>
          </w:p>
        </w:tc>
        <w:tc>
          <w:tcPr>
            <w:tcW w:type="dxa" w:w="3200"/>
            <w:tcBorders>
              <w:top w:val="single" w:color="C9D2CD" w:sz="4"/>
              <w:left w:val="single" w:color="C9D2CD" w:sz="4"/>
              <w:bottom w:val="single" w:color="C9D2CD" w:sz="4"/>
              <w:right w:val="single" w:color="C9D2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51B"/>
                <w:sz w:val="20"/>
                <w:szCs w:val="20"/>
              </w:rPr>
              <w:t xml:space="preserve">[CLIENT CONTACT]</w:t>
            </w:r>
          </w:p>
        </w:tc>
        <w:tc>
          <w:tcPr>
            <w:tcW w:type="dxa" w:w="3100"/>
            <w:tcBorders>
              <w:top w:val="single" w:color="C9D2CD" w:sz="4"/>
              <w:left w:val="single" w:color="C9D2CD" w:sz="4"/>
              <w:bottom w:val="single" w:color="C9D2CD" w:sz="4"/>
              <w:right w:val="single" w:color="C9D2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51B"/>
                <w:sz w:val="20"/>
                <w:szCs w:val="20"/>
              </w:rPr>
              <w:t xml:space="preserve">Access Date</w:t>
            </w:r>
          </w:p>
        </w:tc>
      </w:tr>
      <w:tr>
        <w:tc>
          <w:tcPr>
            <w:tcW w:type="dxa" w:w="3400"/>
            <w:tcBorders>
              <w:top w:val="single" w:color="C9D2CD" w:sz="4"/>
              <w:left w:val="single" w:color="C9D2CD" w:sz="4"/>
              <w:bottom w:val="single" w:color="C9D2CD" w:sz="4"/>
              <w:right w:val="single" w:color="C9D2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51B"/>
                <w:sz w:val="20"/>
                <w:szCs w:val="20"/>
              </w:rPr>
              <w:t xml:space="preserve">Two stakeholder interviews (45 min each)</w:t>
            </w:r>
          </w:p>
        </w:tc>
        <w:tc>
          <w:tcPr>
            <w:tcW w:type="dxa" w:w="3200"/>
            <w:tcBorders>
              <w:top w:val="single" w:color="C9D2CD" w:sz="4"/>
              <w:left w:val="single" w:color="C9D2CD" w:sz="4"/>
              <w:bottom w:val="single" w:color="C9D2CD" w:sz="4"/>
              <w:right w:val="single" w:color="C9D2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51B"/>
                <w:sz w:val="20"/>
                <w:szCs w:val="20"/>
              </w:rPr>
              <w:t xml:space="preserve">[NAMES / ROLES]</w:t>
            </w:r>
          </w:p>
        </w:tc>
        <w:tc>
          <w:tcPr>
            <w:tcW w:type="dxa" w:w="3100"/>
            <w:tcBorders>
              <w:top w:val="single" w:color="C9D2CD" w:sz="4"/>
              <w:left w:val="single" w:color="C9D2CD" w:sz="4"/>
              <w:bottom w:val="single" w:color="C9D2CD" w:sz="4"/>
              <w:right w:val="single" w:color="C9D2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51B"/>
                <w:sz w:val="20"/>
                <w:szCs w:val="20"/>
              </w:rPr>
              <w:t xml:space="preserve">Week 1–2</w:t>
            </w:r>
          </w:p>
        </w:tc>
      </w:tr>
    </w:tbl>
    <w:p>
      <w:pPr>
        <w:spacing w:after="160" w:before="80"/>
      </w:pPr>
      <w:r>
        <w:rPr>
          <w:rFonts w:ascii="Arial" w:cs="Arial" w:eastAsia="Arial" w:hAnsi="Arial"/>
          <w:i/>
          <w:iCs/>
          <w:color w:val="5B6478"/>
          <w:sz w:val="18"/>
          <w:szCs w:val="18"/>
        </w:rPr>
        <w:t xml:space="preserve">“Access Date” = the date all read-only access above is granted and verified working.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0151B"/>
          <w:sz w:val="26"/>
          <w:szCs w:val="26"/>
        </w:rPr>
        <w:t xml:space="preserve">4.  Timeline</w:t>
      </w:r>
    </w:p>
    <w:p>
      <w:pPr>
        <w:spacing w:after="120"/>
      </w:pPr>
      <w:r>
        <w:rPr>
          <w:rFonts w:ascii="Arial" w:cs="Arial" w:eastAsia="Arial" w:hAnsi="Arial"/>
          <w:color w:val="10151B"/>
          <w:sz w:val="21"/>
          <w:szCs w:val="21"/>
        </w:rPr>
        <w:t xml:space="preserve">Delivery: </w:t>
      </w:r>
      <w:r>
        <w:rPr>
          <w:rFonts w:ascii="Arial" w:cs="Arial" w:eastAsia="Arial" w:hAnsi="Arial"/>
          <w:b/>
          <w:bCs/>
          <w:color w:val="2F8F3C"/>
          <w:sz w:val="21"/>
          <w:szCs w:val="21"/>
        </w:rPr>
        <w:t xml:space="preserve">[X]</w:t>
      </w:r>
      <w:r>
        <w:rPr>
          <w:rFonts w:ascii="Arial" w:cs="Arial" w:eastAsia="Arial" w:hAnsi="Arial"/>
          <w:color w:val="10151B"/>
          <w:sz w:val="21"/>
          <w:szCs w:val="21"/>
        </w:rPr>
        <w:t xml:space="preserve"> weeks from the Access Date. The clock starts at the Access Date, not at signature. </w:t>
      </w:r>
      <w:r>
        <w:rPr>
          <w:rFonts w:ascii="Arial" w:cs="Arial" w:eastAsia="Arial" w:hAnsi="Arial"/>
          <w:color w:val="10151B"/>
          <w:sz w:val="21"/>
          <w:szCs w:val="21"/>
        </w:rPr>
        <w:t xml:space="preserve">The leadership readout is scheduled at signature for the end of that window.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0151B"/>
          <w:sz w:val="26"/>
          <w:szCs w:val="26"/>
        </w:rPr>
        <w:t xml:space="preserve">5.  Fee and payment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500"/>
      </w:tblGrid>
      <w:tr>
        <w:tc>
          <w:tcPr>
            <w:tcW w:type="dxa" w:w="5200"/>
            <w:tcBorders>
              <w:top w:val="single" w:color="C9D2CD" w:sz="4"/>
              <w:left w:val="single" w:color="C9D2CD" w:sz="4"/>
              <w:bottom w:val="single" w:color="C9D2CD" w:sz="4"/>
              <w:right w:val="single" w:color="C9D2CD" w:sz="4"/>
            </w:tcBorders>
            <w:shd w:fill="EE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51B"/>
                <w:sz w:val="20"/>
                <w:szCs w:val="20"/>
              </w:rPr>
              <w:t xml:space="preserve">Component</w:t>
            </w:r>
          </w:p>
        </w:tc>
        <w:tc>
          <w:tcPr>
            <w:tcW w:type="dxa" w:w="4500"/>
            <w:tcBorders>
              <w:top w:val="single" w:color="C9D2CD" w:sz="4"/>
              <w:left w:val="single" w:color="C9D2CD" w:sz="4"/>
              <w:bottom w:val="single" w:color="C9D2CD" w:sz="4"/>
              <w:right w:val="single" w:color="C9D2CD" w:sz="4"/>
            </w:tcBorders>
            <w:shd w:fill="EE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51B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200"/>
            <w:tcBorders>
              <w:top w:val="single" w:color="C9D2CD" w:sz="4"/>
              <w:left w:val="single" w:color="C9D2CD" w:sz="4"/>
              <w:bottom w:val="single" w:color="C9D2CD" w:sz="4"/>
              <w:right w:val="single" w:color="C9D2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51B"/>
                <w:sz w:val="20"/>
                <w:szCs w:val="20"/>
              </w:rPr>
              <w:t xml:space="preserve">Base (handoff decision, licensing delta, ingestion review, interviews, report, readout)</w:t>
            </w:r>
          </w:p>
        </w:tc>
        <w:tc>
          <w:tcPr>
            <w:tcW w:type="dxa" w:w="4500"/>
            <w:tcBorders>
              <w:top w:val="single" w:color="C9D2CD" w:sz="4"/>
              <w:left w:val="single" w:color="C9D2CD" w:sz="4"/>
              <w:bottom w:val="single" w:color="C9D2CD" w:sz="4"/>
              <w:right w:val="single" w:color="C9D2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51B"/>
                <w:sz w:val="20"/>
                <w:szCs w:val="20"/>
              </w:rPr>
              <w:t xml:space="preserve">$6,000</w:t>
            </w:r>
          </w:p>
        </w:tc>
      </w:tr>
      <w:tr>
        <w:tc>
          <w:tcPr>
            <w:tcW w:type="dxa" w:w="5200"/>
            <w:tcBorders>
              <w:top w:val="single" w:color="C9D2CD" w:sz="4"/>
              <w:left w:val="single" w:color="C9D2CD" w:sz="4"/>
              <w:bottom w:val="single" w:color="C9D2CD" w:sz="4"/>
              <w:right w:val="single" w:color="C9D2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51B"/>
                <w:sz w:val="20"/>
                <w:szCs w:val="20"/>
              </w:rPr>
              <w:t xml:space="preserve">Plugins 1–10  ×  $400</w:t>
            </w:r>
          </w:p>
        </w:tc>
        <w:tc>
          <w:tcPr>
            <w:tcW w:type="dxa" w:w="4500"/>
            <w:tcBorders>
              <w:top w:val="single" w:color="C9D2CD" w:sz="4"/>
              <w:left w:val="single" w:color="C9D2CD" w:sz="4"/>
              <w:bottom w:val="single" w:color="C9D2CD" w:sz="4"/>
              <w:right w:val="single" w:color="C9D2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51B"/>
                <w:sz w:val="20"/>
                <w:szCs w:val="20"/>
              </w:rPr>
              <w:t xml:space="preserve">$[ ]</w:t>
            </w:r>
          </w:p>
        </w:tc>
      </w:tr>
      <w:tr>
        <w:tc>
          <w:tcPr>
            <w:tcW w:type="dxa" w:w="5200"/>
            <w:tcBorders>
              <w:top w:val="single" w:color="C9D2CD" w:sz="4"/>
              <w:left w:val="single" w:color="C9D2CD" w:sz="4"/>
              <w:bottom w:val="single" w:color="C9D2CD" w:sz="4"/>
              <w:right w:val="single" w:color="C9D2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51B"/>
                <w:sz w:val="20"/>
                <w:szCs w:val="20"/>
              </w:rPr>
              <w:t xml:space="preserve">Plugins 11–25  ×  $300</w:t>
            </w:r>
          </w:p>
        </w:tc>
        <w:tc>
          <w:tcPr>
            <w:tcW w:type="dxa" w:w="4500"/>
            <w:tcBorders>
              <w:top w:val="single" w:color="C9D2CD" w:sz="4"/>
              <w:left w:val="single" w:color="C9D2CD" w:sz="4"/>
              <w:bottom w:val="single" w:color="C9D2CD" w:sz="4"/>
              <w:right w:val="single" w:color="C9D2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51B"/>
                <w:sz w:val="20"/>
                <w:szCs w:val="20"/>
              </w:rPr>
              <w:t xml:space="preserve">$[ ]</w:t>
            </w:r>
          </w:p>
        </w:tc>
      </w:tr>
      <w:tr>
        <w:tc>
          <w:tcPr>
            <w:tcW w:type="dxa" w:w="5200"/>
            <w:tcBorders>
              <w:top w:val="single" w:color="C9D2CD" w:sz="4"/>
              <w:left w:val="single" w:color="C9D2CD" w:sz="4"/>
              <w:bottom w:val="single" w:color="C9D2CD" w:sz="4"/>
              <w:right w:val="single" w:color="C9D2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51B"/>
                <w:sz w:val="20"/>
                <w:szCs w:val="20"/>
              </w:rPr>
              <w:t xml:space="preserve">Plugins 26+  ×  $250</w:t>
            </w:r>
          </w:p>
        </w:tc>
        <w:tc>
          <w:tcPr>
            <w:tcW w:type="dxa" w:w="4500"/>
            <w:tcBorders>
              <w:top w:val="single" w:color="C9D2CD" w:sz="4"/>
              <w:left w:val="single" w:color="C9D2CD" w:sz="4"/>
              <w:bottom w:val="single" w:color="C9D2CD" w:sz="4"/>
              <w:right w:val="single" w:color="C9D2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51B"/>
                <w:sz w:val="20"/>
                <w:szCs w:val="20"/>
              </w:rPr>
              <w:t xml:space="preserve">$[ ]</w:t>
            </w:r>
          </w:p>
        </w:tc>
      </w:tr>
      <w:tr>
        <w:tc>
          <w:tcPr>
            <w:tcW w:type="dxa" w:w="5200"/>
            <w:tcBorders>
              <w:top w:val="single" w:color="C9D2CD" w:sz="4"/>
              <w:left w:val="single" w:color="C9D2CD" w:sz="4"/>
              <w:bottom w:val="single" w:color="C9D2CD" w:sz="4"/>
              <w:right w:val="single" w:color="C9D2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51B"/>
                <w:sz w:val="20"/>
                <w:szCs w:val="20"/>
              </w:rPr>
              <w:t xml:space="preserve">TOTAL — FIXED FEE</w:t>
            </w:r>
          </w:p>
        </w:tc>
        <w:tc>
          <w:tcPr>
            <w:tcW w:type="dxa" w:w="4500"/>
            <w:tcBorders>
              <w:top w:val="single" w:color="C9D2CD" w:sz="4"/>
              <w:left w:val="single" w:color="C9D2CD" w:sz="4"/>
              <w:bottom w:val="single" w:color="C9D2CD" w:sz="4"/>
              <w:right w:val="single" w:color="C9D2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51B"/>
                <w:sz w:val="20"/>
                <w:szCs w:val="20"/>
              </w:rPr>
              <w:t xml:space="preserve">$[ TOTAL ]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/>
          <w:bCs/>
          <w:color w:val="10151B"/>
          <w:sz w:val="21"/>
          <w:szCs w:val="21"/>
        </w:rPr>
        <w:t xml:space="preserve">Payment: </w:t>
      </w:r>
      <w:r>
        <w:rPr>
          <w:rFonts w:ascii="Arial" w:cs="Arial" w:eastAsia="Arial" w:hAnsi="Arial"/>
          <w:b/>
          <w:bCs/>
          <w:color w:val="2F8F3C"/>
          <w:sz w:val="21"/>
          <w:szCs w:val="21"/>
        </w:rPr>
        <w:t xml:space="preserve">[50% on signature · 50% at readout]</w:t>
      </w:r>
      <w:r>
        <w:rPr>
          <w:rFonts w:ascii="Arial" w:cs="Arial" w:eastAsia="Arial" w:hAnsi="Arial"/>
          <w:color w:val="10151B"/>
          <w:sz w:val="21"/>
          <w:szCs w:val="21"/>
        </w:rPr>
        <w:t xml:space="preserve">. The fee is fixed; only a signed change order can alter it.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F8F3C"/>
          <w:sz w:val="21"/>
          <w:szCs w:val="21"/>
        </w:rPr>
        <w:t xml:space="preserve">[OPTIONAL] </w:t>
      </w:r>
      <w:r>
        <w:rPr>
          <w:rFonts w:ascii="Arial" w:cs="Arial" w:eastAsia="Arial" w:hAnsi="Arial"/>
          <w:color w:val="10151B"/>
          <w:sz w:val="21"/>
          <w:szCs w:val="21"/>
        </w:rPr>
        <w:t xml:space="preserve">If Client proceeds to a rebuild engagement with Consultant under a subsequent Statement of Work within </w:t>
      </w:r>
      <w:r>
        <w:rPr>
          <w:rFonts w:ascii="Arial" w:cs="Arial" w:eastAsia="Arial" w:hAnsi="Arial"/>
          <w:b/>
          <w:bCs/>
          <w:color w:val="2F8F3C"/>
          <w:sz w:val="21"/>
          <w:szCs w:val="21"/>
        </w:rPr>
        <w:t xml:space="preserve">[90]</w:t>
      </w:r>
      <w:r>
        <w:rPr>
          <w:rFonts w:ascii="Arial" w:cs="Arial" w:eastAsia="Arial" w:hAnsi="Arial"/>
          <w:color w:val="10151B"/>
          <w:sz w:val="21"/>
          <w:szCs w:val="21"/>
        </w:rPr>
        <w:t xml:space="preserve"> days of readout, the full assessment fee is credited toward that engagement.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0151B"/>
          <w:sz w:val="26"/>
          <w:szCs w:val="26"/>
        </w:rPr>
        <w:t xml:space="preserve">6.  Exclusions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0151B"/>
          <w:sz w:val="21"/>
          <w:szCs w:val="21"/>
        </w:rPr>
        <w:t xml:space="preserve">No configuration changes to any Client system — access is read-only throughout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0151B"/>
          <w:sz w:val="21"/>
          <w:szCs w:val="21"/>
        </w:rPr>
        <w:t xml:space="preserve">No plugin builds, rebuilds, or data migration — quoted separately under a subsequent Statement of Work, priced from the Report’s build plan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0151B"/>
          <w:sz w:val="21"/>
          <w:szCs w:val="21"/>
        </w:rPr>
        <w:t xml:space="preserve">Contact-center voice integration (e.g., Webex Contact Center into Service Operations Workspace) — available as a separately scoped engagement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0151B"/>
          <w:sz w:val="21"/>
          <w:szCs w:val="21"/>
        </w:rPr>
        <w:t xml:space="preserve">No software license quotes — ServiceNow entitlement gaps are identified; license pricing comes from Client’s ServiceNow account team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0151B"/>
          <w:sz w:val="26"/>
          <w:szCs w:val="26"/>
        </w:rPr>
        <w:t xml:space="preserve">7.  Acceptance</w:t>
      </w:r>
    </w:p>
    <w:p>
      <w:pPr>
        <w:spacing w:after="120"/>
      </w:pPr>
      <w:r>
        <w:rPr>
          <w:rFonts w:ascii="Arial" w:cs="Arial" w:eastAsia="Arial" w:hAnsi="Arial"/>
          <w:color w:val="10151B"/>
          <w:sz w:val="21"/>
          <w:szCs w:val="21"/>
        </w:rPr>
        <w:t xml:space="preserve">Client may request one consolidated round of revisions within 5 business days of the readout. The Report is deemed accepted upon delivery of those revisions, or upon expiry of the 5-day window if no revisions are requested.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0151B"/>
          <w:sz w:val="26"/>
          <w:szCs w:val="26"/>
        </w:rPr>
        <w:t xml:space="preserve">8.  General</w:t>
      </w:r>
    </w:p>
    <w:p>
      <w:pPr>
        <w:spacing w:after="240"/>
      </w:pPr>
      <w:r>
        <w:rPr>
          <w:rFonts w:ascii="Arial" w:cs="Arial" w:eastAsia="Arial" w:hAnsi="Arial"/>
          <w:color w:val="10151B"/>
          <w:sz w:val="21"/>
          <w:szCs w:val="21"/>
        </w:rPr>
        <w:t xml:space="preserve">Confidentiality, intellectual property, liability, and termination are governed by the Master Service Agreement. Consultant is an independent contractor. </w:t>
      </w:r>
      <w:r>
        <w:rPr>
          <w:rFonts w:ascii="Arial" w:cs="Arial" w:eastAsia="Arial" w:hAnsi="Arial"/>
          <w:i/>
          <w:iCs/>
          <w:color w:val="5B6478"/>
          <w:sz w:val="18"/>
          <w:szCs w:val="18"/>
        </w:rPr>
        <w:t xml:space="preserve">[Counsel: confirm MSA cross-references before first use.]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0"/>
        <w:gridCol w:w="4850"/>
      </w:tblGrid>
      <w:tr>
        <w:tc>
          <w:tcPr>
            <w:tcW w:type="dxa" w:w="4850"/>
            <w:tcBorders>
              <w:top w:val="single" w:color="C9D2CD" w:sz="4"/>
              <w:left w:val="single" w:color="C9D2CD" w:sz="4"/>
              <w:bottom w:val="single" w:color="C9D2CD" w:sz="4"/>
              <w:right w:val="single" w:color="C9D2CD" w:sz="4"/>
            </w:tcBorders>
            <w:shd w:fill="EE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51B"/>
                <w:sz w:val="20"/>
                <w:szCs w:val="20"/>
              </w:rPr>
              <w:t xml:space="preserve">CALI LIVE PLAY LLC</w:t>
            </w:r>
          </w:p>
        </w:tc>
        <w:tc>
          <w:tcPr>
            <w:tcW w:type="dxa" w:w="4850"/>
            <w:tcBorders>
              <w:top w:val="single" w:color="C9D2CD" w:sz="4"/>
              <w:left w:val="single" w:color="C9D2CD" w:sz="4"/>
              <w:bottom w:val="single" w:color="C9D2CD" w:sz="4"/>
              <w:right w:val="single" w:color="C9D2CD" w:sz="4"/>
            </w:tcBorders>
            <w:shd w:fill="EE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51B"/>
                <w:sz w:val="20"/>
                <w:szCs w:val="20"/>
              </w:rPr>
              <w:t xml:space="preserve">CLIENT: [LEGAL NAME]</w:t>
            </w:r>
          </w:p>
        </w:tc>
      </w:tr>
      <w:tr>
        <w:tc>
          <w:tcPr>
            <w:tcW w:type="dxa" w:w="4850"/>
            <w:tcBorders>
              <w:top w:val="single" w:color="C9D2CD" w:sz="4"/>
              <w:left w:val="single" w:color="C9D2CD" w:sz="4"/>
              <w:bottom w:val="single" w:color="C9D2CD" w:sz="4"/>
              <w:right w:val="single" w:color="C9D2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51B"/>
                <w:sz w:val="20"/>
                <w:szCs w:val="20"/>
              </w:rPr>
              <w:t xml:space="preserve">Signature:</w:t>
            </w:r>
          </w:p>
        </w:tc>
        <w:tc>
          <w:tcPr>
            <w:tcW w:type="dxa" w:w="4850"/>
            <w:tcBorders>
              <w:top w:val="single" w:color="C9D2CD" w:sz="4"/>
              <w:left w:val="single" w:color="C9D2CD" w:sz="4"/>
              <w:bottom w:val="single" w:color="C9D2CD" w:sz="4"/>
              <w:right w:val="single" w:color="C9D2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51B"/>
                <w:sz w:val="20"/>
                <w:szCs w:val="20"/>
              </w:rPr>
              <w:t xml:space="preserve">Signature:</w:t>
            </w:r>
          </w:p>
        </w:tc>
      </w:tr>
      <w:tr>
        <w:tc>
          <w:tcPr>
            <w:tcW w:type="dxa" w:w="4850"/>
            <w:tcBorders>
              <w:top w:val="single" w:color="C9D2CD" w:sz="4"/>
              <w:left w:val="single" w:color="C9D2CD" w:sz="4"/>
              <w:bottom w:val="single" w:color="C9D2CD" w:sz="4"/>
              <w:right w:val="single" w:color="C9D2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51B"/>
                <w:sz w:val="20"/>
                <w:szCs w:val="20"/>
              </w:rPr>
              <w:t xml:space="preserve">Name:  [NAME]</w:t>
            </w:r>
          </w:p>
        </w:tc>
        <w:tc>
          <w:tcPr>
            <w:tcW w:type="dxa" w:w="4850"/>
            <w:tcBorders>
              <w:top w:val="single" w:color="C9D2CD" w:sz="4"/>
              <w:left w:val="single" w:color="C9D2CD" w:sz="4"/>
              <w:bottom w:val="single" w:color="C9D2CD" w:sz="4"/>
              <w:right w:val="single" w:color="C9D2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51B"/>
                <w:sz w:val="20"/>
                <w:szCs w:val="20"/>
              </w:rPr>
              <w:t xml:space="preserve">Name:  [NAME]</w:t>
            </w:r>
          </w:p>
        </w:tc>
      </w:tr>
      <w:tr>
        <w:tc>
          <w:tcPr>
            <w:tcW w:type="dxa" w:w="4850"/>
            <w:tcBorders>
              <w:top w:val="single" w:color="C9D2CD" w:sz="4"/>
              <w:left w:val="single" w:color="C9D2CD" w:sz="4"/>
              <w:bottom w:val="single" w:color="C9D2CD" w:sz="4"/>
              <w:right w:val="single" w:color="C9D2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51B"/>
                <w:sz w:val="20"/>
                <w:szCs w:val="20"/>
              </w:rPr>
              <w:t xml:space="preserve">Title:  [TITLE]</w:t>
            </w:r>
          </w:p>
        </w:tc>
        <w:tc>
          <w:tcPr>
            <w:tcW w:type="dxa" w:w="4850"/>
            <w:tcBorders>
              <w:top w:val="single" w:color="C9D2CD" w:sz="4"/>
              <w:left w:val="single" w:color="C9D2CD" w:sz="4"/>
              <w:bottom w:val="single" w:color="C9D2CD" w:sz="4"/>
              <w:right w:val="single" w:color="C9D2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51B"/>
                <w:sz w:val="20"/>
                <w:szCs w:val="20"/>
              </w:rPr>
              <w:t xml:space="preserve">Title:  [TITLE]</w:t>
            </w:r>
          </w:p>
        </w:tc>
      </w:tr>
      <w:tr>
        <w:tc>
          <w:tcPr>
            <w:tcW w:type="dxa" w:w="4850"/>
            <w:tcBorders>
              <w:top w:val="single" w:color="C9D2CD" w:sz="4"/>
              <w:left w:val="single" w:color="C9D2CD" w:sz="4"/>
              <w:bottom w:val="single" w:color="C9D2CD" w:sz="4"/>
              <w:right w:val="single" w:color="C9D2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51B"/>
                <w:sz w:val="20"/>
                <w:szCs w:val="20"/>
              </w:rPr>
              <w:t xml:space="preserve">Date:</w:t>
            </w:r>
          </w:p>
        </w:tc>
        <w:tc>
          <w:tcPr>
            <w:tcW w:type="dxa" w:w="4850"/>
            <w:tcBorders>
              <w:top w:val="single" w:color="C9D2CD" w:sz="4"/>
              <w:left w:val="single" w:color="C9D2CD" w:sz="4"/>
              <w:bottom w:val="single" w:color="C9D2CD" w:sz="4"/>
              <w:right w:val="single" w:color="C9D2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51B"/>
                <w:sz w:val="20"/>
                <w:szCs w:val="20"/>
              </w:rPr>
              <w:t xml:space="preserve">Date: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0151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2026-08-20T18:10:13.017Z</dcterms:created>
  <dcterms:modified xsi:type="dcterms:W3CDTF">2026-08-20T18:10:13.030Z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