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Worth its weight in carbon? An Analysis of Net-Positive Machine Learning in Grid Carbon Forecasting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Erin Bevec</w:t>
        <w:tab/>
        <w:tab/>
        <w:tab/>
        <w:tab/>
        <w:tab/>
        <w:t xml:space="preserve">DSAN 5550: Data Science &amp; Climate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u w:val="single"/>
        </w:rPr>
      </w:pPr>
      <w:r w:rsidDel="00000000" w:rsidR="00000000" w:rsidRPr="00000000">
        <w:rPr>
          <w:i w:val="1"/>
          <w:iCs w:val="1"/>
          <w:u w:val="single"/>
          <w:rtl w:val="0"/>
        </w:rPr>
        <w:t xml:space="preserve">Problem Definition</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Machine learning models consume energy during both training and inference, producing measurable greenhouse gas emissions. At the same time, ML systems are increasingly deployed to support climate-relevant decision making. This includes renewable integration, electricity grid optimization, and demand-side load shifting. This creates an important but underexplored tension: the same tools intended to mitigate climate change also contribute to emissions through computation. While the “Green AI” literature has focused on reducing model training cost, fewer studies directly evaluate whether a deployed climate-oriented ML system is environmentally net-positive when its operational benefits are compared to its computational footprint. Understanding this trade-off is essential as AI systems scale in energy and infrastructure domains. This project addresses that gap by quantifying both the carbon cost of a machine learning model and the emissions reductions it enables through improved grid-aware decision-making.</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i w:val="1"/>
          <w:iCs w:val="1"/>
          <w:u w:val="single"/>
        </w:rPr>
      </w:pPr>
      <w:r w:rsidDel="00000000" w:rsidR="00000000" w:rsidRPr="00000000">
        <w:rPr>
          <w:i w:val="1"/>
          <w:iCs w:val="1"/>
          <w:u w:val="single"/>
          <w:rtl w:val="0"/>
        </w:rPr>
        <w:t xml:space="preserve">Data Collection and Refinement</w:t>
      </w:r>
    </w:p>
    <w:p w:rsidR="00000000" w:rsidDel="00000000" w:rsidP="00000000" w:rsidRDefault="00000000" w:rsidRPr="00000000" w14:paraId="0000000B">
      <w:pPr>
        <w:spacing w:after="240" w:before="240" w:lineRule="auto"/>
        <w:rPr/>
      </w:pPr>
      <w:r w:rsidDel="00000000" w:rsidR="00000000" w:rsidRPr="00000000">
        <w:rPr>
          <w:rtl w:val="0"/>
        </w:rPr>
        <w:t xml:space="preserve">All data used in this project will be publicly available. Hourly electricity generation by fuel type will be collected from U.S. Independent System Operators and U.S. Energy Information Administration datasets. Carbon intensity will be computed by multiplying generation from each fuel type by standardized emission factors (EPA/IPCC) and dividing by total hourly generation.</w:t>
      </w:r>
    </w:p>
    <w:p w:rsidR="00000000" w:rsidDel="00000000" w:rsidP="00000000" w:rsidRDefault="00000000" w:rsidRPr="00000000" w14:paraId="0000000C">
      <w:pPr>
        <w:spacing w:after="240" w:before="240" w:lineRule="auto"/>
        <w:rPr/>
      </w:pPr>
      <w:r w:rsidDel="00000000" w:rsidR="00000000" w:rsidRPr="00000000">
        <w:rPr>
          <w:rtl w:val="0"/>
        </w:rPr>
        <w:t xml:space="preserve">These emissions factors represent average lifecycle emissions per unit of electricity generation and are treated as constant over time, meaning that the analysis approximates hourly carbon intensity using annualized emissions factors rather than plant-level operational variation.</w:t>
      </w:r>
    </w:p>
    <w:p w:rsidR="00000000" w:rsidDel="00000000" w:rsidP="00000000" w:rsidRDefault="00000000" w:rsidRPr="00000000" w14:paraId="0000000D">
      <w:pPr>
        <w:spacing w:after="240" w:before="240" w:lineRule="auto"/>
        <w:rPr/>
      </w:pPr>
      <w:r w:rsidDel="00000000" w:rsidR="00000000" w:rsidRPr="00000000">
        <w:rPr>
          <w:rtl w:val="0"/>
        </w:rPr>
        <w:t xml:space="preserve">Data preprocessing will include aligning timestamps across regions, handling missing values where necessary, and constructing time-series features appropriate for short-term forecasting. Regions will be represented as nodes in a graph, with edges defined by geographic proximity or grid interconnections. The prediction target will be day-ahead carbon intensity. In parallel, the computational carbon footprint of the modeling process will be measured using the CodeCarbon library, which records runtime, energy consumption, and estimated CO2 emissions during both training and inference. This ensures that carbon cost measurement is integrated directly into the data and modeling pipeline rather than treated as a post hoc estimate.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i w:val="1"/>
          <w:iCs w:val="1"/>
          <w:u w:val="single"/>
        </w:rPr>
      </w:pPr>
      <w:r w:rsidDel="00000000" w:rsidR="00000000" w:rsidRPr="00000000">
        <w:rPr>
          <w:i w:val="1"/>
          <w:iCs w:val="1"/>
          <w:u w:val="single"/>
          <w:rtl w:val="0"/>
        </w:rPr>
        <w:t xml:space="preserve">Implementation</w:t>
      </w:r>
    </w:p>
    <w:p w:rsidR="00000000" w:rsidDel="00000000" w:rsidP="00000000" w:rsidRDefault="00000000" w:rsidRPr="00000000" w14:paraId="00000010">
      <w:pPr>
        <w:spacing w:after="240" w:before="240" w:lineRule="auto"/>
        <w:rPr/>
      </w:pPr>
      <w:r w:rsidDel="00000000" w:rsidR="00000000" w:rsidRPr="00000000">
        <w:rPr>
          <w:rtl w:val="0"/>
        </w:rPr>
        <w:t xml:space="preserve">Two models will be implemented. The baseline model will be an XGBoost regression model that treats each region independently and does not incorporate spatial information. The primary model will be a Graph Neural Network, implemented with PyTorch Geometric. The GNN will allow message passing between neighboring grid regions, incorporating spatial dependencies into forecasts. This is because electricity systems are highly interconnected: generation changes in one region often influence the carbon intensity of neighboring regions through transmission flows and shared energy markets. </w:t>
      </w:r>
      <w:r w:rsidDel="00000000" w:rsidR="00000000" w:rsidRPr="00000000">
        <w:rPr>
          <w:rtl w:val="0"/>
        </w:rPr>
        <w:t xml:space="preserve">A GNN allows neighboring grid nodes to exchange information during model training through message passing, enabling the model to capture spatial correlations in carbon intensity patterns that independent regional models cannot represent.</w:t>
      </w:r>
      <w:r w:rsidDel="00000000" w:rsidR="00000000" w:rsidRPr="00000000">
        <w:rPr>
          <w:rtl w:val="0"/>
        </w:rPr>
        <w:t xml:space="preserve"> The model architecture will remain intentionally modest to ensure that computational costs are measurable and suitable for carbon accounting.</w:t>
      </w:r>
    </w:p>
    <w:p w:rsidR="00000000" w:rsidDel="00000000" w:rsidP="00000000" w:rsidRDefault="00000000" w:rsidRPr="00000000" w14:paraId="00000011">
      <w:pPr>
        <w:spacing w:after="240" w:before="240" w:lineRule="auto"/>
        <w:rPr/>
      </w:pPr>
      <w:r w:rsidDel="00000000" w:rsidR="00000000" w:rsidRPr="00000000">
        <w:rPr>
          <w:rtl w:val="0"/>
        </w:rPr>
        <w:t xml:space="preserve">The carbon cost of model training and inference will be measured using the CodeCarbon library. For each model, energy consumption (kWh), and estimated CO2 emissions will be recorded.These metrics are based on the grid intensity of the machine’s location. Both total training emissions and inference emissions per forecast will be reported.</w:t>
      </w:r>
    </w:p>
    <w:p w:rsidR="00000000" w:rsidDel="00000000" w:rsidP="00000000" w:rsidRDefault="00000000" w:rsidRPr="00000000" w14:paraId="00000012">
      <w:pPr>
        <w:ind w:left="0" w:firstLine="0"/>
        <w:rPr>
          <w:i w:val="1"/>
          <w:iCs w:val="1"/>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i w:val="1"/>
          <w:iCs w:val="1"/>
          <w:u w:val="single"/>
        </w:rPr>
      </w:pPr>
      <w:r w:rsidDel="00000000" w:rsidR="00000000" w:rsidRPr="00000000">
        <w:rPr>
          <w:i w:val="1"/>
          <w:iCs w:val="1"/>
          <w:u w:val="single"/>
          <w:rtl w:val="0"/>
        </w:rPr>
        <w:t xml:space="preserve">Evaluation</w:t>
      </w:r>
    </w:p>
    <w:p w:rsidR="00000000" w:rsidDel="00000000" w:rsidP="00000000" w:rsidRDefault="00000000" w:rsidRPr="00000000" w14:paraId="00000015">
      <w:pPr>
        <w:spacing w:after="240" w:before="240" w:lineRule="auto"/>
        <w:rPr/>
      </w:pPr>
      <w:r w:rsidDel="00000000" w:rsidR="00000000" w:rsidRPr="00000000">
        <w:rPr>
          <w:rtl w:val="0"/>
        </w:rPr>
        <w:t xml:space="preserve">Evaluation will occur at two levels: predictive performance and environmental impact.</w:t>
      </w:r>
    </w:p>
    <w:p w:rsidR="00000000" w:rsidDel="00000000" w:rsidP="00000000" w:rsidRDefault="00000000" w:rsidRPr="00000000" w14:paraId="00000016">
      <w:pPr>
        <w:spacing w:after="240" w:before="240" w:lineRule="auto"/>
        <w:rPr/>
      </w:pPr>
      <w:r w:rsidDel="00000000" w:rsidR="00000000" w:rsidRPr="00000000">
        <w:rPr>
          <w:rtl w:val="0"/>
        </w:rPr>
        <w:t xml:space="preserve">First, forecast accuracy will be assessed using standard regression metrics, including Mean Absolute Error (MAE) and Root Mean Squared Error (RMSE). The Graph Neural Network will be compared directly to the XGBoost baseline to determine whether incorporating spatial structure improves short-term carbon intensity forecasts.</w:t>
      </w:r>
    </w:p>
    <w:p w:rsidR="00000000" w:rsidDel="00000000" w:rsidP="00000000" w:rsidRDefault="00000000" w:rsidRPr="00000000" w14:paraId="00000017">
      <w:pPr>
        <w:spacing w:after="240" w:before="240" w:lineRule="auto"/>
        <w:rPr/>
      </w:pPr>
      <w:r w:rsidDel="00000000" w:rsidR="00000000" w:rsidRPr="00000000">
        <w:rPr>
          <w:rtl w:val="0"/>
        </w:rPr>
        <w:t xml:space="preserve">Second, environmental impact will be evaluated through a simulated operational decision. Within a 24-hour window, 10 kWh of electric vehicle charging, which is a flexible electricity demand, will be assigned either randomly or to the hour with the modeled lowest predicted carbon intensity. This number is low for an EV charge, but allows for simplified computation and generalization. Emissions savings will be calculated using actual observed carbon intensity to ensure that estimated benefits reflect real grid conditions. Savings will be computed as the product of the load shifted and the difference between the carbon intensity of the random hour and the optimized hour.</w:t>
      </w:r>
    </w:p>
    <w:p w:rsidR="00000000" w:rsidDel="00000000" w:rsidP="00000000" w:rsidRDefault="00000000" w:rsidRPr="00000000" w14:paraId="00000018">
      <w:pPr>
        <w:spacing w:after="240" w:before="240" w:lineRule="auto"/>
        <w:rPr/>
      </w:pPr>
      <w:r w:rsidDel="00000000" w:rsidR="00000000" w:rsidRPr="00000000">
        <w:rPr>
          <w:rtl w:val="0"/>
        </w:rPr>
        <w:t xml:space="preserve">To determine whether the model is environmentally net-positive, a break-even analysis will compare total model training emissions (measured using CodeCarbon) to the average emissions savings per optimized charging session. The number of charging sessions required to offset the model’s computational carbon footprint will be calculated. Sensitivity analyses will examine how this break-even threshold changes under different load sizes, adoption rates, model sizes, and inference scaling assumptions. Success will therefore be defined not only by improved predictive accuracy, but by whether the emissions reductions enabled by the model exceed its computational carbon cost under realistic deployment scenarios.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