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29.63</w:t>
            </w:r>
          </w:p>
        </w:tc>
      </w:tr>
      <w:tr>
        <w:tc>
          <w:tcPr>
            <w:tcW w:type="dxa" w:w="4320"/>
          </w:tcPr>
          <w:p>
            <w:r>
              <w:rPr>
                <w:sz w:val="20"/>
              </w:rPr>
              <w:t>P/E (forward)</w:t>
            </w:r>
          </w:p>
        </w:tc>
        <w:tc>
          <w:tcPr>
            <w:tcW w:type="dxa" w:w="4320"/>
          </w:tcPr>
          <w:p>
            <w:r>
              <w:rPr>
                <w:sz w:val="20"/>
              </w:rPr>
              <w:t>22.44</w:t>
            </w:r>
          </w:p>
        </w:tc>
      </w:tr>
      <w:tr>
        <w:tc>
          <w:tcPr>
            <w:tcW w:type="dxa" w:w="4320"/>
          </w:tcPr>
          <w:p>
            <w:r>
              <w:rPr>
                <w:sz w:val="20"/>
              </w:rPr>
              <w:t>Price / Book</w:t>
            </w:r>
          </w:p>
        </w:tc>
        <w:tc>
          <w:tcPr>
            <w:tcW w:type="dxa" w:w="4320"/>
          </w:tcPr>
          <w:p>
            <w:r>
              <w:rPr>
                <w:sz w:val="20"/>
              </w:rPr>
              <w:t>8.93</w:t>
            </w:r>
          </w:p>
        </w:tc>
      </w:tr>
      <w:tr>
        <w:tc>
          <w:tcPr>
            <w:tcW w:type="dxa" w:w="4320"/>
          </w:tcPr>
          <w:p>
            <w:r>
              <w:rPr>
                <w:sz w:val="20"/>
              </w:rPr>
              <w:t>Market cap</w:t>
            </w:r>
          </w:p>
        </w:tc>
        <w:tc>
          <w:tcPr>
            <w:tcW w:type="dxa" w:w="4320"/>
          </w:tcPr>
          <w:p>
            <w:r>
              <w:rPr>
                <w:sz w:val="20"/>
              </w:rPr>
              <w:t>$3.95T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0.74%</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1.10</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$600.88</w:t>
            </w:r>
          </w:p>
        </w:tc>
      </w:tr>
      <w:tr>
        <w:tc>
          <w:tcPr>
            <w:tcW w:type="dxa" w:w="4320"/>
          </w:tcPr>
          <w:p>
            <w:r>
              <w:rPr>
                <w:sz w:val="20"/>
              </w:rPr>
              <w:t>Analyst consensus (1=Strong Buy, 5=Sell)</w:t>
            </w:r>
          </w:p>
        </w:tc>
        <w:tc>
          <w:tcPr>
            <w:tcW w:type="dxa" w:w="4320"/>
          </w:tcPr>
          <w:p>
            <w:r>
              <w:rPr>
                <w:sz w:val="20"/>
              </w:rPr>
              <w:t>1.33</w:t>
            </w:r>
          </w:p>
        </w:tc>
      </w:tr>
      <w:tr>
        <w:tc>
          <w:tcPr>
            <w:tcW w:type="dxa" w:w="4320"/>
          </w:tcPr>
          <w:p>
            <w:r>
              <w:rPr>
                <w:sz w:val="20"/>
              </w:rPr>
              <w:t>Analyst count</w:t>
            </w:r>
          </w:p>
        </w:tc>
        <w:tc>
          <w:tcPr>
            <w:tcW w:type="dxa" w:w="4320"/>
          </w:tcPr>
          <w:p>
            <w:r>
              <w:rPr>
                <w:sz w:val="20"/>
              </w:rPr>
              <w:t>53</w:t>
            </w:r>
          </w:p>
        </w:tc>
      </w:tr>
      <w:tr>
        <w:tc>
          <w:tcPr>
            <w:tcW w:type="dxa" w:w="4320"/>
          </w:tcPr>
          <w:p>
            <w:r>
              <w:rPr>
                <w:sz w:val="20"/>
              </w:rPr>
              <w:t>Margin of safety (vs median target)</w:t>
            </w:r>
          </w:p>
        </w:tc>
        <w:tc>
          <w:tcPr>
            <w:tcW w:type="dxa" w:w="4320"/>
          </w:tcPr>
          <w:p>
            <w:r>
              <w:rPr>
                <w:sz w:val="20"/>
              </w:rPr>
              <w:t>+11.5%  (price $531.87 vs target $600.88)</w:t>
            </w:r>
          </w:p>
        </w:tc>
      </w:tr>
      <w:tr>
        <w:tc>
          <w:tcPr>
            <w:tcW w:type="dxa" w:w="4320"/>
          </w:tcPr>
          <w:p>
            <w:r>
              <w:rPr>
                <w:sz w:val="20"/>
              </w:rPr>
              <w:t>Data source</w:t>
            </w:r>
          </w:p>
        </w:tc>
        <w:tc>
          <w:tcPr>
            <w:tcW w:type="dxa" w:w="4320"/>
          </w:tcPr>
          <w:p>
            <w:r>
              <w:rPr>
                <w:sz w:val="20"/>
              </w:rPr>
              <w:t>Yahoo Finance · pulled 2026-10-21 09:16</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