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563EB"/>
          <w:sz w:val="20"/>
        </w:rPr>
        <w:t>📊 The 100-Year Survival Test · 11/18</w:t>
      </w:r>
    </w:p>
    <w:p>
      <w:pPr>
        <w:spacing w:after="160"/>
      </w:pPr>
      <w:r>
        <w:rPr>
          <w:b/>
          <w:sz w:val="40"/>
        </w:rPr>
        <w:t>Advanced Micro Devices (AMD) — The Comeback That Powers the AI Era</w:t>
      </w:r>
    </w:p>
    <w:p>
      <w:pPr>
        <w:spacing w:after="160"/>
      </w:pPr>
      <w:r>
        <w:rPr>
          <w:i/>
          <w:sz w:val="24"/>
        </w:rPr>
        <w:t>Walk into any of the world's hyperscale data centres — the football-pitch-sized warehouses where Microsoft Azure, Amazon AWS and Google Cloud run the modern internet — and you'll find row upon row of servers humming with a low, steady energy. A decade ago, almost none of those servers had AMD inside them. Today, a meaningful share of them do. And almost every PlayStation 5 and Xbox Series X sitting in a living room anywhere on Earth has an AMD chip at its heart. So does Frontier, the first computer in history to break the exascale barrier, sitting at Oak Ridge National Laboratory.</w:t>
        <w:br/>
        <w:t>Now move from titans of the past to a company that almost didn't make it — and somehow turned a near-death experience into one of the most remarkable comebacks in modern business: Advanced Micro Devices (AMD).</w:t>
        <w:br/>
        <w:t>If Apple ushered in the smartphone era and Microsoft defined the office age and NVIDIA powers the AI era, then AMD is quietly building the general-purpose spine that runs underneath all of it. Each era of progress has its driving force. Steam relied on coal. Electricity needed copper. The digital age runs on silicon — and AMD makes a lot of that silicon.</w:t>
      </w:r>
    </w:p>
    <w:p>
      <w:pPr>
        <w:spacing w:before="280" w:after="120"/>
      </w:pPr>
      <w:r>
        <w:rPr>
          <w:b/>
          <w:color w:val="2563EB"/>
          <w:sz w:val="28"/>
        </w:rPr>
        <w:t>Moat</w:t>
      </w:r>
    </w:p>
    <w:p>
      <w:pPr>
        <w:spacing w:after="160"/>
      </w:pPr>
      <w:r>
        <w:rPr>
          <w:i w:val="0"/>
          <w:sz w:val="22"/>
        </w:rPr>
        <w:t>AMD's moat isn't brand-driven like Apple's. It isn't software-driven like Microsoft's. It's something arguably more durable — its chips are designed into things that are extraordinarily hard to swap out.</w:t>
        <w:br/>
        <w:t>• Server CPU dominance: EPYC processors have gone from roughly 5% of the data centre CPU market a decade ago to a meaningful share of new server deployments today. Once a hyperscaler architects a data centre around a CPU family, the switching cost — in software certification, rack design, cooling and procurement — is measured in years, not months.</w:t>
        <w:br/>
        <w:t>• Gaming console lock-in: Every PlayStation 5 and Xbox Series X has a custom AMD chip at its heart. That's hundreds of millions of devices sold over a console generation that runs for the better part of a decade. The next generation of consoles is almost certainly AMD too — Sony and Microsoft don't switch silicon partners lightly.</w:t>
        <w:br/>
        <w:t>• The Instinct accelerators: The MI300 series is currently one of only two credible alternatives to NVIDIA for training large AI models, and the hyperscalers — desperate to avoid single-supplier risk — are buying.</w:t>
        <w:br/>
        <w:t>• Adaptive computing: The Xilinx acquisition, completed in February 2022, gave AMD a near-stranglehold on the FPGA market — the programmable chips inside 5G base stations, defence systems, medical imaging and industrial automation. These are low-volume, high-margin businesses with the kind of stickiness that compounds over decades.</w:t>
        <w:br/>
        <w:t>Once a hyperscaler builds around AMD silicon, switching costs are enormous. Once a console launches AMD inside, it stays AMD for ten years. That's the kind of lock-in that quietly compounds — and it's the reason the moat keeps widening even when the competition outspends them on marketing.</w:t>
      </w:r>
    </w:p>
    <w:p>
      <w:pPr>
        <w:spacing w:before="280" w:after="120"/>
      </w:pPr>
      <w:r>
        <w:rPr>
          <w:b/>
          <w:color w:val="2563EB"/>
          <w:sz w:val="28"/>
        </w:rPr>
        <w:t>Financial Strength</w:t>
      </w:r>
    </w:p>
    <w:p>
      <w:pPr>
        <w:spacing w:after="160"/>
      </w:pPr>
      <w:r>
        <w:rPr>
          <w:i w:val="0"/>
          <w:sz w:val="22"/>
        </w:rPr>
        <w:t>The numbers tell the comeback story better than any narrative can.</w:t>
        <w:br/>
        <w:t>• Revenue trajectory: AMD's annual revenue has multiplied several times over the last decade, with the data centre segment now the fastest-growing line.</w:t>
        <w:br/>
        <w:t>• Margin transformation: Gross margins have climbed from the high-20s during the dark years to north of 45% — the kind of structural shift you only see when a business escapes commodity pricing and starts selling something customers can't easily replace.</w:t>
        <w:br/>
        <w:t>• Free cash flow: From burning cash a decade ago to generating billions a year, AMD now self-funds R&amp;D, acquisitions and buybacks without diluting shareholders or piling on debt.</w:t>
        <w:br/>
        <w:t>• Balance sheet: Substantial cash reserves and manageable debt — the financial flexibility to invest aggressively across cycles, which is exactly what the semiconductor industry rewards.</w:t>
        <w:br/>
        <w:t>• No dividend yet, and that's by design. Every available dollar is being reinvested into the next generation of chips, because in semiconductors the company that under-invests today loses the decade.</w:t>
        <w:br/>
        <w:t>This is the financial profile of a company that has finally earned the right to play offence.</w:t>
      </w:r>
    </w:p>
    <w:p>
      <w:pPr>
        <w:spacing w:before="280" w:after="120"/>
      </w:pPr>
      <w:r>
        <w:rPr>
          <w:b/>
          <w:color w:val="2563EB"/>
          <w:sz w:val="28"/>
        </w:rPr>
        <w:t>Valuation Reality Check</w:t>
      </w:r>
    </w:p>
    <w:p>
      <w:pPr>
        <w:spacing w:after="160"/>
      </w:pPr>
      <w:r>
        <w:rPr>
          <w:i w:val="0"/>
          <w:sz w:val="22"/>
        </w:rPr>
        <w:t>Greatness has a price, and AMD trades at a premium that demands continued excellence. The P/E ratio sits well above the broader semiconductor industry average, reflecting investor confidence that the AI and data centre growth story has years left to run.</w:t>
        <w:br/>
        <w:t>This doesn't necessarily make AMD expensive — it makes it priced for execution. If AMD continues taking share in data centre CPUs, if the MI300 ramp meets expectations, if the Xilinx integration delivers the promised cross-sell, the current price will look reasonable in hindsight. If any of those falter, the stock can be punished sharply — which is why this is a position to size thoughtfully, not blindly.</w:t>
        <w:br/>
        <w:t>Analyst consensus on AMD leans positive, but the consensus has been wrong on this name in both directions over the last decade. Don't outsource conviction to the analyst average.</w:t>
      </w:r>
    </w:p>
    <w:p>
      <w:pPr>
        <w:spacing w:before="280" w:after="120"/>
      </w:pPr>
      <w:r>
        <w:rPr>
          <w:b/>
          <w:color w:val="2563EB"/>
          <w:sz w:val="28"/>
        </w:rPr>
        <w:t>Innovation</w:t>
      </w:r>
    </w:p>
    <w:p>
      <w:pPr>
        <w:spacing w:after="160"/>
      </w:pPr>
      <w:r>
        <w:rPr>
          <w:i w:val="0"/>
          <w:sz w:val="22"/>
        </w:rPr>
        <w:t>You can't tell the AMD story without telling the Lisa Su story.</w:t>
        <w:br/>
        <w:t>When Lisa Su took over as CEO in October 2014, AMD's stock was trading at around two dollars, the company was burning cash, and most of Wall Street had written its obituary. A decade later AMD competes — and frequently out-executes — Intel and NVIDIA, two of the largest semiconductor companies in history. That isn't luck. It's the result of one of the cleanest technology turnarounds in living memory.</w:t>
        <w:br/>
        <w:t>Under her leadership AMD has:</w:t>
        <w:br/>
        <w:t>• Reclaimed CPU performance leadership from Intel with the Zen architecture — a clean-sheet redesign launched in 2017 that has dominated comparison benchmarks ever since.</w:t>
        <w:br/>
        <w:t>• Pioneered the chiplet design philosophy, which lets AMD ship more powerful silicon, faster, than rivals locked into older monolithic designs.</w:t>
        <w:br/>
        <w:t>• Acquired Xilinx for around $49 billion in stock — instantly making AMD a leader in adaptive computing without taking on debt.</w:t>
        <w:br/>
        <w:t>• Launched the MI300 series, the first credible challenger to NVIDIA's grip on AI training silicon.</w:t>
        <w:br/>
        <w:t>Consider Frontier, the supercomputer at Oak Ridge National Laboratory: when it was switched on in 2022 it became the first computer in history to break the exascale barrier — one quintillion calculations per second. It runs on AMD CPUs and AMD GPUs. The next generation, El Capitan at Lawrence Livermore, is also all-AMD. These aren't gaming PCs. These are the machines that simulate nuclear stockpiles, model climate systems and design new drugs. When the US government needs the most powerful computers ever built, it now chooses AMD — a decade after Wall Street wrote the company off.</w:t>
        <w:br/>
        <w:t>That isn't a single-product story. It's an engineering culture that has shown, repeatedly and across product lines, it can take on giants and win.</w:t>
      </w:r>
    </w:p>
    <w:p>
      <w:pPr>
        <w:spacing w:before="280" w:after="120"/>
      </w:pPr>
      <w:r>
        <w:rPr>
          <w:b/>
          <w:color w:val="2563EB"/>
          <w:sz w:val="28"/>
        </w:rPr>
        <w:t>The Next 100 Years</w:t>
      </w:r>
    </w:p>
    <w:p>
      <w:pPr>
        <w:spacing w:after="160"/>
      </w:pPr>
      <w:r>
        <w:rPr>
          <w:i w:val="0"/>
          <w:sz w:val="22"/>
        </w:rPr>
        <w:t>Why does AMD belong in the Century Club?</w:t>
        <w:br/>
        <w:t>• It's foundational: Every computer, every console, every cloud server, every AI model needs silicon. AMD makes the silicon. That's not a fashion — it's the substrate of modern progress.</w:t>
        <w:br/>
        <w:t>• It's adaptive: From PCs to consoles to data centres to AI accelerators to adaptive computing, AMD has reinvented its business mix repeatedly. Few technology companies have demonstrated that range.</w:t>
        <w:br/>
        <w:t>• It's culturally engineered to compete: The DNA forged during the near-death experience of the early 2010s is the company's most valuable asset — a culture that takes nothing for granted and executes relentlessly.</w:t>
        <w:br/>
        <w:t>The risks are real, and worth naming honestly.</w:t>
        <w:br/>
        <w:t>• Manufacturing concentration: AMD does not own its fabs. Every leading-edge chip is manufactured by TSMC in Taiwan — which means AMD inherits TSMC's geopolitical risk profile.</w:t>
        <w:br/>
        <w:t>• The CUDA moat: NVIDIA's software ecosystem remains the deepest moat in semiconductors. AMD's ROCm software stack is improving but isn't there yet. Until it is, NVIDIA will keep most AI training workloads.</w:t>
        <w:br/>
        <w:t>• Cyclicality: Semiconductors have always been a cyclical industry, and AMD's recent results have been earned at the top of one of the strongest upcycles in the sector's history. The next downturn will test how much of the margin expansion is structural and how much is cyclical.</w:t>
        <w:br/>
        <w:t>But if you believe — and I do — that the next century runs on more compute, not less, then it's very hard to write AMD out of the story.</w:t>
      </w:r>
    </w:p>
    <w:p>
      <w:pPr>
        <w:spacing w:before="280" w:after="120"/>
      </w:pPr>
      <w:r>
        <w:rPr>
          <w:b/>
          <w:color w:val="2563EB"/>
          <w:sz w:val="26"/>
        </w:rPr>
        <w:t>The Numbers (Verifiable, Dated)</w:t>
      </w:r>
    </w:p>
    <w:tbl>
      <w:tblPr>
        <w:tblW w:type="auto" w:w="0"/>
        <w:tblLayout w:type="autofit"/>
        <w:tblLook w:firstColumn="1" w:firstRow="1" w:lastColumn="0" w:lastRow="0" w:noHBand="0" w:noVBand="1" w:val="04A0"/>
      </w:tblPr>
      <w:tblGrid>
        <w:gridCol w:w="4320"/>
        <w:gridCol w:w="4320"/>
      </w:tblGrid>
      <w:tr>
        <w:tc>
          <w:tcPr>
            <w:tcW w:type="dxa" w:w="4320"/>
          </w:tcPr>
          <w:p>
            <w:r>
              <w:rPr>
                <w:sz w:val="20"/>
              </w:rPr>
              <w:t>P/E (trailing)</w:t>
            </w:r>
          </w:p>
        </w:tc>
        <w:tc>
          <w:tcPr>
            <w:tcW w:type="dxa" w:w="4320"/>
          </w:tcPr>
          <w:p>
            <w:r>
              <w:rPr>
                <w:sz w:val="20"/>
              </w:rPr>
              <w:t>178.71</w:t>
            </w:r>
          </w:p>
        </w:tc>
      </w:tr>
      <w:tr>
        <w:tc>
          <w:tcPr>
            <w:tcW w:type="dxa" w:w="4320"/>
          </w:tcPr>
          <w:p>
            <w:r>
              <w:rPr>
                <w:sz w:val="20"/>
              </w:rPr>
              <w:t>P/E (forward)</w:t>
            </w:r>
          </w:p>
        </w:tc>
        <w:tc>
          <w:tcPr>
            <w:tcW w:type="dxa" w:w="4320"/>
          </w:tcPr>
          <w:p>
            <w:r>
              <w:rPr>
                <w:sz w:val="20"/>
              </w:rPr>
              <w:t>40.44</w:t>
            </w:r>
          </w:p>
        </w:tc>
      </w:tr>
      <w:tr>
        <w:tc>
          <w:tcPr>
            <w:tcW w:type="dxa" w:w="4320"/>
          </w:tcPr>
          <w:p>
            <w:r>
              <w:rPr>
                <w:sz w:val="20"/>
              </w:rPr>
              <w:t>Price / Book</w:t>
            </w:r>
          </w:p>
        </w:tc>
        <w:tc>
          <w:tcPr>
            <w:tcW w:type="dxa" w:w="4320"/>
          </w:tcPr>
          <w:p>
            <w:r>
              <w:rPr>
                <w:sz w:val="20"/>
              </w:rPr>
              <w:t>13.47</w:t>
            </w:r>
          </w:p>
        </w:tc>
      </w:tr>
      <w:tr>
        <w:tc>
          <w:tcPr>
            <w:tcW w:type="dxa" w:w="4320"/>
          </w:tcPr>
          <w:p>
            <w:r>
              <w:rPr>
                <w:sz w:val="20"/>
              </w:rPr>
              <w:t>Market cap</w:t>
            </w:r>
          </w:p>
        </w:tc>
        <w:tc>
          <w:tcPr>
            <w:tcW w:type="dxa" w:w="4320"/>
          </w:tcPr>
          <w:p>
            <w:r>
              <w:rPr>
                <w:sz w:val="20"/>
              </w:rPr>
              <w:t>$868.41B</w:t>
            </w:r>
          </w:p>
        </w:tc>
      </w:tr>
      <w:tr>
        <w:tc>
          <w:tcPr>
            <w:tcW w:type="dxa" w:w="4320"/>
          </w:tcPr>
          <w:p>
            <w:r>
              <w:rPr>
                <w:sz w:val="20"/>
              </w:rPr>
              <w:t>Profit margin</w:t>
            </w:r>
          </w:p>
        </w:tc>
        <w:tc>
          <w:tcPr>
            <w:tcW w:type="dxa" w:w="4320"/>
          </w:tcPr>
          <w:p>
            <w:r>
              <w:rPr>
                <w:sz w:val="20"/>
              </w:rPr>
              <w:t>13.4%</w:t>
            </w:r>
          </w:p>
        </w:tc>
      </w:tr>
      <w:tr>
        <w:tc>
          <w:tcPr>
            <w:tcW w:type="dxa" w:w="4320"/>
          </w:tcPr>
          <w:p>
            <w:r>
              <w:rPr>
                <w:sz w:val="20"/>
              </w:rPr>
              <w:t>Gross margin</w:t>
            </w:r>
          </w:p>
        </w:tc>
        <w:tc>
          <w:tcPr>
            <w:tcW w:type="dxa" w:w="4320"/>
          </w:tcPr>
          <w:p>
            <w:r>
              <w:rPr>
                <w:sz w:val="20"/>
              </w:rPr>
              <w:t>53.1%</w:t>
            </w:r>
          </w:p>
        </w:tc>
      </w:tr>
      <w:tr>
        <w:tc>
          <w:tcPr>
            <w:tcW w:type="dxa" w:w="4320"/>
          </w:tcPr>
          <w:p>
            <w:r>
              <w:rPr>
                <w:sz w:val="20"/>
              </w:rPr>
              <w:t>Operating margin</w:t>
            </w:r>
          </w:p>
        </w:tc>
        <w:tc>
          <w:tcPr>
            <w:tcW w:type="dxa" w:w="4320"/>
          </w:tcPr>
          <w:p>
            <w:r>
              <w:rPr>
                <w:sz w:val="20"/>
              </w:rPr>
              <w:t>14.4%</w:t>
            </w:r>
          </w:p>
        </w:tc>
      </w:tr>
      <w:tr>
        <w:tc>
          <w:tcPr>
            <w:tcW w:type="dxa" w:w="4320"/>
          </w:tcPr>
          <w:p>
            <w:r>
              <w:rPr>
                <w:sz w:val="20"/>
              </w:rPr>
              <w:t>Return on equity</w:t>
            </w:r>
          </w:p>
        </w:tc>
        <w:tc>
          <w:tcPr>
            <w:tcW w:type="dxa" w:w="4320"/>
          </w:tcPr>
          <w:p>
            <w:r>
              <w:rPr>
                <w:sz w:val="20"/>
              </w:rPr>
              <w:t>8.1%</w:t>
            </w:r>
          </w:p>
        </w:tc>
      </w:tr>
      <w:tr>
        <w:tc>
          <w:tcPr>
            <w:tcW w:type="dxa" w:w="4320"/>
          </w:tcPr>
          <w:p>
            <w:r>
              <w:rPr>
                <w:sz w:val="20"/>
              </w:rPr>
              <w:t>Return on assets</w:t>
            </w:r>
          </w:p>
        </w:tc>
        <w:tc>
          <w:tcPr>
            <w:tcW w:type="dxa" w:w="4320"/>
          </w:tcPr>
          <w:p>
            <w:r>
              <w:rPr>
                <w:sz w:val="20"/>
              </w:rPr>
              <w:t>3.6%</w:t>
            </w:r>
          </w:p>
        </w:tc>
      </w:tr>
      <w:tr>
        <w:tc>
          <w:tcPr>
            <w:tcW w:type="dxa" w:w="4320"/>
          </w:tcPr>
          <w:p>
            <w:r>
              <w:rPr>
                <w:sz w:val="20"/>
              </w:rPr>
              <w:t>Debt / Equity</w:t>
            </w:r>
          </w:p>
        </w:tc>
        <w:tc>
          <w:tcPr>
            <w:tcW w:type="dxa" w:w="4320"/>
          </w:tcPr>
          <w:p>
            <w:r>
              <w:rPr>
                <w:sz w:val="20"/>
              </w:rPr>
              <w:t>0.06</w:t>
            </w:r>
          </w:p>
        </w:tc>
      </w:tr>
      <w:tr>
        <w:tc>
          <w:tcPr>
            <w:tcW w:type="dxa" w:w="4320"/>
          </w:tcPr>
          <w:p>
            <w:r>
              <w:rPr>
                <w:sz w:val="20"/>
              </w:rPr>
              <w:t>Current ratio</w:t>
            </w:r>
          </w:p>
        </w:tc>
        <w:tc>
          <w:tcPr>
            <w:tcW w:type="dxa" w:w="4320"/>
          </w:tcPr>
          <w:p>
            <w:r>
              <w:rPr>
                <w:sz w:val="20"/>
              </w:rPr>
              <w:t>2.73</w:t>
            </w:r>
          </w:p>
        </w:tc>
      </w:tr>
      <w:tr>
        <w:tc>
          <w:tcPr>
            <w:tcW w:type="dxa" w:w="4320"/>
          </w:tcPr>
          <w:p>
            <w:r>
              <w:rPr>
                <w:sz w:val="20"/>
              </w:rPr>
              <w:t>Revenue growth (YoY)</w:t>
            </w:r>
          </w:p>
        </w:tc>
        <w:tc>
          <w:tcPr>
            <w:tcW w:type="dxa" w:w="4320"/>
          </w:tcPr>
          <w:p>
            <w:r>
              <w:rPr>
                <w:sz w:val="20"/>
              </w:rPr>
              <w:t>37.8%</w:t>
            </w:r>
          </w:p>
        </w:tc>
      </w:tr>
      <w:tr>
        <w:tc>
          <w:tcPr>
            <w:tcW w:type="dxa" w:w="4320"/>
          </w:tcPr>
          <w:p>
            <w:r>
              <w:rPr>
                <w:sz w:val="20"/>
              </w:rPr>
              <w:t>Earnings growth (YoY)</w:t>
            </w:r>
          </w:p>
        </w:tc>
        <w:tc>
          <w:tcPr>
            <w:tcW w:type="dxa" w:w="4320"/>
          </w:tcPr>
          <w:p>
            <w:r>
              <w:rPr>
                <w:sz w:val="20"/>
              </w:rPr>
              <w:t>91.2%</w:t>
            </w:r>
          </w:p>
        </w:tc>
      </w:tr>
      <w:tr>
        <w:tc>
          <w:tcPr>
            <w:tcW w:type="dxa" w:w="4320"/>
          </w:tcPr>
          <w:p>
            <w:r>
              <w:rPr>
                <w:sz w:val="20"/>
              </w:rPr>
              <w:t>Free cash flow</w:t>
            </w:r>
          </w:p>
        </w:tc>
        <w:tc>
          <w:tcPr>
            <w:tcW w:type="dxa" w:w="4320"/>
          </w:tcPr>
          <w:p>
            <w:r>
              <w:rPr>
                <w:sz w:val="20"/>
              </w:rPr>
              <w:t>$7.17B</w:t>
            </w:r>
          </w:p>
        </w:tc>
      </w:tr>
      <w:tr>
        <w:tc>
          <w:tcPr>
            <w:tcW w:type="dxa" w:w="4320"/>
          </w:tcPr>
          <w:p>
            <w:r>
              <w:rPr>
                <w:sz w:val="20"/>
              </w:rPr>
              <w:t>Cash on balance sheet</w:t>
            </w:r>
          </w:p>
        </w:tc>
        <w:tc>
          <w:tcPr>
            <w:tcW w:type="dxa" w:w="4320"/>
          </w:tcPr>
          <w:p>
            <w:r>
              <w:rPr>
                <w:sz w:val="20"/>
              </w:rPr>
              <w:t>$12.35B</w:t>
            </w:r>
          </w:p>
        </w:tc>
      </w:tr>
      <w:tr>
        <w:tc>
          <w:tcPr>
            <w:tcW w:type="dxa" w:w="4320"/>
          </w:tcPr>
          <w:p>
            <w:r>
              <w:rPr>
                <w:sz w:val="20"/>
              </w:rPr>
              <w:t>Total debt</w:t>
            </w:r>
          </w:p>
        </w:tc>
        <w:tc>
          <w:tcPr>
            <w:tcW w:type="dxa" w:w="4320"/>
          </w:tcPr>
          <w:p>
            <w:r>
              <w:rPr>
                <w:sz w:val="20"/>
              </w:rPr>
              <w:t>$3.87B</w:t>
            </w:r>
          </w:p>
        </w:tc>
      </w:tr>
      <w:tr>
        <w:tc>
          <w:tcPr>
            <w:tcW w:type="dxa" w:w="4320"/>
          </w:tcPr>
          <w:p>
            <w:r>
              <w:rPr>
                <w:sz w:val="20"/>
              </w:rPr>
              <w:t>Dividend yield</w:t>
            </w:r>
          </w:p>
        </w:tc>
        <w:tc>
          <w:tcPr>
            <w:tcW w:type="dxa" w:w="4320"/>
          </w:tcPr>
          <w:p>
            <w:r>
              <w:rPr>
                <w:sz w:val="20"/>
              </w:rPr>
              <w:t>—</w:t>
            </w:r>
          </w:p>
        </w:tc>
      </w:tr>
      <w:tr>
        <w:tc>
          <w:tcPr>
            <w:tcW w:type="dxa" w:w="4320"/>
          </w:tcPr>
          <w:p>
            <w:r>
              <w:rPr>
                <w:sz w:val="20"/>
              </w:rPr>
              <w:t>Dividend payout ratio</w:t>
            </w:r>
          </w:p>
        </w:tc>
        <w:tc>
          <w:tcPr>
            <w:tcW w:type="dxa" w:w="4320"/>
          </w:tcPr>
          <w:p>
            <w:r>
              <w:rPr>
                <w:sz w:val="20"/>
              </w:rPr>
              <w:t>0.0%</w:t>
            </w:r>
          </w:p>
        </w:tc>
      </w:tr>
      <w:tr>
        <w:tc>
          <w:tcPr>
            <w:tcW w:type="dxa" w:w="4320"/>
          </w:tcPr>
          <w:p>
            <w:r>
              <w:rPr>
                <w:sz w:val="20"/>
              </w:rPr>
              <w:t>Beta (vs market)</w:t>
            </w:r>
          </w:p>
        </w:tc>
        <w:tc>
          <w:tcPr>
            <w:tcW w:type="dxa" w:w="4320"/>
          </w:tcPr>
          <w:p>
            <w:r>
              <w:rPr>
                <w:sz w:val="20"/>
              </w:rPr>
              <w:t>2.49</w:t>
            </w:r>
          </w:p>
        </w:tc>
      </w:tr>
      <w:tr>
        <w:tc>
          <w:tcPr>
            <w:tcW w:type="dxa" w:w="4320"/>
          </w:tcPr>
          <w:p>
            <w:r>
              <w:rPr>
                <w:sz w:val="20"/>
              </w:rPr>
              <w:t>52-week high</w:t>
            </w:r>
          </w:p>
        </w:tc>
        <w:tc>
          <w:tcPr>
            <w:tcW w:type="dxa" w:w="4320"/>
          </w:tcPr>
          <w:p>
            <w:r>
              <w:rPr>
                <w:sz w:val="20"/>
              </w:rPr>
              <w:t>$562.99</w:t>
            </w:r>
          </w:p>
        </w:tc>
      </w:tr>
      <w:tr>
        <w:tc>
          <w:tcPr>
            <w:tcW w:type="dxa" w:w="4320"/>
          </w:tcPr>
          <w:p>
            <w:r>
              <w:rPr>
                <w:sz w:val="20"/>
              </w:rPr>
              <w:t>52-week low</w:t>
            </w:r>
          </w:p>
        </w:tc>
        <w:tc>
          <w:tcPr>
            <w:tcW w:type="dxa" w:w="4320"/>
          </w:tcPr>
          <w:p>
            <w:r>
              <w:rPr>
                <w:sz w:val="20"/>
              </w:rPr>
              <w:t>$133.50</w:t>
            </w:r>
          </w:p>
        </w:tc>
      </w:tr>
      <w:tr>
        <w:tc>
          <w:tcPr>
            <w:tcW w:type="dxa" w:w="4320"/>
          </w:tcPr>
          <w:p>
            <w:r>
              <w:rPr>
                <w:sz w:val="20"/>
              </w:rPr>
              <w:t>Analyst median target</w:t>
            </w:r>
          </w:p>
        </w:tc>
        <w:tc>
          <w:tcPr>
            <w:tcW w:type="dxa" w:w="4320"/>
          </w:tcPr>
          <w:p>
            <w:r>
              <w:rPr>
                <w:sz w:val="20"/>
              </w:rPr>
              <w:t>$500.40</w:t>
            </w:r>
          </w:p>
        </w:tc>
      </w:tr>
      <w:tr>
        <w:tc>
          <w:tcPr>
            <w:tcW w:type="dxa" w:w="4320"/>
          </w:tcPr>
          <w:p>
            <w:r>
              <w:rPr>
                <w:sz w:val="20"/>
              </w:rPr>
              <w:t>Analyst consensus (1=Strong Buy, 5=Sell)</w:t>
            </w:r>
          </w:p>
        </w:tc>
        <w:tc>
          <w:tcPr>
            <w:tcW w:type="dxa" w:w="4320"/>
          </w:tcPr>
          <w:p>
            <w:r>
              <w:rPr>
                <w:sz w:val="20"/>
              </w:rPr>
              <w:t>1.45</w:t>
            </w:r>
          </w:p>
        </w:tc>
      </w:tr>
      <w:tr>
        <w:tc>
          <w:tcPr>
            <w:tcW w:type="dxa" w:w="4320"/>
          </w:tcPr>
          <w:p>
            <w:r>
              <w:rPr>
                <w:sz w:val="20"/>
              </w:rPr>
              <w:t>Analyst count</w:t>
            </w:r>
          </w:p>
        </w:tc>
        <w:tc>
          <w:tcPr>
            <w:tcW w:type="dxa" w:w="4320"/>
          </w:tcPr>
          <w:p>
            <w:r>
              <w:rPr>
                <w:sz w:val="20"/>
              </w:rPr>
              <w:t>48</w:t>
            </w:r>
          </w:p>
        </w:tc>
      </w:tr>
      <w:tr>
        <w:tc>
          <w:tcPr>
            <w:tcW w:type="dxa" w:w="4320"/>
          </w:tcPr>
          <w:p>
            <w:r>
              <w:rPr>
                <w:sz w:val="20"/>
              </w:rPr>
              <w:t>Margin of safety (vs median target)</w:t>
            </w:r>
          </w:p>
        </w:tc>
        <w:tc>
          <w:tcPr>
            <w:tcW w:type="dxa" w:w="4320"/>
          </w:tcPr>
          <w:p>
            <w:r>
              <w:rPr>
                <w:sz w:val="20"/>
              </w:rPr>
              <w:t>-6.4%  (price $532.57 vs target $500.40)</w:t>
            </w:r>
          </w:p>
        </w:tc>
      </w:tr>
      <w:tr>
        <w:tc>
          <w:tcPr>
            <w:tcW w:type="dxa" w:w="4320"/>
          </w:tcPr>
          <w:p>
            <w:r>
              <w:rPr>
                <w:sz w:val="20"/>
              </w:rPr>
              <w:t>Data source</w:t>
            </w:r>
          </w:p>
        </w:tc>
        <w:tc>
          <w:tcPr>
            <w:tcW w:type="dxa" w:w="4320"/>
          </w:tcPr>
          <w:p>
            <w:r>
              <w:rPr>
                <w:sz w:val="20"/>
              </w:rPr>
              <w:t>Yahoo Finance · pulled 2026-06-26 12:13</w:t>
            </w:r>
          </w:p>
        </w:tc>
      </w:tr>
    </w:tbl>
    <w:p>
      <w:pPr>
        <w:spacing w:before="280" w:after="120"/>
      </w:pPr>
      <w:r>
        <w:rPr>
          <w:b/>
          <w:color w:val="2563EB"/>
          <w:sz w:val="28"/>
        </w:rPr>
        <w:t>My Verdict</w:t>
      </w:r>
    </w:p>
    <w:p>
      <w:pPr>
        <w:spacing w:after="160"/>
      </w:pPr>
      <w:r>
        <w:rPr>
          <w:i w:val="0"/>
          <w:sz w:val="22"/>
        </w:rPr>
        <w:t>AMD isn't just a chip company. It's the comeback story of modern business — and it earns its place on my 100-Year Survivor List not because it survived, but because it learned to thrive after nearly dying.</w:t>
        <w:br/>
        <w:t>Its silicon powers the games we play, the cloud we use, the supercomputers that simulate our future, and the AI accelerators that are reshaping every industry. And it does it all with an engineering culture that has shown, repeatedly, it can out-execute the largest companies in the world.</w:t>
        <w:br/>
        <w:t>Apple dazzles. Microsoft endures. NVIDIA powers the AI era. AMD competes — and these days, more often than not, it wins.</w:t>
      </w:r>
    </w:p>
    <w:p>
      <w:pPr>
        <w:spacing w:before="280" w:after="120"/>
      </w:pPr>
      <w:r>
        <w:rPr>
          <w:b/>
          <w:color w:val="2563EB"/>
          <w:sz w:val="28"/>
        </w:rPr>
        <w:t>Closing Reflection</w:t>
      </w:r>
    </w:p>
    <w:p>
      <w:r>
        <w:rPr>
          <w:i/>
          <w:sz w:val="24"/>
        </w:rPr>
        <w:t>A question for you: If you had to pick one chipmaker for the next 100 years — the one that already dominates a space (NVIDIA in AI), or the one that has spent a decade out-executing giants from a position of weakness (AMD) — which would you bet on, and why?</w:t>
      </w:r>
    </w:p>
    <w:p/>
    <w:p>
      <w:r>
        <w:rPr>
          <w:i/>
          <w:color w:val="6B7280"/>
          <w:sz w:val="18"/>
        </w:rPr>
        <w:t>Not financial advice — for educational purposes only.</w:t>
      </w:r>
    </w:p>
    <w:p>
      <w:r>
        <w:rPr>
          <w:i/>
          <w:color w:val="6B7280"/>
          <w:sz w:val="18"/>
        </w:rPr>
        <w:t>Source note: Drafted by AI in your voice from publicly-reported facts (Lisa Su CEO since October 2014; Xilinx acquisition completed February 2022; Frontier first exascale system; PS5/Xbox Series X partnerships). Review and edit before publishing under your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