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12/18</w:t>
      </w:r>
    </w:p>
    <w:p>
      <w:pPr>
        <w:spacing w:after="160"/>
      </w:pPr>
      <w:r>
        <w:rPr>
          <w:b/>
          <w:sz w:val="40"/>
        </w:rPr>
        <w:t>ASML Holding (ASML) — The Bottleneck the World Cannot Build Around</w:t>
      </w:r>
    </w:p>
    <w:p>
      <w:pPr>
        <w:spacing w:after="160"/>
      </w:pPr>
      <w:r>
        <w:rPr>
          <w:i/>
          <w:sz w:val="24"/>
        </w:rPr>
        <w:t>Picture a cleanroom in Veldhoven, a quiet Dutch town an hour's drive from Amsterdam. Inside it sits a machine the size of a double-decker bus, weighing more than a hundred tonnes, made of around a hundred thousand precision- engineered components sourced from suppliers across four continents. It takes a Boeing 747 to ship one. It costs roughly the same as a small office block. And without it — without this specific machine, from this specific company, in this specific Dutch town — the world cannot build a leading-edge computer chip.</w:t>
        <w:br/>
        <w:t>Now move from titans whose dominance is visible to one whose dominance is almost completely invisible to the consumer, but absolute to the industry it serves: ASML Holding.</w:t>
        <w:br/>
        <w:t>If Apple built the smartphone era, Microsoft built the office age, NVIDIA powers the AI era and AMD builds the silicon spine, then ASML built the factory that makes every one of them possible. Each era of progress has needed a bottleneck. Steam needed coal mines. Electricity needed copper refineries. The digital age needs EUV lithography — and there is exactly one company on Earth that makes the EUV machine.</w:t>
      </w:r>
    </w:p>
    <w:p>
      <w:pPr>
        <w:spacing w:before="280" w:after="120"/>
      </w:pPr>
      <w:r>
        <w:rPr>
          <w:b/>
          <w:color w:val="2563EB"/>
          <w:sz w:val="28"/>
        </w:rPr>
        <w:t>Moat</w:t>
      </w:r>
    </w:p>
    <w:p>
      <w:pPr>
        <w:spacing w:after="160"/>
      </w:pPr>
      <w:r>
        <w:rPr>
          <w:i w:val="0"/>
          <w:sz w:val="22"/>
        </w:rPr>
        <w:t>ASML's moat isn't a moat in the usual sense. It's something stranger and more durable — a structural monopoly the world's largest semiconductor companies have spent decades and tens of billions of dollars failing to break.</w:t>
        <w:br/>
        <w:t>• The EUV monopoly: Every leading-edge chip — every iPhone processor, every NVIDIA AI accelerator, every AMD EPYC, every Intel CPU built at 7-nanometre and below — is made on an ASML EUV machine. There is no alternative. Not one. Customers don't choose ASML because it's the best option; they choose it because there is no other option.</w:t>
        <w:br/>
        <w:t>• Decades of compounded R&amp;D: EUV took roughly thirty years and around ten billion dollars of R&amp;D to commercialise. ASML didn't just build the machine; it built the entire supply chain around it — including a partial ownership of Carl Zeiss SMT, the only company in the world that can make the EUV mirrors, and the acquisition of Cymer, the only company that can produce the EUV light source. The moat isn't one company; it's an ecosystem ASML owns or controls.</w:t>
        <w:br/>
        <w:t>• Customer concentration as strength, not weakness: TSMC, Samsung and Intel — the only three companies that need EUV at scale — are also among the most strategically critical companies on Earth. They aren't going anywhere. And they can't switch.</w:t>
        <w:br/>
        <w:t>• A multi-year order book: Each High-NA EUV machine takes years to build, and the order book stretches forward by similar lengths. Even if a competitor emerged tomorrow, ASML has already sold the next several years of production.</w:t>
        <w:br/>
        <w:t>• Regulatory backing: Dutch and EU export controls don't constrain ASML — they protect it. When the US, the Netherlands and Japan agreed to restrict EUV sales to China, the message was clear: this is strategic infrastructure for the West, and Western governments will defend it.</w:t>
        <w:br/>
        <w:t>This isn't a moat anyone can build around. It can only be inherited — and the inheritance is currently locked up in Veldhoven for the foreseeable future.</w:t>
      </w:r>
    </w:p>
    <w:p>
      <w:pPr>
        <w:spacing w:before="280" w:after="120"/>
      </w:pPr>
      <w:r>
        <w:rPr>
          <w:b/>
          <w:color w:val="2563EB"/>
          <w:sz w:val="28"/>
        </w:rPr>
        <w:t>Financial Strength</w:t>
      </w:r>
    </w:p>
    <w:p>
      <w:pPr>
        <w:spacing w:after="160"/>
      </w:pPr>
      <w:r>
        <w:rPr>
          <w:i w:val="0"/>
          <w:sz w:val="22"/>
        </w:rPr>
        <w:t>The financials reflect what happens when a company holds a structural monopoly on the most strategically important manufacturing process in the modern economy.</w:t>
        <w:br/>
        <w:t>• Revenue: Several tens of billions of euros annually, with the order book multiple years deep. Visibility most companies can only dream of.</w:t>
        <w:br/>
        <w:t>• Gross margins: Above 50% — the kind of pricing power that comes from selling something customers literally cannot get anywhere else.</w:t>
        <w:br/>
        <w:t>• Free cash flow: Substantial and growing, funding aggressive R&amp;D, share buybacks and a growing dividend without any pressure on the balance sheet.</w:t>
        <w:br/>
        <w:t>• Balance sheet: Significant cash reserves, modest debt, and the financial flexibility to invest through any downturn the semiconductor cycle throws up.</w:t>
        <w:br/>
        <w:t>• Dividend policy: ASML returns cash to shareholders meaningfully — both through a progressive dividend and ongoing share repurchases — while still investing heavily in next-generation lithography.</w:t>
        <w:br/>
        <w:t>This is the financial profile of a business that prints money and refuses to act like it.</w:t>
      </w:r>
    </w:p>
    <w:p>
      <w:pPr>
        <w:spacing w:before="280" w:after="120"/>
      </w:pPr>
      <w:r>
        <w:rPr>
          <w:b/>
          <w:color w:val="2563EB"/>
          <w:sz w:val="28"/>
        </w:rPr>
        <w:t>Valuation Reality Check</w:t>
      </w:r>
    </w:p>
    <w:p>
      <w:pPr>
        <w:spacing w:after="160"/>
      </w:pPr>
      <w:r>
        <w:rPr>
          <w:i w:val="0"/>
          <w:sz w:val="22"/>
        </w:rPr>
        <w:t>Greatness has a price, and ASML trades at a premium that reflects its unique position. The P/E ratio sits well above the broader semiconductor equipment industry, and the market is pricing in years of continued growth from High-NA EUV adoption and from rising chip-making intensity across the global economy.</w:t>
        <w:br/>
        <w:t>This doesn't make ASML expensive — it makes it priced as the strategic infrastructure asset it actually is. The question to ask isn't "is the multiple high?" but "what would it take to disrupt this business?" The honest answer is: decades of work, tens of billions of dollars, and the cooperation of three governments. None of those obstacles is going to evaporate quickly.</w:t>
        <w:br/>
        <w:t>Analyst targets generally lean positive on ASML, but the stock has been highly volatile around order-book timing and around any news from the China export-control front. Conviction in ASML is a long-duration position; trading it as a short-term call usually ends badly.</w:t>
      </w:r>
    </w:p>
    <w:p>
      <w:pPr>
        <w:spacing w:before="280" w:after="120"/>
      </w:pPr>
      <w:r>
        <w:rPr>
          <w:b/>
          <w:color w:val="2563EB"/>
          <w:sz w:val="28"/>
        </w:rPr>
        <w:t>Innovation</w:t>
      </w:r>
    </w:p>
    <w:p>
      <w:pPr>
        <w:spacing w:after="160"/>
      </w:pPr>
      <w:r>
        <w:rPr>
          <w:i w:val="0"/>
          <w:sz w:val="22"/>
        </w:rPr>
        <w:t>ASML doesn't innovate in product cycles. It innovates in physics.</w:t>
        <w:br/>
        <w:t>The current generation of EUV machines — the NXE series — uses ultraviolet light with a wavelength of 13.5 nanometres to etch features onto silicon that are smaller than a single virus particle. To generate that light, a laser fires roughly 50,000 times per second at a falling droplet of tin, vaporising it into a plasma. The light is then bounced off a series of mirrors so smooth that, if scaled up to the size of Germany, the largest bump on their surface would be one millimetre high. This is not a metaphor. This is how every modern computer chip is made.</w:t>
        <w:br/>
        <w:t>And ASML has already moved on to the next generation. The High-NA EUV platform, launched commercially in 2024, doubles the effective resolution of the previous generation. Intel — fighting to reclaim semiconductor leadership — was the first customer to take delivery. TSMC and Samsung are building production lines around it for late this decade and beyond. Each High-NA machine costs around €380 million. Each one is an event when it ships.</w:t>
        <w:br/>
        <w:t>Consider what this means in practice. Every artificial intelligence model in the world today — every ChatGPT response, every image generated, every recommendation algorithm — runs on chips that were etched by ASML lithography. When the world talks about "the AI revolution", what it actually means at the physical layer is "ASML machines turning sand into intelligence." Few companies anywhere can claim to be that essential to the next century of human progress.</w:t>
      </w:r>
    </w:p>
    <w:p>
      <w:pPr>
        <w:spacing w:before="280" w:after="120"/>
      </w:pPr>
      <w:r>
        <w:rPr>
          <w:b/>
          <w:color w:val="2563EB"/>
          <w:sz w:val="28"/>
        </w:rPr>
        <w:t>The Next 100 Years</w:t>
      </w:r>
    </w:p>
    <w:p>
      <w:pPr>
        <w:spacing w:after="160"/>
      </w:pPr>
      <w:r>
        <w:rPr>
          <w:i w:val="0"/>
          <w:sz w:val="22"/>
        </w:rPr>
        <w:t>Why does ASML belong in the Century Club?</w:t>
        <w:br/>
        <w:t>• It's the bottleneck through which every leading-edge chip must pass — and the world is going to demand more leading-edge chips for as long as it wants more compute. That demand isn't going away.</w:t>
        <w:br/>
        <w:t>• It's structurally protected: Western governments have decided that EUV is strategic infrastructure, and they have built export controls around ASML's machines accordingly. That regulatory moat is rare, and powerful.</w:t>
        <w:br/>
        <w:t>• It's culturally engineered for the long game: ASML's R&amp;D programmes routinely run for decades. The current EUV programme began in the 1990s. This is a company that thinks in 30-year arcs — exactly the kind of organisation that quietly survives centuries.</w:t>
        <w:br/>
        <w:t>The risks are real, and worth naming honestly.</w:t>
        <w:br/>
        <w:t>• Geopolitical concentration: ASML's leading-edge sales are concentrated among customers exposed to US-China tensions. A serious deterioration in cross-Pacific relations — or a conflict over Taiwan — would directly hit ASML's biggest customer (TSMC) and indirectly hit demand globally.</w:t>
        <w:br/>
        <w:t>• Customer concentration: A handful of customers drive the majority of high-end revenue. A single one delaying its expansion plans materially affects the order book.</w:t>
        <w:br/>
        <w:t>• Technological obsolescence is theoretically possible: Somewhere in the next fifty years, EUV lithography will be replaced. Probably not soon — there is no credible alternative on the horizon — but the company that inherits ASML's role might not be ASML itself.</w:t>
        <w:br/>
        <w:t>Even so, if you believe — and I do — that the next century needs more computation, and that computation needs leading-edge silicon, it is very difficult to write ASML out of the story.</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60.98</w:t>
            </w:r>
          </w:p>
        </w:tc>
      </w:tr>
      <w:tr>
        <w:tc>
          <w:tcPr>
            <w:tcW w:type="dxa" w:w="4320"/>
          </w:tcPr>
          <w:p>
            <w:r>
              <w:rPr>
                <w:sz w:val="20"/>
              </w:rPr>
              <w:t>P/E (forward)</w:t>
            </w:r>
          </w:p>
        </w:tc>
        <w:tc>
          <w:tcPr>
            <w:tcW w:type="dxa" w:w="4320"/>
          </w:tcPr>
          <w:p>
            <w:r>
              <w:rPr>
                <w:sz w:val="20"/>
              </w:rPr>
              <w:t>37.54</w:t>
            </w:r>
          </w:p>
        </w:tc>
      </w:tr>
      <w:tr>
        <w:tc>
          <w:tcPr>
            <w:tcW w:type="dxa" w:w="4320"/>
          </w:tcPr>
          <w:p>
            <w:r>
              <w:rPr>
                <w:sz w:val="20"/>
              </w:rPr>
              <w:t>Price / Book</w:t>
            </w:r>
          </w:p>
        </w:tc>
        <w:tc>
          <w:tcPr>
            <w:tcW w:type="dxa" w:w="4320"/>
          </w:tcPr>
          <w:p>
            <w:r>
              <w:rPr>
                <w:sz w:val="20"/>
              </w:rPr>
              <w:t>1624.81</w:t>
            </w:r>
          </w:p>
        </w:tc>
      </w:tr>
      <w:tr>
        <w:tc>
          <w:tcPr>
            <w:tcW w:type="dxa" w:w="4320"/>
          </w:tcPr>
          <w:p>
            <w:r>
              <w:rPr>
                <w:sz w:val="20"/>
              </w:rPr>
              <w:t>Market cap</w:t>
            </w:r>
          </w:p>
        </w:tc>
        <w:tc>
          <w:tcPr>
            <w:tcW w:type="dxa" w:w="4320"/>
          </w:tcPr>
          <w:p>
            <w:r>
              <w:rPr>
                <w:sz w:val="20"/>
              </w:rPr>
              <w:t>$691.68B</w:t>
            </w:r>
          </w:p>
        </w:tc>
      </w:tr>
      <w:tr>
        <w:tc>
          <w:tcPr>
            <w:tcW w:type="dxa" w:w="4320"/>
          </w:tcPr>
          <w:p>
            <w:r>
              <w:rPr>
                <w:sz w:val="20"/>
              </w:rPr>
              <w:t>Profit margin</w:t>
            </w:r>
          </w:p>
        </w:tc>
        <w:tc>
          <w:tcPr>
            <w:tcW w:type="dxa" w:w="4320"/>
          </w:tcPr>
          <w:p>
            <w:r>
              <w:rPr>
                <w:sz w:val="20"/>
              </w:rPr>
              <w:t>29.7%</w:t>
            </w:r>
          </w:p>
        </w:tc>
      </w:tr>
      <w:tr>
        <w:tc>
          <w:tcPr>
            <w:tcW w:type="dxa" w:w="4320"/>
          </w:tcPr>
          <w:p>
            <w:r>
              <w:rPr>
                <w:sz w:val="20"/>
              </w:rPr>
              <w:t>Gross margin</w:t>
            </w:r>
          </w:p>
        </w:tc>
        <w:tc>
          <w:tcPr>
            <w:tcW w:type="dxa" w:w="4320"/>
          </w:tcPr>
          <w:p>
            <w:r>
              <w:rPr>
                <w:sz w:val="20"/>
              </w:rPr>
              <w:t>52.6%</w:t>
            </w:r>
          </w:p>
        </w:tc>
      </w:tr>
      <w:tr>
        <w:tc>
          <w:tcPr>
            <w:tcW w:type="dxa" w:w="4320"/>
          </w:tcPr>
          <w:p>
            <w:r>
              <w:rPr>
                <w:sz w:val="20"/>
              </w:rPr>
              <w:t>Operating margin</w:t>
            </w:r>
          </w:p>
        </w:tc>
        <w:tc>
          <w:tcPr>
            <w:tcW w:type="dxa" w:w="4320"/>
          </w:tcPr>
          <w:p>
            <w:r>
              <w:rPr>
                <w:sz w:val="20"/>
              </w:rPr>
              <w:t>36.0%</w:t>
            </w:r>
          </w:p>
        </w:tc>
      </w:tr>
      <w:tr>
        <w:tc>
          <w:tcPr>
            <w:tcW w:type="dxa" w:w="4320"/>
          </w:tcPr>
          <w:p>
            <w:r>
              <w:rPr>
                <w:sz w:val="20"/>
              </w:rPr>
              <w:t>Return on equity</w:t>
            </w:r>
          </w:p>
        </w:tc>
        <w:tc>
          <w:tcPr>
            <w:tcW w:type="dxa" w:w="4320"/>
          </w:tcPr>
          <w:p>
            <w:r>
              <w:rPr>
                <w:sz w:val="20"/>
              </w:rPr>
              <w:t>52.2%</w:t>
            </w:r>
          </w:p>
        </w:tc>
      </w:tr>
      <w:tr>
        <w:tc>
          <w:tcPr>
            <w:tcW w:type="dxa" w:w="4320"/>
          </w:tcPr>
          <w:p>
            <w:r>
              <w:rPr>
                <w:sz w:val="20"/>
              </w:rPr>
              <w:t>Return on assets</w:t>
            </w:r>
          </w:p>
        </w:tc>
        <w:tc>
          <w:tcPr>
            <w:tcW w:type="dxa" w:w="4320"/>
          </w:tcPr>
          <w:p>
            <w:r>
              <w:rPr>
                <w:sz w:val="20"/>
              </w:rPr>
              <w:t>15.7%</w:t>
            </w:r>
          </w:p>
        </w:tc>
      </w:tr>
      <w:tr>
        <w:tc>
          <w:tcPr>
            <w:tcW w:type="dxa" w:w="4320"/>
          </w:tcPr>
          <w:p>
            <w:r>
              <w:rPr>
                <w:sz w:val="20"/>
              </w:rPr>
              <w:t>Debt / Equity</w:t>
            </w:r>
          </w:p>
        </w:tc>
        <w:tc>
          <w:tcPr>
            <w:tcW w:type="dxa" w:w="4320"/>
          </w:tcPr>
          <w:p>
            <w:r>
              <w:rPr>
                <w:sz w:val="20"/>
              </w:rPr>
              <w:t>0.13</w:t>
            </w:r>
          </w:p>
        </w:tc>
      </w:tr>
      <w:tr>
        <w:tc>
          <w:tcPr>
            <w:tcW w:type="dxa" w:w="4320"/>
          </w:tcPr>
          <w:p>
            <w:r>
              <w:rPr>
                <w:sz w:val="20"/>
              </w:rPr>
              <w:t>Current ratio</w:t>
            </w:r>
          </w:p>
        </w:tc>
        <w:tc>
          <w:tcPr>
            <w:tcW w:type="dxa" w:w="4320"/>
          </w:tcPr>
          <w:p>
            <w:r>
              <w:rPr>
                <w:sz w:val="20"/>
              </w:rPr>
              <w:t>1.36</w:t>
            </w:r>
          </w:p>
        </w:tc>
      </w:tr>
      <w:tr>
        <w:tc>
          <w:tcPr>
            <w:tcW w:type="dxa" w:w="4320"/>
          </w:tcPr>
          <w:p>
            <w:r>
              <w:rPr>
                <w:sz w:val="20"/>
              </w:rPr>
              <w:t>Revenue growth (YoY)</w:t>
            </w:r>
          </w:p>
        </w:tc>
        <w:tc>
          <w:tcPr>
            <w:tcW w:type="dxa" w:w="4320"/>
          </w:tcPr>
          <w:p>
            <w:r>
              <w:rPr>
                <w:sz w:val="20"/>
              </w:rPr>
              <w:t>13.2%</w:t>
            </w:r>
          </w:p>
        </w:tc>
      </w:tr>
      <w:tr>
        <w:tc>
          <w:tcPr>
            <w:tcW w:type="dxa" w:w="4320"/>
          </w:tcPr>
          <w:p>
            <w:r>
              <w:rPr>
                <w:sz w:val="20"/>
              </w:rPr>
              <w:t>Earnings growth (YoY)</w:t>
            </w:r>
          </w:p>
        </w:tc>
        <w:tc>
          <w:tcPr>
            <w:tcW w:type="dxa" w:w="4320"/>
          </w:tcPr>
          <w:p>
            <w:r>
              <w:rPr>
                <w:sz w:val="20"/>
              </w:rPr>
              <w:t>19.2%</w:t>
            </w:r>
          </w:p>
        </w:tc>
      </w:tr>
      <w:tr>
        <w:tc>
          <w:tcPr>
            <w:tcW w:type="dxa" w:w="4320"/>
          </w:tcPr>
          <w:p>
            <w:r>
              <w:rPr>
                <w:sz w:val="20"/>
              </w:rPr>
              <w:t>Free cash flow</w:t>
            </w:r>
          </w:p>
        </w:tc>
        <w:tc>
          <w:tcPr>
            <w:tcW w:type="dxa" w:w="4320"/>
          </w:tcPr>
          <w:p>
            <w:r>
              <w:rPr>
                <w:sz w:val="20"/>
              </w:rPr>
              <w:t>$8.24B</w:t>
            </w:r>
          </w:p>
        </w:tc>
      </w:tr>
      <w:tr>
        <w:tc>
          <w:tcPr>
            <w:tcW w:type="dxa" w:w="4320"/>
          </w:tcPr>
          <w:p>
            <w:r>
              <w:rPr>
                <w:sz w:val="20"/>
              </w:rPr>
              <w:t>Cash on balance sheet</w:t>
            </w:r>
          </w:p>
        </w:tc>
        <w:tc>
          <w:tcPr>
            <w:tcW w:type="dxa" w:w="4320"/>
          </w:tcPr>
          <w:p>
            <w:r>
              <w:rPr>
                <w:sz w:val="20"/>
              </w:rPr>
              <w:t>$8.38B</w:t>
            </w:r>
          </w:p>
        </w:tc>
      </w:tr>
      <w:tr>
        <w:tc>
          <w:tcPr>
            <w:tcW w:type="dxa" w:w="4320"/>
          </w:tcPr>
          <w:p>
            <w:r>
              <w:rPr>
                <w:sz w:val="20"/>
              </w:rPr>
              <w:t>Total debt</w:t>
            </w:r>
          </w:p>
        </w:tc>
        <w:tc>
          <w:tcPr>
            <w:tcW w:type="dxa" w:w="4320"/>
          </w:tcPr>
          <w:p>
            <w:r>
              <w:rPr>
                <w:sz w:val="20"/>
              </w:rPr>
              <w:t>$2.71B</w:t>
            </w:r>
          </w:p>
        </w:tc>
      </w:tr>
      <w:tr>
        <w:tc>
          <w:tcPr>
            <w:tcW w:type="dxa" w:w="4320"/>
          </w:tcPr>
          <w:p>
            <w:r>
              <w:rPr>
                <w:sz w:val="20"/>
              </w:rPr>
              <w:t>Dividend yield</w:t>
            </w:r>
          </w:p>
        </w:tc>
        <w:tc>
          <w:tcPr>
            <w:tcW w:type="dxa" w:w="4320"/>
          </w:tcPr>
          <w:p>
            <w:r>
              <w:rPr>
                <w:sz w:val="20"/>
              </w:rPr>
              <w:t>49.00%</w:t>
            </w:r>
          </w:p>
        </w:tc>
      </w:tr>
      <w:tr>
        <w:tc>
          <w:tcPr>
            <w:tcW w:type="dxa" w:w="4320"/>
          </w:tcPr>
          <w:p>
            <w:r>
              <w:rPr>
                <w:sz w:val="20"/>
              </w:rPr>
              <w:t>Dividend payout ratio</w:t>
            </w:r>
          </w:p>
        </w:tc>
        <w:tc>
          <w:tcPr>
            <w:tcW w:type="dxa" w:w="4320"/>
          </w:tcPr>
          <w:p>
            <w:r>
              <w:rPr>
                <w:sz w:val="20"/>
              </w:rPr>
              <w:t>25.8%</w:t>
            </w:r>
          </w:p>
        </w:tc>
      </w:tr>
      <w:tr>
        <w:tc>
          <w:tcPr>
            <w:tcW w:type="dxa" w:w="4320"/>
          </w:tcPr>
          <w:p>
            <w:r>
              <w:rPr>
                <w:sz w:val="20"/>
              </w:rPr>
              <w:t>Beta (vs market)</w:t>
            </w:r>
          </w:p>
        </w:tc>
        <w:tc>
          <w:tcPr>
            <w:tcW w:type="dxa" w:w="4320"/>
          </w:tcPr>
          <w:p>
            <w:r>
              <w:rPr>
                <w:sz w:val="20"/>
              </w:rPr>
              <w:t>1.40</w:t>
            </w:r>
          </w:p>
        </w:tc>
      </w:tr>
      <w:tr>
        <w:tc>
          <w:tcPr>
            <w:tcW w:type="dxa" w:w="4320"/>
          </w:tcPr>
          <w:p>
            <w:r>
              <w:rPr>
                <w:sz w:val="20"/>
              </w:rPr>
              <w:t>52-week high</w:t>
            </w:r>
          </w:p>
        </w:tc>
        <w:tc>
          <w:tcPr>
            <w:tcW w:type="dxa" w:w="4320"/>
          </w:tcPr>
          <w:p>
            <w:r>
              <w:rPr>
                <w:sz w:val="20"/>
              </w:rPr>
              <w:t>$1,959.04</w:t>
            </w:r>
          </w:p>
        </w:tc>
      </w:tr>
      <w:tr>
        <w:tc>
          <w:tcPr>
            <w:tcW w:type="dxa" w:w="4320"/>
          </w:tcPr>
          <w:p>
            <w:r>
              <w:rPr>
                <w:sz w:val="20"/>
              </w:rPr>
              <w:t>52-week low</w:t>
            </w:r>
          </w:p>
        </w:tc>
        <w:tc>
          <w:tcPr>
            <w:tcW w:type="dxa" w:w="4320"/>
          </w:tcPr>
          <w:p>
            <w:r>
              <w:rPr>
                <w:sz w:val="20"/>
              </w:rPr>
              <w:t>$683.48</w:t>
            </w:r>
          </w:p>
        </w:tc>
      </w:tr>
      <w:tr>
        <w:tc>
          <w:tcPr>
            <w:tcW w:type="dxa" w:w="4320"/>
          </w:tcPr>
          <w:p>
            <w:r>
              <w:rPr>
                <w:sz w:val="20"/>
              </w:rPr>
              <w:t>Analyst median target</w:t>
            </w:r>
          </w:p>
        </w:tc>
        <w:tc>
          <w:tcPr>
            <w:tcW w:type="dxa" w:w="4320"/>
          </w:tcPr>
          <w:p>
            <w:r>
              <w:rPr>
                <w:sz w:val="20"/>
              </w:rPr>
              <w:t>$1,745.96</w:t>
            </w:r>
          </w:p>
        </w:tc>
      </w:tr>
      <w:tr>
        <w:tc>
          <w:tcPr>
            <w:tcW w:type="dxa" w:w="4320"/>
          </w:tcPr>
          <w:p>
            <w:r>
              <w:rPr>
                <w:sz w:val="20"/>
              </w:rPr>
              <w:t>Analyst consensus (1=Strong Buy, 5=Sell)</w:t>
            </w:r>
          </w:p>
        </w:tc>
        <w:tc>
          <w:tcPr>
            <w:tcW w:type="dxa" w:w="4320"/>
          </w:tcPr>
          <w:p>
            <w:r>
              <w:rPr>
                <w:sz w:val="20"/>
              </w:rPr>
              <w:t>1.48</w:t>
            </w:r>
          </w:p>
        </w:tc>
      </w:tr>
      <w:tr>
        <w:tc>
          <w:tcPr>
            <w:tcW w:type="dxa" w:w="4320"/>
          </w:tcPr>
          <w:p>
            <w:r>
              <w:rPr>
                <w:sz w:val="20"/>
              </w:rPr>
              <w:t>Analyst count</w:t>
            </w:r>
          </w:p>
        </w:tc>
        <w:tc>
          <w:tcPr>
            <w:tcW w:type="dxa" w:w="4320"/>
          </w:tcPr>
          <w:p>
            <w:r>
              <w:rPr>
                <w:sz w:val="20"/>
              </w:rPr>
              <w:t>15</w:t>
            </w:r>
          </w:p>
        </w:tc>
      </w:tr>
      <w:tr>
        <w:tc>
          <w:tcPr>
            <w:tcW w:type="dxa" w:w="4320"/>
          </w:tcPr>
          <w:p>
            <w:r>
              <w:rPr>
                <w:sz w:val="20"/>
              </w:rPr>
              <w:t>Margin of safety (vs median target)</w:t>
            </w:r>
          </w:p>
        </w:tc>
        <w:tc>
          <w:tcPr>
            <w:tcW w:type="dxa" w:w="4320"/>
          </w:tcPr>
          <w:p>
            <w:r>
              <w:rPr>
                <w:sz w:val="20"/>
              </w:rPr>
              <w:t>-2.8%  (price $1794.62 vs target $1745.96)</w:t>
            </w:r>
          </w:p>
        </w:tc>
      </w:tr>
      <w:tr>
        <w:tc>
          <w:tcPr>
            <w:tcW w:type="dxa" w:w="4320"/>
          </w:tcPr>
          <w:p>
            <w:r>
              <w:rPr>
                <w:sz w:val="20"/>
              </w:rPr>
              <w:t>Data source</w:t>
            </w:r>
          </w:p>
        </w:tc>
        <w:tc>
          <w:tcPr>
            <w:tcW w:type="dxa" w:w="4320"/>
          </w:tcPr>
          <w:p>
            <w:r>
              <w:rPr>
                <w:sz w:val="20"/>
              </w:rPr>
              <w:t>Yahoo Finance · pulled 2026-06-27 18:05</w:t>
            </w:r>
          </w:p>
        </w:tc>
      </w:tr>
    </w:tbl>
    <w:p>
      <w:pPr>
        <w:spacing w:before="280" w:after="120"/>
      </w:pPr>
      <w:r>
        <w:rPr>
          <w:b/>
          <w:color w:val="2563EB"/>
          <w:sz w:val="28"/>
        </w:rPr>
        <w:t>My Verdict</w:t>
      </w:r>
    </w:p>
    <w:p>
      <w:pPr>
        <w:spacing w:after="160"/>
      </w:pPr>
      <w:r>
        <w:rPr>
          <w:i w:val="0"/>
          <w:sz w:val="22"/>
        </w:rPr>
        <w:t>ASML is not just a semiconductor equipment company. It is the single most important manufacturing company in the modern economy, and the most defensible monopoly to be found anywhere on a public stock exchange.</w:t>
        <w:br/>
        <w:t>Its machines etch the brains of every smartphone, every car computer, every AI accelerator, every cloud server worth running. It does this from a quiet Dutch town that most readers of this newsletter would struggle to point to on a map. And it does it with a technological lead that has taken the rest of the world thirty years to fail to close.</w:t>
        <w:br/>
        <w:t>Apple dazzles. Microsoft endures. NVIDIA powers the AI era. AMD competes. ASML enables — and without it, none of the others happen.</w:t>
      </w:r>
    </w:p>
    <w:p>
      <w:pPr>
        <w:spacing w:before="280" w:after="120"/>
      </w:pPr>
      <w:r>
        <w:rPr>
          <w:b/>
          <w:color w:val="2563EB"/>
          <w:sz w:val="28"/>
        </w:rPr>
        <w:t>Closing Reflection</w:t>
      </w:r>
    </w:p>
    <w:p>
      <w:r>
        <w:rPr>
          <w:i/>
          <w:sz w:val="24"/>
        </w:rPr>
        <w:t>A question for you: If a single company is the bottleneck through which every leading-edge chip in the world must pass — and Western governments have decided to protect that bottleneck as strategic infrastructure — what would it actually take to disrupt it within the next 50 years?</w:t>
      </w:r>
    </w:p>
    <w:p/>
    <w:p>
      <w:r>
        <w:rPr>
          <w:i/>
          <w:color w:val="6B7280"/>
          <w:sz w:val="18"/>
        </w:rPr>
        <w:t>Not financial advice — for educational purposes only.</w:t>
      </w:r>
    </w:p>
    <w:p>
      <w:r>
        <w:rPr>
          <w:i/>
          <w:color w:val="6B7280"/>
          <w:sz w:val="18"/>
        </w:rPr>
        <w:t>Source note: Drafted by AI in your voice from publicly-reported facts (ASML founded 1984; sole producer of EUV; CEO Christophe Fouquet from April 2024; High-NA EUV launched 2024 with Intel as first customer; Dutch/US/Japan export controls on China; Cymer and Carl Zeiss SMT relationships). Review and edit before publishing under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