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563EB"/>
          <w:sz w:val="20"/>
        </w:rPr>
        <w:t>📊 The 100-Year Survival Test · 3/18</w:t>
      </w:r>
    </w:p>
    <w:p>
      <w:pPr>
        <w:spacing w:after="160"/>
      </w:pPr>
      <w:r>
        <w:rPr>
          <w:b/>
          <w:sz w:val="40"/>
        </w:rPr>
        <w:t>Alphabet (Google) (GOOGL) — The Company That Knows You Better Than You Know Yourself</w:t>
      </w:r>
    </w:p>
    <w:p>
      <w:pPr>
        <w:spacing w:after="280"/>
      </w:pPr>
      <w:r>
        <w:rPr>
          <w:i/>
          <w:color w:val="6B7280"/>
          <w:sz w:val="20"/>
        </w:rPr>
        <w:t>Why this issue: Position is up +57.1% from entry £165.60 → £260.24, crossing the 50% Sell/Trim threshold. ISA is tax-shielded so rebalancing is costless.</w:t>
      </w:r>
    </w:p>
    <w:p>
      <w:pPr>
        <w:spacing w:after="160"/>
      </w:pPr>
      <w:r>
        <w:rPr>
          <w:i/>
          <w:sz w:val="24"/>
        </w:rPr>
        <w:t>We’ve already unpacked Apple’s reinvention machine and Microsoft’s role as civilisation’s operating system.</w:t>
      </w:r>
    </w:p>
    <w:p>
      <w:pPr>
        <w:spacing w:after="160"/>
      </w:pPr>
      <w:r>
        <w:rPr>
          <w:i/>
          <w:sz w:val="24"/>
        </w:rPr>
        <w:t>Now it’s time for the third giant in my 100-Year Survivor List: Alphabet (Google).</w:t>
      </w:r>
    </w:p>
    <w:p>
      <w:pPr>
        <w:pStyle w:val="ListBullet"/>
      </w:pPr>
      <w:r>
        <w:rPr>
          <w:sz w:val="24"/>
        </w:rPr>
        <w:t>• Created with TradingView</w:t>
      </w:r>
    </w:p>
    <w:p>
      <w:pPr>
        <w:spacing w:after="160"/>
      </w:pPr>
      <w:r>
        <w:rPr>
          <w:i/>
          <w:sz w:val="24"/>
        </w:rPr>
        <w:t>Let’s be blunt. If Apple gives you tools, Microsoft gives you structure, and Google gives you truth. Or at least, your version of it.</w:t>
      </w:r>
    </w:p>
    <w:p>
      <w:pPr>
        <w:spacing w:after="160"/>
      </w:pPr>
      <w:r>
        <w:rPr>
          <w:i/>
          <w:sz w:val="24"/>
        </w:rPr>
        <w:t>Think about it. Every question, every curiosity, every late-night panic search about symptoms or side hustles, goes through Google. They don’t just sell products. They’ve become humanity’s collective memory.</w:t>
      </w:r>
    </w:p>
    <w:p>
      <w:pPr>
        <w:spacing w:after="160"/>
      </w:pPr>
      <w:r>
        <w:rPr>
          <w:i/>
          <w:sz w:val="24"/>
        </w:rPr>
        <w:t>And if that doesn’t scream staying power, what does?</w:t>
      </w:r>
    </w:p>
    <w:p>
      <w:pPr>
        <w:spacing w:before="280" w:after="120"/>
      </w:pPr>
      <w:r>
        <w:rPr>
          <w:b/>
          <w:color w:val="2563EB"/>
          <w:sz w:val="28"/>
        </w:rPr>
        <w:t>Moat</w:t>
      </w:r>
    </w:p>
    <w:p>
      <w:pPr>
        <w:spacing w:after="160"/>
      </w:pPr>
      <w:r>
        <w:rPr>
          <w:i w:val="0"/>
          <w:sz w:val="22"/>
        </w:rPr>
        <w:t>Google’s moat isn’t shiny hardware or office software. It’s information.</w:t>
      </w:r>
    </w:p>
    <w:p>
      <w:pPr>
        <w:pStyle w:val="ListBullet"/>
      </w:pPr>
      <w:r>
        <w:rPr>
          <w:sz w:val="22"/>
        </w:rPr>
        <w:t>Search dominance: Over 90% of global internet searches run through Google. To put that into perspective, Google's nearest competitor, Bing, holds just around a 3% market share. That’s not just a moat; that’s a monopoly.</w:t>
      </w:r>
    </w:p>
    <w:p>
      <w:pPr>
        <w:pStyle w:val="ListBullet"/>
      </w:pPr>
      <w:r>
        <w:rPr>
          <w:sz w:val="22"/>
        </w:rPr>
        <w:t>Ad ecosystem: Billions of clicks, billions in revenue. Google Ads quietly fuels entire industries.</w:t>
      </w:r>
    </w:p>
    <w:p>
      <w:pPr>
        <w:pStyle w:val="ListBullet"/>
      </w:pPr>
      <w:r>
        <w:rPr>
          <w:sz w:val="22"/>
        </w:rPr>
        <w:t>YouTube: The world’s largest video platform and, for an entire generation, the new television.</w:t>
      </w:r>
    </w:p>
    <w:p>
      <w:pPr>
        <w:pStyle w:val="ListBullet"/>
      </w:pPr>
      <w:r>
        <w:rPr>
          <w:sz w:val="22"/>
        </w:rPr>
        <w:t>Android: The operating system for over 70% of the world’s smartphones.</w:t>
      </w:r>
    </w:p>
    <w:p>
      <w:pPr>
        <w:spacing w:after="160"/>
      </w:pPr>
      <w:r>
        <w:rPr>
          <w:i w:val="0"/>
          <w:sz w:val="22"/>
        </w:rPr>
        <w:t>Alphabet not only has reach but also owns the pipes through which digital life flows. However, its true strength lies in the sophisticated processes it has developed to turn this enormous resource into consistent and formidable profit.</w:t>
      </w:r>
    </w:p>
    <w:p>
      <w:pPr>
        <w:spacing w:after="160"/>
      </w:pPr>
      <w:r>
        <w:rPr>
          <w:i w:val="0"/>
          <w:sz w:val="22"/>
        </w:rPr>
        <w:t>By seamlessly integrating its search algorithms with an expansive ad ecosystem, Alphabet transforms user queries into valuable insights, retaining its dominance not just because it owns information flows but because it continually innovates how to leverage them.</w:t>
      </w:r>
    </w:p>
    <w:p>
      <w:pPr>
        <w:spacing w:after="160"/>
      </w:pPr>
      <w:r>
        <w:rPr>
          <w:i w:val="0"/>
          <w:sz w:val="22"/>
        </w:rPr>
        <w:t>Subscribe now</w:t>
      </w:r>
    </w:p>
    <w:p>
      <w:pPr>
        <w:spacing w:after="160"/>
      </w:pPr>
      <w:r>
        <w:rPr>
          <w:i w:val="0"/>
          <w:sz w:val="22"/>
        </w:rPr>
        <w:t>For instance, its targeted advertising model, which uses search data to provide personalised ads, has significantly boosted advertising efficiency for businesses across various sectors. Additionally, YouTube's recommendation engine keeps users engaged for longer periods, directly enhancing advertising revenue as more views lead to more ad exposure.</w:t>
      </w:r>
    </w:p>
    <w:p>
      <w:pPr>
        <w:spacing w:before="280" w:after="120"/>
      </w:pPr>
      <w:r>
        <w:rPr>
          <w:b/>
          <w:color w:val="2563EB"/>
          <w:sz w:val="28"/>
        </w:rPr>
        <w:t>Financial Strength</w:t>
      </w:r>
    </w:p>
    <w:p>
      <w:pPr>
        <w:spacing w:after="160"/>
      </w:pPr>
      <w:r>
        <w:rPr>
          <w:i w:val="0"/>
          <w:sz w:val="22"/>
        </w:rPr>
        <w:t>Google’s business model is deceptively simple: provide people with answers, sell ads against their attention, and repeat on a global scale.</w:t>
      </w:r>
    </w:p>
    <w:p>
      <w:pPr>
        <w:spacing w:after="160"/>
      </w:pPr>
      <w:r>
        <w:rPr>
          <w:i w:val="0"/>
          <w:sz w:val="22"/>
        </w:rPr>
        <w:t>The result?</w:t>
      </w:r>
    </w:p>
    <w:p>
      <w:pPr>
        <w:pStyle w:val="ListBullet"/>
      </w:pPr>
      <w:r>
        <w:rPr>
          <w:sz w:val="22"/>
        </w:rPr>
        <w:t>Annual revenue is north of $300 billion, which translates into a price-to-earnings (P/E) ratio that indicates strong investor confidence in its growth potential. Even more compelling is Google's free-cash-flow yield, a key metric showcasing its ability to generate cash and sustain its operations.</w:t>
      </w:r>
    </w:p>
    <w:p>
      <w:pPr>
        <w:spacing w:after="160"/>
      </w:pPr>
      <w:r>
        <w:rPr>
          <w:i w:val="0"/>
          <w:sz w:val="22"/>
        </w:rPr>
        <w:t>To put this in perspective, Alphabet's revenue size and profitability are comparable to Apple's, whose recent annual revenue was over $280 billion, reflecting similar investor confidence and market valuation metrics. While Microsoft's revenue sits slightly lower, its strong cloud services segment illustrates its own colossal growth trajectory. By linking these financial markers to Alphabet's valuation, we gain insight not only into its current magnitude but also its potential durability in the market.</w:t>
      </w:r>
    </w:p>
    <w:p>
      <w:pPr>
        <w:pStyle w:val="ListBullet"/>
      </w:pPr>
      <w:r>
        <w:rPr>
          <w:sz w:val="22"/>
        </w:rPr>
        <w:t>Margins most businesses dream about.</w:t>
      </w:r>
    </w:p>
    <w:p>
      <w:pPr>
        <w:pStyle w:val="ListBullet"/>
      </w:pPr>
      <w:r>
        <w:rPr>
          <w:sz w:val="22"/>
        </w:rPr>
        <w:t>Cash reserves that give it the firepower to experiment endlessly.</w:t>
      </w:r>
    </w:p>
    <w:p>
      <w:pPr>
        <w:spacing w:after="160"/>
      </w:pPr>
      <w:r>
        <w:rPr>
          <w:i w:val="0"/>
          <w:sz w:val="22"/>
        </w:rPr>
        <w:t>While some companies worry about their next quarter, Alphabet worries about the next frontier. And that’s a position of strength few can rival.</w:t>
      </w:r>
    </w:p>
    <w:p>
      <w:pPr>
        <w:spacing w:before="280" w:after="120"/>
      </w:pPr>
      <w:r>
        <w:rPr>
          <w:b/>
          <w:color w:val="2563EB"/>
          <w:sz w:val="28"/>
        </w:rPr>
        <w:t>Innovation</w:t>
      </w:r>
    </w:p>
    <w:p>
      <w:pPr>
        <w:spacing w:after="160"/>
      </w:pPr>
      <w:r>
        <w:rPr>
          <w:i w:val="0"/>
          <w:sz w:val="22"/>
        </w:rPr>
        <w:t>It’s easy to see Google as "just" a search engine. But that misses the bigger picture. Google is strategically betting on the potential of data-driven technologies, aiming to reshape the future landscape.</w:t>
      </w:r>
    </w:p>
    <w:p>
      <w:pPr>
        <w:spacing w:after="160"/>
      </w:pPr>
      <w:r>
        <w:rPr>
          <w:i w:val="0"/>
          <w:sz w:val="22"/>
        </w:rPr>
        <w:t>DeepMind's systems are not only capable of beating world champions but are also paving the way for the next era of data-intensive technology advancements. Waymo, leveraging troves of data, is set to transform transportation with its self-driving vehicles.</w:t>
      </w:r>
    </w:p>
    <w:p>
      <w:pPr>
        <w:spacing w:after="160"/>
      </w:pPr>
      <w:r>
        <w:rPr>
          <w:i w:val="0"/>
          <w:sz w:val="22"/>
        </w:rPr>
        <w:t>Google Cloud is rapidly advancing in the enterprise space, challenging leaders like Microsoft and Amazon with its robust data handling capabilities.</w:t>
      </w:r>
    </w:p>
    <w:p>
      <w:pPr>
        <w:spacing w:after="160"/>
      </w:pPr>
      <w:r>
        <w:rPr>
          <w:i w:val="0"/>
          <w:sz w:val="22"/>
        </w:rPr>
        <w:t>Moonshots like Quantum Computing and its healthcare ventures rely heavily on processing vast amounts of information, potentially transforming industries and pushing the boundaries of what's possible.</w:t>
      </w:r>
    </w:p>
    <w:p>
      <w:pPr>
        <w:spacing w:after="160"/>
      </w:pPr>
      <w:r>
        <w:rPr>
          <w:i w:val="0"/>
          <w:sz w:val="22"/>
        </w:rPr>
        <w:t>Alphabet has cultivated a culture where calculated risks are embraced, turning individual bets from disparate ventures into a cohesive strategy. Behind each project lies a unified vision of harnessing data to drive change, solidifying Alphabet's position at the forefront of innovation.</w:t>
      </w:r>
    </w:p>
    <w:p>
      <w:pPr>
        <w:spacing w:before="280" w:after="120"/>
      </w:pPr>
      <w:r>
        <w:rPr>
          <w:b/>
          <w:color w:val="2563EB"/>
          <w:sz w:val="28"/>
        </w:rPr>
        <w:t>The Next 100 Years</w:t>
      </w:r>
    </w:p>
    <w:p>
      <w:pPr>
        <w:spacing w:after="160"/>
      </w:pPr>
      <w:r>
        <w:rPr>
          <w:i w:val="0"/>
          <w:sz w:val="22"/>
        </w:rPr>
        <w:t>Here’s why Google deserves its place in the Century Club:</w:t>
      </w:r>
    </w:p>
    <w:p>
      <w:pPr>
        <w:pStyle w:val="ListBullet"/>
      </w:pPr>
      <w:r>
        <w:rPr>
          <w:sz w:val="22"/>
        </w:rPr>
        <w:t>It has the data: Knowledge is power, and Google has more knowledge than anyone.</w:t>
      </w:r>
    </w:p>
    <w:p>
      <w:pPr>
        <w:pStyle w:val="ListBullet"/>
      </w:pPr>
      <w:r>
        <w:rPr>
          <w:sz w:val="22"/>
        </w:rPr>
        <w:t>It has the habit: Billions of people wake up and type questions into a search bar. Habits this deep rarely die.</w:t>
      </w:r>
    </w:p>
    <w:p>
      <w:pPr>
        <w:pStyle w:val="ListBullet"/>
      </w:pPr>
      <w:r>
        <w:rPr>
          <w:sz w:val="22"/>
        </w:rPr>
        <w:t>It has the vision: From AI to autonomous driving, Google isn’t playing for today’s profits. It’s building tomorrow’s industries.</w:t>
      </w:r>
    </w:p>
    <w:p>
      <w:pPr>
        <w:spacing w:after="160"/>
      </w:pPr>
      <w:r>
        <w:rPr>
          <w:i w:val="0"/>
          <w:sz w:val="22"/>
        </w:rPr>
        <w:t>Will regulation come? Absolutely. Regulatory fines have already affected its bottom line, with billions in payouts across various regions. Will competitors nip at its heels? Of course. Rivals like Amazon and Apple are steadily increasing their market shares, marking growth rates that challenge Google's dominance. But Google has survived the toughest antitrust storms, navigated privacy wars, and endured multiple attempts to build "the next Google." None succeeded.</w:t>
      </w:r>
    </w:p>
    <w:p>
      <w:pPr>
        <w:spacing w:after="160"/>
      </w:pPr>
      <w:r>
        <w:rPr>
          <w:i w:val="0"/>
          <w:sz w:val="22"/>
        </w:rPr>
        <w:t>However, future regulations could pose more significant challenges as governments worldwide scrutinise tech giants more closely, potentially imposing stricter data privacy laws and antitrust measures. Additionally, the rapid advancement of disruptive technologies such as artificial intelligence and blockchain could redefine the competitive landscape, forcing Alphabet to adapt swiftly to maintain its lead.</w:t>
      </w:r>
    </w:p>
    <w:p>
      <w:pPr>
        <w:spacing w:after="160"/>
      </w:pPr>
      <w:r>
        <w:rPr>
          <w:i w:val="0"/>
          <w:sz w:val="22"/>
        </w:rPr>
        <w:t>When you own the gateway to the internet, the odds of irrelevance shrink to near zero.</w:t>
      </w:r>
    </w:p>
    <w:p>
      <w:pPr>
        <w:spacing w:before="280" w:after="120"/>
      </w:pPr>
      <w:r>
        <w:rPr>
          <w:b/>
          <w:color w:val="2563EB"/>
          <w:sz w:val="26"/>
        </w:rPr>
        <w:t>The Numbers (Verifiable, Dated)</w:t>
      </w:r>
    </w:p>
    <w:tbl>
      <w:tblPr>
        <w:tblW w:type="auto" w:w="0"/>
        <w:tblLayout w:type="autofit"/>
        <w:tblLook w:firstColumn="1" w:firstRow="1" w:lastColumn="0" w:lastRow="0" w:noHBand="0" w:noVBand="1" w:val="04A0"/>
      </w:tblPr>
      <w:tblGrid>
        <w:gridCol w:w="4320"/>
        <w:gridCol w:w="4320"/>
      </w:tblGrid>
      <w:tr>
        <w:tc>
          <w:tcPr>
            <w:tcW w:type="dxa" w:w="4320"/>
          </w:tcPr>
          <w:p>
            <w:r>
              <w:rPr>
                <w:sz w:val="20"/>
              </w:rPr>
              <w:t>P/E (trailing)</w:t>
            </w:r>
          </w:p>
        </w:tc>
        <w:tc>
          <w:tcPr>
            <w:tcW w:type="dxa" w:w="4320"/>
          </w:tcPr>
          <w:p>
            <w:r>
              <w:rPr>
                <w:sz w:val="20"/>
              </w:rPr>
              <w:t>26.96</w:t>
            </w:r>
          </w:p>
        </w:tc>
      </w:tr>
      <w:tr>
        <w:tc>
          <w:tcPr>
            <w:tcW w:type="dxa" w:w="4320"/>
          </w:tcPr>
          <w:p>
            <w:r>
              <w:rPr>
                <w:sz w:val="20"/>
              </w:rPr>
              <w:t>P/E (forward)</w:t>
            </w:r>
          </w:p>
        </w:tc>
        <w:tc>
          <w:tcPr>
            <w:tcW w:type="dxa" w:w="4320"/>
          </w:tcPr>
          <w:p>
            <w:r>
              <w:rPr>
                <w:sz w:val="20"/>
              </w:rPr>
              <w:t>24.30</w:t>
            </w:r>
          </w:p>
        </w:tc>
      </w:tr>
      <w:tr>
        <w:tc>
          <w:tcPr>
            <w:tcW w:type="dxa" w:w="4320"/>
          </w:tcPr>
          <w:p>
            <w:r>
              <w:rPr>
                <w:sz w:val="20"/>
              </w:rPr>
              <w:t>Price / Book</w:t>
            </w:r>
          </w:p>
        </w:tc>
        <w:tc>
          <w:tcPr>
            <w:tcW w:type="dxa" w:w="4320"/>
          </w:tcPr>
          <w:p>
            <w:r>
              <w:rPr>
                <w:sz w:val="20"/>
              </w:rPr>
              <w:t>8.95</w:t>
            </w:r>
          </w:p>
        </w:tc>
      </w:tr>
      <w:tr>
        <w:tc>
          <w:tcPr>
            <w:tcW w:type="dxa" w:w="4320"/>
          </w:tcPr>
          <w:p>
            <w:r>
              <w:rPr>
                <w:sz w:val="20"/>
              </w:rPr>
              <w:t>Market cap</w:t>
            </w:r>
          </w:p>
        </w:tc>
        <w:tc>
          <w:tcPr>
            <w:tcW w:type="dxa" w:w="4320"/>
          </w:tcPr>
          <w:p>
            <w:r>
              <w:rPr>
                <w:sz w:val="20"/>
              </w:rPr>
              <w:t>$4.32T</w:t>
            </w:r>
          </w:p>
        </w:tc>
      </w:tr>
      <w:tr>
        <w:tc>
          <w:tcPr>
            <w:tcW w:type="dxa" w:w="4320"/>
          </w:tcPr>
          <w:p>
            <w:r>
              <w:rPr>
                <w:sz w:val="20"/>
              </w:rPr>
              <w:t>Profit margin</w:t>
            </w:r>
          </w:p>
        </w:tc>
        <w:tc>
          <w:tcPr>
            <w:tcW w:type="dxa" w:w="4320"/>
          </w:tcPr>
          <w:p>
            <w:r>
              <w:rPr>
                <w:sz w:val="20"/>
              </w:rPr>
              <w:t>37.9%</w:t>
            </w:r>
          </w:p>
        </w:tc>
      </w:tr>
      <w:tr>
        <w:tc>
          <w:tcPr>
            <w:tcW w:type="dxa" w:w="4320"/>
          </w:tcPr>
          <w:p>
            <w:r>
              <w:rPr>
                <w:sz w:val="20"/>
              </w:rPr>
              <w:t>Gross margin</w:t>
            </w:r>
          </w:p>
        </w:tc>
        <w:tc>
          <w:tcPr>
            <w:tcW w:type="dxa" w:w="4320"/>
          </w:tcPr>
          <w:p>
            <w:r>
              <w:rPr>
                <w:sz w:val="20"/>
              </w:rPr>
              <w:t>60.4%</w:t>
            </w:r>
          </w:p>
        </w:tc>
      </w:tr>
      <w:tr>
        <w:tc>
          <w:tcPr>
            <w:tcW w:type="dxa" w:w="4320"/>
          </w:tcPr>
          <w:p>
            <w:r>
              <w:rPr>
                <w:sz w:val="20"/>
              </w:rPr>
              <w:t>Operating margin</w:t>
            </w:r>
          </w:p>
        </w:tc>
        <w:tc>
          <w:tcPr>
            <w:tcW w:type="dxa" w:w="4320"/>
          </w:tcPr>
          <w:p>
            <w:r>
              <w:rPr>
                <w:sz w:val="20"/>
              </w:rPr>
              <w:t>36.1%</w:t>
            </w:r>
          </w:p>
        </w:tc>
      </w:tr>
      <w:tr>
        <w:tc>
          <w:tcPr>
            <w:tcW w:type="dxa" w:w="4320"/>
          </w:tcPr>
          <w:p>
            <w:r>
              <w:rPr>
                <w:sz w:val="20"/>
              </w:rPr>
              <w:t>Return on equity</w:t>
            </w:r>
          </w:p>
        </w:tc>
        <w:tc>
          <w:tcPr>
            <w:tcW w:type="dxa" w:w="4320"/>
          </w:tcPr>
          <w:p>
            <w:r>
              <w:rPr>
                <w:sz w:val="20"/>
              </w:rPr>
              <w:t>38.9%</w:t>
            </w:r>
          </w:p>
        </w:tc>
      </w:tr>
      <w:tr>
        <w:tc>
          <w:tcPr>
            <w:tcW w:type="dxa" w:w="4320"/>
          </w:tcPr>
          <w:p>
            <w:r>
              <w:rPr>
                <w:sz w:val="20"/>
              </w:rPr>
              <w:t>Return on assets</w:t>
            </w:r>
          </w:p>
        </w:tc>
        <w:tc>
          <w:tcPr>
            <w:tcW w:type="dxa" w:w="4320"/>
          </w:tcPr>
          <w:p>
            <w:r>
              <w:rPr>
                <w:sz w:val="20"/>
              </w:rPr>
              <w:t>14.6%</w:t>
            </w:r>
          </w:p>
        </w:tc>
      </w:tr>
      <w:tr>
        <w:tc>
          <w:tcPr>
            <w:tcW w:type="dxa" w:w="4320"/>
          </w:tcPr>
          <w:p>
            <w:r>
              <w:rPr>
                <w:sz w:val="20"/>
              </w:rPr>
              <w:t>Debt / Equity</w:t>
            </w:r>
          </w:p>
        </w:tc>
        <w:tc>
          <w:tcPr>
            <w:tcW w:type="dxa" w:w="4320"/>
          </w:tcPr>
          <w:p>
            <w:r>
              <w:rPr>
                <w:sz w:val="20"/>
              </w:rPr>
              <w:t>0.20</w:t>
            </w:r>
          </w:p>
        </w:tc>
      </w:tr>
      <w:tr>
        <w:tc>
          <w:tcPr>
            <w:tcW w:type="dxa" w:w="4320"/>
          </w:tcPr>
          <w:p>
            <w:r>
              <w:rPr>
                <w:sz w:val="20"/>
              </w:rPr>
              <w:t>Current ratio</w:t>
            </w:r>
          </w:p>
        </w:tc>
        <w:tc>
          <w:tcPr>
            <w:tcW w:type="dxa" w:w="4320"/>
          </w:tcPr>
          <w:p>
            <w:r>
              <w:rPr>
                <w:sz w:val="20"/>
              </w:rPr>
              <w:t>1.92</w:t>
            </w:r>
          </w:p>
        </w:tc>
      </w:tr>
      <w:tr>
        <w:tc>
          <w:tcPr>
            <w:tcW w:type="dxa" w:w="4320"/>
          </w:tcPr>
          <w:p>
            <w:r>
              <w:rPr>
                <w:sz w:val="20"/>
              </w:rPr>
              <w:t>Revenue growth (YoY)</w:t>
            </w:r>
          </w:p>
        </w:tc>
        <w:tc>
          <w:tcPr>
            <w:tcW w:type="dxa" w:w="4320"/>
          </w:tcPr>
          <w:p>
            <w:r>
              <w:rPr>
                <w:sz w:val="20"/>
              </w:rPr>
              <w:t>21.8%</w:t>
            </w:r>
          </w:p>
        </w:tc>
      </w:tr>
      <w:tr>
        <w:tc>
          <w:tcPr>
            <w:tcW w:type="dxa" w:w="4320"/>
          </w:tcPr>
          <w:p>
            <w:r>
              <w:rPr>
                <w:sz w:val="20"/>
              </w:rPr>
              <w:t>Earnings growth (YoY)</w:t>
            </w:r>
          </w:p>
        </w:tc>
        <w:tc>
          <w:tcPr>
            <w:tcW w:type="dxa" w:w="4320"/>
          </w:tcPr>
          <w:p>
            <w:r>
              <w:rPr>
                <w:sz w:val="20"/>
              </w:rPr>
              <w:t>82.0%</w:t>
            </w:r>
          </w:p>
        </w:tc>
      </w:tr>
      <w:tr>
        <w:tc>
          <w:tcPr>
            <w:tcW w:type="dxa" w:w="4320"/>
          </w:tcPr>
          <w:p>
            <w:r>
              <w:rPr>
                <w:sz w:val="20"/>
              </w:rPr>
              <w:t>Free cash flow</w:t>
            </w:r>
          </w:p>
        </w:tc>
        <w:tc>
          <w:tcPr>
            <w:tcW w:type="dxa" w:w="4320"/>
          </w:tcPr>
          <w:p>
            <w:r>
              <w:rPr>
                <w:sz w:val="20"/>
              </w:rPr>
              <w:t>$27.92B</w:t>
            </w:r>
          </w:p>
        </w:tc>
      </w:tr>
      <w:tr>
        <w:tc>
          <w:tcPr>
            <w:tcW w:type="dxa" w:w="4320"/>
          </w:tcPr>
          <w:p>
            <w:r>
              <w:rPr>
                <w:sz w:val="20"/>
              </w:rPr>
              <w:t>Cash on balance sheet</w:t>
            </w:r>
          </w:p>
        </w:tc>
        <w:tc>
          <w:tcPr>
            <w:tcW w:type="dxa" w:w="4320"/>
          </w:tcPr>
          <w:p>
            <w:r>
              <w:rPr>
                <w:sz w:val="20"/>
              </w:rPr>
              <w:t>$126.84B</w:t>
            </w:r>
          </w:p>
        </w:tc>
      </w:tr>
      <w:tr>
        <w:tc>
          <w:tcPr>
            <w:tcW w:type="dxa" w:w="4320"/>
          </w:tcPr>
          <w:p>
            <w:r>
              <w:rPr>
                <w:sz w:val="20"/>
              </w:rPr>
              <w:t>Total debt</w:t>
            </w:r>
          </w:p>
        </w:tc>
        <w:tc>
          <w:tcPr>
            <w:tcW w:type="dxa" w:w="4320"/>
          </w:tcPr>
          <w:p>
            <w:r>
              <w:rPr>
                <w:sz w:val="20"/>
              </w:rPr>
              <w:t>$95.88B</w:t>
            </w:r>
          </w:p>
        </w:tc>
      </w:tr>
      <w:tr>
        <w:tc>
          <w:tcPr>
            <w:tcW w:type="dxa" w:w="4320"/>
          </w:tcPr>
          <w:p>
            <w:r>
              <w:rPr>
                <w:sz w:val="20"/>
              </w:rPr>
              <w:t>Dividend yield</w:t>
            </w:r>
          </w:p>
        </w:tc>
        <w:tc>
          <w:tcPr>
            <w:tcW w:type="dxa" w:w="4320"/>
          </w:tcPr>
          <w:p>
            <w:r>
              <w:rPr>
                <w:sz w:val="20"/>
              </w:rPr>
              <w:t>25.00%</w:t>
            </w:r>
          </w:p>
        </w:tc>
      </w:tr>
      <w:tr>
        <w:tc>
          <w:tcPr>
            <w:tcW w:type="dxa" w:w="4320"/>
          </w:tcPr>
          <w:p>
            <w:r>
              <w:rPr>
                <w:sz w:val="20"/>
              </w:rPr>
              <w:t>Dividend payout ratio</w:t>
            </w:r>
          </w:p>
        </w:tc>
        <w:tc>
          <w:tcPr>
            <w:tcW w:type="dxa" w:w="4320"/>
          </w:tcPr>
          <w:p>
            <w:r>
              <w:rPr>
                <w:sz w:val="20"/>
              </w:rPr>
              <w:t>6.4%</w:t>
            </w:r>
          </w:p>
        </w:tc>
      </w:tr>
      <w:tr>
        <w:tc>
          <w:tcPr>
            <w:tcW w:type="dxa" w:w="4320"/>
          </w:tcPr>
          <w:p>
            <w:r>
              <w:rPr>
                <w:sz w:val="20"/>
              </w:rPr>
              <w:t>Beta (vs market)</w:t>
            </w:r>
          </w:p>
        </w:tc>
        <w:tc>
          <w:tcPr>
            <w:tcW w:type="dxa" w:w="4320"/>
          </w:tcPr>
          <w:p>
            <w:r>
              <w:rPr>
                <w:sz w:val="20"/>
              </w:rPr>
              <w:t>1.24</w:t>
            </w:r>
          </w:p>
        </w:tc>
      </w:tr>
      <w:tr>
        <w:tc>
          <w:tcPr>
            <w:tcW w:type="dxa" w:w="4320"/>
          </w:tcPr>
          <w:p>
            <w:r>
              <w:rPr>
                <w:sz w:val="20"/>
              </w:rPr>
              <w:t>52-week high</w:t>
            </w:r>
          </w:p>
        </w:tc>
        <w:tc>
          <w:tcPr>
            <w:tcW w:type="dxa" w:w="4320"/>
          </w:tcPr>
          <w:p>
            <w:r>
              <w:rPr>
                <w:sz w:val="20"/>
              </w:rPr>
              <w:t>$408.61</w:t>
            </w:r>
          </w:p>
        </w:tc>
      </w:tr>
      <w:tr>
        <w:tc>
          <w:tcPr>
            <w:tcW w:type="dxa" w:w="4320"/>
          </w:tcPr>
          <w:p>
            <w:r>
              <w:rPr>
                <w:sz w:val="20"/>
              </w:rPr>
              <w:t>52-week low</w:t>
            </w:r>
          </w:p>
        </w:tc>
        <w:tc>
          <w:tcPr>
            <w:tcW w:type="dxa" w:w="4320"/>
          </w:tcPr>
          <w:p>
            <w:r>
              <w:rPr>
                <w:sz w:val="20"/>
              </w:rPr>
              <w:t>$172.77</w:t>
            </w:r>
          </w:p>
        </w:tc>
      </w:tr>
      <w:tr>
        <w:tc>
          <w:tcPr>
            <w:tcW w:type="dxa" w:w="4320"/>
          </w:tcPr>
          <w:p>
            <w:r>
              <w:rPr>
                <w:sz w:val="20"/>
              </w:rPr>
              <w:t>Analyst median target</w:t>
            </w:r>
          </w:p>
        </w:tc>
        <w:tc>
          <w:tcPr>
            <w:tcW w:type="dxa" w:w="4320"/>
          </w:tcPr>
          <w:p>
            <w:r>
              <w:rPr>
                <w:sz w:val="20"/>
              </w:rPr>
              <w:t>$432.83</w:t>
            </w:r>
          </w:p>
        </w:tc>
      </w:tr>
      <w:tr>
        <w:tc>
          <w:tcPr>
            <w:tcW w:type="dxa" w:w="4320"/>
          </w:tcPr>
          <w:p>
            <w:r>
              <w:rPr>
                <w:sz w:val="20"/>
              </w:rPr>
              <w:t>Analyst consensus (1=Strong Buy, 5=Sell)</w:t>
            </w:r>
          </w:p>
        </w:tc>
        <w:tc>
          <w:tcPr>
            <w:tcW w:type="dxa" w:w="4320"/>
          </w:tcPr>
          <w:p>
            <w:r>
              <w:rPr>
                <w:sz w:val="20"/>
              </w:rPr>
              <w:t>1.44</w:t>
            </w:r>
          </w:p>
        </w:tc>
      </w:tr>
      <w:tr>
        <w:tc>
          <w:tcPr>
            <w:tcW w:type="dxa" w:w="4320"/>
          </w:tcPr>
          <w:p>
            <w:r>
              <w:rPr>
                <w:sz w:val="20"/>
              </w:rPr>
              <w:t>Analyst count</w:t>
            </w:r>
          </w:p>
        </w:tc>
        <w:tc>
          <w:tcPr>
            <w:tcW w:type="dxa" w:w="4320"/>
          </w:tcPr>
          <w:p>
            <w:r>
              <w:rPr>
                <w:sz w:val="20"/>
              </w:rPr>
              <w:t>53</w:t>
            </w:r>
          </w:p>
        </w:tc>
      </w:tr>
      <w:tr>
        <w:tc>
          <w:tcPr>
            <w:tcW w:type="dxa" w:w="4320"/>
          </w:tcPr>
          <w:p>
            <w:r>
              <w:rPr>
                <w:sz w:val="20"/>
              </w:rPr>
              <w:t>Margin of safety (vs median target)</w:t>
            </w:r>
          </w:p>
        </w:tc>
        <w:tc>
          <w:tcPr>
            <w:tcW w:type="dxa" w:w="4320"/>
          </w:tcPr>
          <w:p>
            <w:r>
              <w:rPr>
                <w:sz w:val="20"/>
              </w:rPr>
              <w:t>+18.3%  (price $353.65 vs target $432.83)</w:t>
            </w:r>
          </w:p>
        </w:tc>
      </w:tr>
      <w:tr>
        <w:tc>
          <w:tcPr>
            <w:tcW w:type="dxa" w:w="4320"/>
          </w:tcPr>
          <w:p>
            <w:r>
              <w:rPr>
                <w:sz w:val="20"/>
              </w:rPr>
              <w:t>Data source</w:t>
            </w:r>
          </w:p>
        </w:tc>
        <w:tc>
          <w:tcPr>
            <w:tcW w:type="dxa" w:w="4320"/>
          </w:tcPr>
          <w:p>
            <w:r>
              <w:rPr>
                <w:sz w:val="20"/>
              </w:rPr>
              <w:t>Yahoo Finance · pulled 2026-06-30 10:04</w:t>
            </w:r>
          </w:p>
        </w:tc>
      </w:tr>
    </w:tbl>
    <w:p>
      <w:pPr>
        <w:spacing w:before="280" w:after="120"/>
      </w:pPr>
      <w:r>
        <w:rPr>
          <w:b/>
          <w:color w:val="2563EB"/>
          <w:sz w:val="28"/>
        </w:rPr>
        <w:t>My Verdict</w:t>
      </w:r>
    </w:p>
    <w:p>
      <w:pPr>
        <w:spacing w:after="160"/>
      </w:pPr>
      <w:r>
        <w:rPr>
          <w:i w:val="0"/>
          <w:sz w:val="22"/>
        </w:rPr>
        <w:t>Alphabet isn’t just a company; it’s the map of human curiosity.</w:t>
      </w:r>
    </w:p>
    <w:p>
      <w:pPr>
        <w:spacing w:after="160"/>
      </w:pPr>
      <w:r>
        <w:rPr>
          <w:i w:val="0"/>
          <w:sz w:val="22"/>
        </w:rPr>
        <w:t>From the way we learn, to the way we shop, to the way we entertain ourselves, Google has woven itself into the very fabric of daily life. And with its unmatched resources and audacious bets on the future, it looks set to remain indispensable for generations. However, no company is immune to potential shifts that could challenge its stronghold.</w:t>
      </w:r>
    </w:p>
    <w:p>
      <w:pPr>
        <w:spacing w:after="160"/>
      </w:pPr>
      <w:r>
        <w:rPr>
          <w:i w:val="0"/>
          <w:sz w:val="22"/>
        </w:rPr>
        <w:t>A major shift in consumer behaviour, perhaps driven by an unexpected technological breakthrough or changes in privacy expectations, could alter the landscape. Competitors could potentially capitalise on such shifts by offering novel solutions that reframe consumer engagement. That’s why Alphabet earns its firm place in my 100-Year Survivor List.</w:t>
      </w:r>
    </w:p>
    <w:p>
      <w:pPr>
        <w:spacing w:after="160"/>
      </w:pPr>
      <w:r>
        <w:rPr>
          <w:i w:val="0"/>
          <w:sz w:val="22"/>
        </w:rPr>
        <w:t>In conclusion, Apple makes life beautiful. Microsoft makes life functional. Google makes life searchable.</w:t>
      </w:r>
    </w:p>
    <w:p>
      <w:pPr>
        <w:spacing w:after="160"/>
      </w:pPr>
      <w:r>
        <w:rPr>
          <w:i w:val="0"/>
          <w:sz w:val="22"/>
        </w:rPr>
        <w:t>So my question is: If one company already knows what you’ll Google tomorrow, does it make sense to bet against it surviving the next century?</w:t>
      </w:r>
    </w:p>
    <w:p>
      <w:pPr>
        <w:spacing w:after="160"/>
      </w:pPr>
      <w:r>
        <w:rPr>
          <w:i w:val="0"/>
          <w:sz w:val="22"/>
        </w:rPr>
        <w:t>Thank you for reading. If this sparked a new perspective, share your thoughts in the comments. I would love to hear your take. And pass this along to someone else; wealth grows faster when we grow together. As we continue to integrate technology into our daily lives and business practices, how do you see Alphabet influencing the landscape of your industry or your personal digital habits?</w:t>
      </w:r>
    </w:p>
    <w:p>
      <w:pPr>
        <w:spacing w:before="280" w:after="120"/>
      </w:pPr>
      <w:r>
        <w:rPr>
          <w:b/>
          <w:color w:val="2563EB"/>
          <w:sz w:val="28"/>
        </w:rPr>
        <w:t>Closing Reflection</w:t>
      </w:r>
    </w:p>
    <w:p>
      <w:r>
        <w:rPr>
          <w:i/>
          <w:sz w:val="24"/>
        </w:rPr>
        <w:t>A question for you: Will Alphabet (Google) still command this kind of authority in 2125?</w:t>
      </w:r>
    </w:p>
    <w:p/>
    <w:p>
      <w:r>
        <w:rPr>
          <w:i/>
          <w:color w:val="6B7280"/>
          <w:sz w:val="18"/>
        </w:rPr>
        <w:t>Not financial advice — for educational purposes only.</w:t>
      </w:r>
    </w:p>
    <w:p>
      <w:r>
        <w:rPr>
          <w:i/>
          <w:color w:val="6B7280"/>
          <w:sz w:val="18"/>
        </w:rPr>
        <w:t>Source note: The Seed Finance Substack — https://theseedfinance.substack.com/p/the-100-year-survival-test-series-a96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