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13/18</w:t>
      </w:r>
    </w:p>
    <w:p>
      <w:pPr>
        <w:spacing w:after="160"/>
      </w:pPr>
      <w:r>
        <w:rPr>
          <w:b/>
          <w:sz w:val="40"/>
        </w:rPr>
        <w:t>Eli Lilly &amp; Co (LLY) — The 150-Year-Old Company Rewriting the Future of Medicine</w:t>
      </w:r>
    </w:p>
    <w:p>
      <w:pPr>
        <w:spacing w:after="160"/>
      </w:pPr>
      <w:r>
        <w:rPr>
          <w:i/>
          <w:sz w:val="24"/>
        </w:rPr>
        <w:t>In 1876 — the same year Alexander Graham Bell filed the patent for the telephone — a 38-year-old Civil War veteran and pharmacist named Colonel Eli Lilly opened a small laboratory in Indianapolis, Indiana. He was frustrated by the poor quality of the medicines being sold in America, and he had a simple ambition: to make good ones. Nearly a century and a half later, the company that still bears his name is one of the most valuable pharmaceutical businesses on Earth, and it is currently rewriting the treatment of two of the most consequential diseases of the modern age — obesity and Alzheimer's.</w:t>
        <w:br/>
        <w:t>Now move from the semiconductor bottleneck to a company whose competitive advantage cannot be built in a fab, cannot be shipped by a Boeing 747, and cannot be replicated by any amount of capital deployed quickly: Eli Lilly &amp; Co (LLY).</w:t>
        <w:br/>
        <w:t>Apple built the smartphone era. Microsoft built the office age. NVIDIA powers the AI era. AMD builds the silicon spine. ASML enables all of them. Eli Lilly builds something even more fundamental — the molecules that keep human beings alive. And it has been doing so, continuously and successfully, since Ulysses S. Grant was president of the United States.</w:t>
        <w:br/>
        <w:t>Each era of progress needs a durable business. Ford defined a century of transport. Coca-Cola defined a century of consumer branding. Eli Lilly is quietly defining a century of biology — and the second half of that century is only just beginning.</w:t>
      </w:r>
    </w:p>
    <w:p>
      <w:pPr>
        <w:spacing w:before="280" w:after="120"/>
      </w:pPr>
      <w:r>
        <w:rPr>
          <w:b/>
          <w:color w:val="2563EB"/>
          <w:sz w:val="28"/>
        </w:rPr>
        <w:t>Moat</w:t>
      </w:r>
    </w:p>
    <w:p>
      <w:pPr>
        <w:spacing w:after="160"/>
      </w:pPr>
      <w:r>
        <w:rPr>
          <w:i w:val="0"/>
          <w:sz w:val="22"/>
        </w:rPr>
        <w:t>Eli Lilly's moat isn't a monopoly like ASML's. It's something rarer in the modern economy — a compounded advantage built over 150 years of continuous operation in one of the most heavily regulated and scientifically demanding industries on Earth.</w:t>
        <w:br/>
        <w:t>• A pipeline nobody else can replicate: Discovering, testing and gaining regulatory approval for a new medicine takes roughly a decade and often more than $2 billion in R&amp;D per successful drug. Lilly is running dozens of parallel programmes at any given moment. That kind of pipeline can only be built by a company that has been doing this for a very long time.</w:t>
        <w:br/>
        <w:t>• Manufacturing at biological scale: Making GLP-1 medicines like Mounjaro and Zepbound at the scale the world now demands is genuinely difficult. It requires cell culture facilities, filling capacity, cold-chain distribution and skilled operators in numbers most companies simply do not have. Lilly is spending tens of billions of dollars building new plants across the US, Europe and Asia — and even so, demand has outrun supply.</w:t>
        <w:br/>
        <w:t>• The insulin franchise, built over a century: Lilly was the first commercial producer of insulin in 1923, in partnership with the University of Toronto team that discovered it. A hundred years later Humalog, Humulin and their successors are still core products used by millions of patients daily. Very few companies can point to a franchise that has served the same medical need for a hundred consecutive years.</w:t>
        <w:br/>
        <w:t>• Patent protection layered with brand trust: Prescription medicines enjoy regulatory patent protection during their commercial lives, and Lilly's drugs are prescribed under brand names doctors have trusted for decades. Even when patents expire, physician familiarity keeps branded products in play for years longer than the patent cliff alone would suggest.</w:t>
        <w:br/>
        <w:t>• An Alzheimer's franchise nobody else has: The 2024 US approval of Kisunla (donanemab) for early Alzheimer's disease positions Lilly as one of very few companies with an approved disease-modifying treatment for the largest unaddressed neurological problem of the coming century.</w:t>
        <w:br/>
        <w:t>This is not a moat that can be dug in one product cycle. It is 150 years of institutional scientific memory, regulatory relationships, and manufacturing infrastructure — compounded.</w:t>
      </w:r>
    </w:p>
    <w:p>
      <w:pPr>
        <w:spacing w:before="280" w:after="120"/>
      </w:pPr>
      <w:r>
        <w:rPr>
          <w:b/>
          <w:color w:val="2563EB"/>
          <w:sz w:val="28"/>
        </w:rPr>
        <w:t>Financial Strength</w:t>
      </w:r>
    </w:p>
    <w:p>
      <w:pPr>
        <w:spacing w:after="160"/>
      </w:pPr>
      <w:r>
        <w:rPr>
          <w:i w:val="0"/>
          <w:sz w:val="22"/>
        </w:rPr>
        <w:t>The numbers reflect what happens when a business runs the same discipline for a very long time.</w:t>
        <w:br/>
        <w:t>• Revenue: Tens of billions of dollars annually, with the GLP-1 franchise driving one of the fastest growth accelerations any large pharma company has seen in decades.</w:t>
        <w:br/>
        <w:t>• Gross margins: Consistently among the highest in the pharmaceutical industry — because when your product is a specific molecule protected by patent and prescribed by a doctor, price competition works very differently from most industries.</w:t>
        <w:br/>
        <w:t>• Free cash flow: Substantial and rising, funding one of the largest capital-expenditure programmes in the sector as Lilly races to build GLP-1 manufacturing capacity.</w:t>
        <w:br/>
        <w:t>• Balance sheet: Strong enough to sustain heavy investment and a growing dividend simultaneously.</w:t>
        <w:br/>
        <w:t>• The dividend record: Eli Lilly has paid a dividend continuously since 1885 — that is more than 140 consecutive years of returning cash to shareholders. Very few companies anywhere have matched that record. Governments have collapsed and reformed multiple times over that span; Eli Lilly has kept sending its owners a cheque.</w:t>
        <w:br/>
        <w:t>This is the financial profile of a business that treats the shareholder relationship as a multi-generational commitment.</w:t>
      </w:r>
    </w:p>
    <w:p>
      <w:pPr>
        <w:spacing w:before="280" w:after="120"/>
      </w:pPr>
      <w:r>
        <w:rPr>
          <w:b/>
          <w:color w:val="2563EB"/>
          <w:sz w:val="28"/>
        </w:rPr>
        <w:t>Valuation Reality Check</w:t>
      </w:r>
    </w:p>
    <w:p>
      <w:pPr>
        <w:spacing w:after="160"/>
      </w:pPr>
      <w:r>
        <w:rPr>
          <w:i w:val="0"/>
          <w:sz w:val="22"/>
        </w:rPr>
        <w:t>Greatness has a price, and Lilly's price reflects the market's belief that the GLP-1 story has years — probably decades — of growth left. The P/E ratio sits well above the broader pharmaceutical industry average, and the stock has re-rated dramatically since Mounjaro was approved for type 2 diabetes in 2022.</w:t>
        <w:br/>
        <w:t>This doesn't necessarily make Lilly expensive. It makes Lilly priced for a successful GLP-1 build-out and for the follow-on programmes — oral GLP-1s, triple-agonist molecules, next-generation weight-loss and cardiometabolic treatments — that Lilly's pipeline points to.</w:t>
        <w:br/>
        <w:t>The honest question isn't "is Lilly's multiple high?" but "how large will the addressable market for metabolic medicine turn out to be, and how much of it will Lilly capture versus Novo Nordisk, versus new entrants, and versus future biosimilar competition?" Reasonable people can disagree, and the stock can move sharply around clinical trial data and manufacturing updates. This is a long-duration position best held with conviction, not traded on quarterly noise.</w:t>
      </w:r>
    </w:p>
    <w:p>
      <w:pPr>
        <w:spacing w:before="280" w:after="120"/>
      </w:pPr>
      <w:r>
        <w:rPr>
          <w:b/>
          <w:color w:val="2563EB"/>
          <w:sz w:val="28"/>
        </w:rPr>
        <w:t>Innovation</w:t>
      </w:r>
    </w:p>
    <w:p>
      <w:pPr>
        <w:spacing w:after="160"/>
      </w:pPr>
      <w:r>
        <w:rPr>
          <w:i w:val="0"/>
          <w:sz w:val="22"/>
        </w:rPr>
        <w:t>Eli Lilly does not innovate in product refreshes. It innovates in biology.</w:t>
        <w:br/>
        <w:t>Consider the GLP-1 story. In the 1990s, scientists began investigating glucagon-like peptide-1 — a naturally occurring gut hormone — as a potential treatment for type 2 diabetes. Twenty years of research and clinical trials followed. In 2014, Lilly launched Trulicity, a once-weekly GLP-1 injection that became a franchise blockbuster in its own right. Then Lilly's scientists went further, engineering a molecule that activates two hormone pathways simultaneously — GLP-1 and GIP — and produced tirzepatide. The FDA approved it for type 2 diabetes as Mounjaro in 2022 and for chronic weight management as Zepbound in 2023. In its first full year on the obesity market, Zepbound became the fastest-launching pharmaceutical product in the industry's history.</w:t>
        <w:br/>
        <w:t>That thirty-year arc — from academic hormone research to the most significant metabolic drug launch of the last generation — is the kind of innovation only a very old, very well-capitalised, very patient organisation can pull off. It is not the innovation of Silicon Valley. It is the innovation of biology, and biology moves on longer timescales.</w:t>
        <w:br/>
        <w:t>And the pipeline behind Zepbound is already deep: retatrutide, an investigational triple-agonist that adds glucagon receptor activity to GLP-1 and GIP, is in late-stage clinical trials. Orforglipron, a small- molecule oral GLP-1 that would not require refrigeration or an injection, is in development. Kisunla, the 2024-approved Alzheimer's treatment, opens a therapy area that will only grow as populations age. Eli Lilly is not running one bet — it is running dozens, each independently capable of becoming a franchise business.</w:t>
      </w:r>
    </w:p>
    <w:p>
      <w:pPr>
        <w:spacing w:before="280" w:after="120"/>
      </w:pPr>
      <w:r>
        <w:rPr>
          <w:b/>
          <w:color w:val="2563EB"/>
          <w:sz w:val="28"/>
        </w:rPr>
        <w:t>The Next 100 Years</w:t>
      </w:r>
    </w:p>
    <w:p>
      <w:pPr>
        <w:spacing w:after="160"/>
      </w:pPr>
      <w:r>
        <w:rPr>
          <w:i w:val="0"/>
          <w:sz w:val="22"/>
        </w:rPr>
        <w:t>Why does Eli Lilly belong in the Century Club?</w:t>
        <w:br/>
        <w:t>• It has already proven it can survive a century — twice. Founded 1876, publicly traded since 1952, paying dividends without interruption since 1885. This is not a hypothesis about long-duration business survival; it is a demonstrated one.</w:t>
        <w:br/>
        <w:t>• It sells something the human race is going to keep needing: medicines. Every generation ages, gets sick and looks for treatments. The addressable market for medicine only grows as populations age and as medical science expands what is treatable.</w:t>
        <w:br/>
        <w:t>• It has the institutional discipline to innovate in decade-long arcs: Very few organisations can sustain a research programme for thirty years before harvesting the reward. Lilly can.</w:t>
        <w:br/>
        <w:t>The risks are real, and worth naming honestly.</w:t>
        <w:br/>
        <w:t>• The patent cliff: All branded medicines eventually go generic. Tirzepatide will eventually face biosimilar competition. Lilly's future depends on what it launches next.</w:t>
        <w:br/>
        <w:t>• Novo Nordisk competition: In GLP-1s specifically, Lilly's chief rival is a similarly disciplined, similarly patient Danish company that discovered its own blockbuster in Ozempic and Wegovy. This will be one of the great pharmaceutical rivalries of our lifetimes.</w:t>
        <w:br/>
        <w:t>• Regulatory and pricing pressure: Governments increasingly want to negotiate down drug prices, and any policy shift in the US, EU or China could compress margins across the industry.</w:t>
        <w:br/>
        <w:t>Even so, if you believe — and I do — that the next century needs more medicine, better medicine, and medicine that treats problems previous generations could not touch, then it is very difficult to write Eli Lilly out of the story.</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42.55</w:t>
            </w:r>
          </w:p>
        </w:tc>
      </w:tr>
      <w:tr>
        <w:tc>
          <w:tcPr>
            <w:tcW w:type="dxa" w:w="4320"/>
          </w:tcPr>
          <w:p>
            <w:r>
              <w:rPr>
                <w:sz w:val="20"/>
              </w:rPr>
              <w:t>P/E (forward)</w:t>
            </w:r>
          </w:p>
        </w:tc>
        <w:tc>
          <w:tcPr>
            <w:tcW w:type="dxa" w:w="4320"/>
          </w:tcPr>
          <w:p>
            <w:r>
              <w:rPr>
                <w:sz w:val="20"/>
              </w:rPr>
              <w:t>26.97</w:t>
            </w:r>
          </w:p>
        </w:tc>
      </w:tr>
      <w:tr>
        <w:tc>
          <w:tcPr>
            <w:tcW w:type="dxa" w:w="4320"/>
          </w:tcPr>
          <w:p>
            <w:r>
              <w:rPr>
                <w:sz w:val="20"/>
              </w:rPr>
              <w:t>Price / Book</w:t>
            </w:r>
          </w:p>
        </w:tc>
        <w:tc>
          <w:tcPr>
            <w:tcW w:type="dxa" w:w="4320"/>
          </w:tcPr>
          <w:p>
            <w:r>
              <w:rPr>
                <w:sz w:val="20"/>
              </w:rPr>
              <w:t>34.35</w:t>
            </w:r>
          </w:p>
        </w:tc>
      </w:tr>
      <w:tr>
        <w:tc>
          <w:tcPr>
            <w:tcW w:type="dxa" w:w="4320"/>
          </w:tcPr>
          <w:p>
            <w:r>
              <w:rPr>
                <w:sz w:val="20"/>
              </w:rPr>
              <w:t>Market cap</w:t>
            </w:r>
          </w:p>
        </w:tc>
        <w:tc>
          <w:tcPr>
            <w:tcW w:type="dxa" w:w="4320"/>
          </w:tcPr>
          <w:p>
            <w:r>
              <w:rPr>
                <w:sz w:val="20"/>
              </w:rPr>
              <w:t>$1.07T</w:t>
            </w:r>
          </w:p>
        </w:tc>
      </w:tr>
      <w:tr>
        <w:tc>
          <w:tcPr>
            <w:tcW w:type="dxa" w:w="4320"/>
          </w:tcPr>
          <w:p>
            <w:r>
              <w:rPr>
                <w:sz w:val="20"/>
              </w:rPr>
              <w:t>Profit margin</w:t>
            </w:r>
          </w:p>
        </w:tc>
        <w:tc>
          <w:tcPr>
            <w:tcW w:type="dxa" w:w="4320"/>
          </w:tcPr>
          <w:p>
            <w:r>
              <w:rPr>
                <w:sz w:val="20"/>
              </w:rPr>
              <w:t>35.0%</w:t>
            </w:r>
          </w:p>
        </w:tc>
      </w:tr>
      <w:tr>
        <w:tc>
          <w:tcPr>
            <w:tcW w:type="dxa" w:w="4320"/>
          </w:tcPr>
          <w:p>
            <w:r>
              <w:rPr>
                <w:sz w:val="20"/>
              </w:rPr>
              <w:t>Gross margin</w:t>
            </w:r>
          </w:p>
        </w:tc>
        <w:tc>
          <w:tcPr>
            <w:tcW w:type="dxa" w:w="4320"/>
          </w:tcPr>
          <w:p>
            <w:r>
              <w:rPr>
                <w:sz w:val="20"/>
              </w:rPr>
              <w:t>82.8%</w:t>
            </w:r>
          </w:p>
        </w:tc>
      </w:tr>
      <w:tr>
        <w:tc>
          <w:tcPr>
            <w:tcW w:type="dxa" w:w="4320"/>
          </w:tcPr>
          <w:p>
            <w:r>
              <w:rPr>
                <w:sz w:val="20"/>
              </w:rPr>
              <w:t>Operating margin</w:t>
            </w:r>
          </w:p>
        </w:tc>
        <w:tc>
          <w:tcPr>
            <w:tcW w:type="dxa" w:w="4320"/>
          </w:tcPr>
          <w:p>
            <w:r>
              <w:rPr>
                <w:sz w:val="20"/>
              </w:rPr>
              <w:t>49.4%</w:t>
            </w:r>
          </w:p>
        </w:tc>
      </w:tr>
      <w:tr>
        <w:tc>
          <w:tcPr>
            <w:tcW w:type="dxa" w:w="4320"/>
          </w:tcPr>
          <w:p>
            <w:r>
              <w:rPr>
                <w:sz w:val="20"/>
              </w:rPr>
              <w:t>Return on equity</w:t>
            </w:r>
          </w:p>
        </w:tc>
        <w:tc>
          <w:tcPr>
            <w:tcW w:type="dxa" w:w="4320"/>
          </w:tcPr>
          <w:p>
            <w:r>
              <w:rPr>
                <w:sz w:val="20"/>
              </w:rPr>
              <w:t>107.5%</w:t>
            </w:r>
          </w:p>
        </w:tc>
      </w:tr>
      <w:tr>
        <w:tc>
          <w:tcPr>
            <w:tcW w:type="dxa" w:w="4320"/>
          </w:tcPr>
          <w:p>
            <w:r>
              <w:rPr>
                <w:sz w:val="20"/>
              </w:rPr>
              <w:t>Return on assets</w:t>
            </w:r>
          </w:p>
        </w:tc>
        <w:tc>
          <w:tcPr>
            <w:tcW w:type="dxa" w:w="4320"/>
          </w:tcPr>
          <w:p>
            <w:r>
              <w:rPr>
                <w:sz w:val="20"/>
              </w:rPr>
              <w:t>20.7%</w:t>
            </w:r>
          </w:p>
        </w:tc>
      </w:tr>
      <w:tr>
        <w:tc>
          <w:tcPr>
            <w:tcW w:type="dxa" w:w="4320"/>
          </w:tcPr>
          <w:p>
            <w:r>
              <w:rPr>
                <w:sz w:val="20"/>
              </w:rPr>
              <w:t>Debt / Equity</w:t>
            </w:r>
          </w:p>
        </w:tc>
        <w:tc>
          <w:tcPr>
            <w:tcW w:type="dxa" w:w="4320"/>
          </w:tcPr>
          <w:p>
            <w:r>
              <w:rPr>
                <w:sz w:val="20"/>
              </w:rPr>
              <w:t>1.39</w:t>
            </w:r>
          </w:p>
        </w:tc>
      </w:tr>
      <w:tr>
        <w:tc>
          <w:tcPr>
            <w:tcW w:type="dxa" w:w="4320"/>
          </w:tcPr>
          <w:p>
            <w:r>
              <w:rPr>
                <w:sz w:val="20"/>
              </w:rPr>
              <w:t>Current ratio</w:t>
            </w:r>
          </w:p>
        </w:tc>
        <w:tc>
          <w:tcPr>
            <w:tcW w:type="dxa" w:w="4320"/>
          </w:tcPr>
          <w:p>
            <w:r>
              <w:rPr>
                <w:sz w:val="20"/>
              </w:rPr>
              <w:t>1.50</w:t>
            </w:r>
          </w:p>
        </w:tc>
      </w:tr>
      <w:tr>
        <w:tc>
          <w:tcPr>
            <w:tcW w:type="dxa" w:w="4320"/>
          </w:tcPr>
          <w:p>
            <w:r>
              <w:rPr>
                <w:sz w:val="20"/>
              </w:rPr>
              <w:t>Revenue growth (YoY)</w:t>
            </w:r>
          </w:p>
        </w:tc>
        <w:tc>
          <w:tcPr>
            <w:tcW w:type="dxa" w:w="4320"/>
          </w:tcPr>
          <w:p>
            <w:r>
              <w:rPr>
                <w:sz w:val="20"/>
              </w:rPr>
              <w:t>55.5%</w:t>
            </w:r>
          </w:p>
        </w:tc>
      </w:tr>
      <w:tr>
        <w:tc>
          <w:tcPr>
            <w:tcW w:type="dxa" w:w="4320"/>
          </w:tcPr>
          <w:p>
            <w:r>
              <w:rPr>
                <w:sz w:val="20"/>
              </w:rPr>
              <w:t>Earnings growth (YoY)</w:t>
            </w:r>
          </w:p>
        </w:tc>
        <w:tc>
          <w:tcPr>
            <w:tcW w:type="dxa" w:w="4320"/>
          </w:tcPr>
          <w:p>
            <w:r>
              <w:rPr>
                <w:sz w:val="20"/>
              </w:rPr>
              <w:t>169.9%</w:t>
            </w:r>
          </w:p>
        </w:tc>
      </w:tr>
      <w:tr>
        <w:tc>
          <w:tcPr>
            <w:tcW w:type="dxa" w:w="4320"/>
          </w:tcPr>
          <w:p>
            <w:r>
              <w:rPr>
                <w:sz w:val="20"/>
              </w:rPr>
              <w:t>Free cash flow</w:t>
            </w:r>
          </w:p>
        </w:tc>
        <w:tc>
          <w:tcPr>
            <w:tcW w:type="dxa" w:w="4320"/>
          </w:tcPr>
          <w:p>
            <w:r>
              <w:rPr>
                <w:sz w:val="20"/>
              </w:rPr>
              <w:t>$9.16B</w:t>
            </w:r>
          </w:p>
        </w:tc>
      </w:tr>
      <w:tr>
        <w:tc>
          <w:tcPr>
            <w:tcW w:type="dxa" w:w="4320"/>
          </w:tcPr>
          <w:p>
            <w:r>
              <w:rPr>
                <w:sz w:val="20"/>
              </w:rPr>
              <w:t>Cash on balance sheet</w:t>
            </w:r>
          </w:p>
        </w:tc>
        <w:tc>
          <w:tcPr>
            <w:tcW w:type="dxa" w:w="4320"/>
          </w:tcPr>
          <w:p>
            <w:r>
              <w:rPr>
                <w:sz w:val="20"/>
              </w:rPr>
              <w:t>$5.28B</w:t>
            </w:r>
          </w:p>
        </w:tc>
      </w:tr>
      <w:tr>
        <w:tc>
          <w:tcPr>
            <w:tcW w:type="dxa" w:w="4320"/>
          </w:tcPr>
          <w:p>
            <w:r>
              <w:rPr>
                <w:sz w:val="20"/>
              </w:rPr>
              <w:t>Total debt</w:t>
            </w:r>
          </w:p>
        </w:tc>
        <w:tc>
          <w:tcPr>
            <w:tcW w:type="dxa" w:w="4320"/>
          </w:tcPr>
          <w:p>
            <w:r>
              <w:rPr>
                <w:sz w:val="20"/>
              </w:rPr>
              <w:t>$43.37B</w:t>
            </w:r>
          </w:p>
        </w:tc>
      </w:tr>
      <w:tr>
        <w:tc>
          <w:tcPr>
            <w:tcW w:type="dxa" w:w="4320"/>
          </w:tcPr>
          <w:p>
            <w:r>
              <w:rPr>
                <w:sz w:val="20"/>
              </w:rPr>
              <w:t>Dividend yield</w:t>
            </w:r>
          </w:p>
        </w:tc>
        <w:tc>
          <w:tcPr>
            <w:tcW w:type="dxa" w:w="4320"/>
          </w:tcPr>
          <w:p>
            <w:r>
              <w:rPr>
                <w:sz w:val="20"/>
              </w:rPr>
              <w:t>58.00%</w:t>
            </w:r>
          </w:p>
        </w:tc>
      </w:tr>
      <w:tr>
        <w:tc>
          <w:tcPr>
            <w:tcW w:type="dxa" w:w="4320"/>
          </w:tcPr>
          <w:p>
            <w:r>
              <w:rPr>
                <w:sz w:val="20"/>
              </w:rPr>
              <w:t>Dividend payout ratio</w:t>
            </w:r>
          </w:p>
        </w:tc>
        <w:tc>
          <w:tcPr>
            <w:tcW w:type="dxa" w:w="4320"/>
          </w:tcPr>
          <w:p>
            <w:r>
              <w:rPr>
                <w:sz w:val="20"/>
              </w:rPr>
              <w:t>22.1%</w:t>
            </w:r>
          </w:p>
        </w:tc>
      </w:tr>
      <w:tr>
        <w:tc>
          <w:tcPr>
            <w:tcW w:type="dxa" w:w="4320"/>
          </w:tcPr>
          <w:p>
            <w:r>
              <w:rPr>
                <w:sz w:val="20"/>
              </w:rPr>
              <w:t>Beta (vs market)</w:t>
            </w:r>
          </w:p>
        </w:tc>
        <w:tc>
          <w:tcPr>
            <w:tcW w:type="dxa" w:w="4320"/>
          </w:tcPr>
          <w:p>
            <w:r>
              <w:rPr>
                <w:sz w:val="20"/>
              </w:rPr>
              <w:t>0.52</w:t>
            </w:r>
          </w:p>
        </w:tc>
      </w:tr>
      <w:tr>
        <w:tc>
          <w:tcPr>
            <w:tcW w:type="dxa" w:w="4320"/>
          </w:tcPr>
          <w:p>
            <w:r>
              <w:rPr>
                <w:sz w:val="20"/>
              </w:rPr>
              <w:t>52-week high</w:t>
            </w:r>
          </w:p>
        </w:tc>
        <w:tc>
          <w:tcPr>
            <w:tcW w:type="dxa" w:w="4320"/>
          </w:tcPr>
          <w:p>
            <w:r>
              <w:rPr>
                <w:sz w:val="20"/>
              </w:rPr>
              <w:t>$1,238.00</w:t>
            </w:r>
          </w:p>
        </w:tc>
      </w:tr>
      <w:tr>
        <w:tc>
          <w:tcPr>
            <w:tcW w:type="dxa" w:w="4320"/>
          </w:tcPr>
          <w:p>
            <w:r>
              <w:rPr>
                <w:sz w:val="20"/>
              </w:rPr>
              <w:t>52-week low</w:t>
            </w:r>
          </w:p>
        </w:tc>
        <w:tc>
          <w:tcPr>
            <w:tcW w:type="dxa" w:w="4320"/>
          </w:tcPr>
          <w:p>
            <w:r>
              <w:rPr>
                <w:sz w:val="20"/>
              </w:rPr>
              <w:t>$623.78</w:t>
            </w:r>
          </w:p>
        </w:tc>
      </w:tr>
      <w:tr>
        <w:tc>
          <w:tcPr>
            <w:tcW w:type="dxa" w:w="4320"/>
          </w:tcPr>
          <w:p>
            <w:r>
              <w:rPr>
                <w:sz w:val="20"/>
              </w:rPr>
              <w:t>Analyst median target</w:t>
            </w:r>
          </w:p>
        </w:tc>
        <w:tc>
          <w:tcPr>
            <w:tcW w:type="dxa" w:w="4320"/>
          </w:tcPr>
          <w:p>
            <w:r>
              <w:rPr>
                <w:sz w:val="20"/>
              </w:rPr>
              <w:t>$1,222.62</w:t>
            </w:r>
          </w:p>
        </w:tc>
      </w:tr>
      <w:tr>
        <w:tc>
          <w:tcPr>
            <w:tcW w:type="dxa" w:w="4320"/>
          </w:tcPr>
          <w:p>
            <w:r>
              <w:rPr>
                <w:sz w:val="20"/>
              </w:rPr>
              <w:t>Analyst consensus (1=Strong Buy, 5=Sell)</w:t>
            </w:r>
          </w:p>
        </w:tc>
        <w:tc>
          <w:tcPr>
            <w:tcW w:type="dxa" w:w="4320"/>
          </w:tcPr>
          <w:p>
            <w:r>
              <w:rPr>
                <w:sz w:val="20"/>
              </w:rPr>
              <w:t>1.74</w:t>
            </w:r>
          </w:p>
        </w:tc>
      </w:tr>
      <w:tr>
        <w:tc>
          <w:tcPr>
            <w:tcW w:type="dxa" w:w="4320"/>
          </w:tcPr>
          <w:p>
            <w:r>
              <w:rPr>
                <w:sz w:val="20"/>
              </w:rPr>
              <w:t>Analyst count</w:t>
            </w:r>
          </w:p>
        </w:tc>
        <w:tc>
          <w:tcPr>
            <w:tcW w:type="dxa" w:w="4320"/>
          </w:tcPr>
          <w:p>
            <w:r>
              <w:rPr>
                <w:sz w:val="20"/>
              </w:rPr>
              <w:t>29</w:t>
            </w:r>
          </w:p>
        </w:tc>
      </w:tr>
      <w:tr>
        <w:tc>
          <w:tcPr>
            <w:tcW w:type="dxa" w:w="4320"/>
          </w:tcPr>
          <w:p>
            <w:r>
              <w:rPr>
                <w:sz w:val="20"/>
              </w:rPr>
              <w:t>Margin of safety (vs median target)</w:t>
            </w:r>
          </w:p>
        </w:tc>
        <w:tc>
          <w:tcPr>
            <w:tcW w:type="dxa" w:w="4320"/>
          </w:tcPr>
          <w:p>
            <w:r>
              <w:rPr>
                <w:sz w:val="20"/>
              </w:rPr>
              <w:t>+1.9%  (price $1199.43 vs target $1222.62)</w:t>
            </w:r>
          </w:p>
        </w:tc>
      </w:tr>
      <w:tr>
        <w:tc>
          <w:tcPr>
            <w:tcW w:type="dxa" w:w="4320"/>
          </w:tcPr>
          <w:p>
            <w:r>
              <w:rPr>
                <w:sz w:val="20"/>
              </w:rPr>
              <w:t>Data source</w:t>
            </w:r>
          </w:p>
        </w:tc>
        <w:tc>
          <w:tcPr>
            <w:tcW w:type="dxa" w:w="4320"/>
          </w:tcPr>
          <w:p>
            <w:r>
              <w:rPr>
                <w:sz w:val="20"/>
              </w:rPr>
              <w:t>Yahoo Finance · pulled 2026-07-01 10:54</w:t>
            </w:r>
          </w:p>
        </w:tc>
      </w:tr>
    </w:tbl>
    <w:p>
      <w:pPr>
        <w:spacing w:before="280" w:after="120"/>
      </w:pPr>
      <w:r>
        <w:rPr>
          <w:b/>
          <w:color w:val="2563EB"/>
          <w:sz w:val="28"/>
        </w:rPr>
        <w:t>My Verdict</w:t>
      </w:r>
    </w:p>
    <w:p>
      <w:pPr>
        <w:spacing w:after="160"/>
      </w:pPr>
      <w:r>
        <w:rPr>
          <w:i w:val="0"/>
          <w:sz w:val="22"/>
        </w:rPr>
        <w:t>Eli Lilly is not just a pharmaceutical company. It is a 150-year proof that patient science, compounded over generations, becomes something approaching indestructible.</w:t>
        <w:br/>
        <w:t>Its insulin franchise has served patients for a century. Its GLP-1 franchise is the most consequential metabolic breakthrough of our generation. Its Alzheimer's franchise is only just beginning. And its dividend cheque has landed in shareholder accounts, without interruption, since 1885 — a span of time that has swallowed the world wars, the Great Depression, the pandemic and everything in between.</w:t>
        <w:br/>
        <w:t>Apple dazzles. Microsoft endures. NVIDIA powers the AI era. AMD competes. ASML enables. Eli Lilly heals — and the compounding advantage of a business that has been quietly healing since 1876 is one of the most under-appreciated moats on any stock exchange.</w:t>
      </w:r>
    </w:p>
    <w:p>
      <w:pPr>
        <w:spacing w:before="280" w:after="120"/>
      </w:pPr>
      <w:r>
        <w:rPr>
          <w:b/>
          <w:color w:val="2563EB"/>
          <w:sz w:val="28"/>
        </w:rPr>
        <w:t>Closing Reflection</w:t>
      </w:r>
    </w:p>
    <w:p>
      <w:r>
        <w:rPr>
          <w:i/>
          <w:sz w:val="24"/>
        </w:rPr>
        <w:t>A question for you: If a company has already survived 150 years of wars, pandemics, market crashes and technological upheaval — while paying its shareholders a dividend cheque every single year since 1885 — what would it actually take to bet against it for the next 100?</w:t>
      </w:r>
    </w:p>
    <w:p/>
    <w:p>
      <w:r>
        <w:rPr>
          <w:i/>
          <w:color w:val="6B7280"/>
          <w:sz w:val="18"/>
        </w:rPr>
        <w:t>Not financial advice — for educational purposes only.</w:t>
      </w:r>
    </w:p>
    <w:p>
      <w:r>
        <w:rPr>
          <w:i/>
          <w:color w:val="6B7280"/>
          <w:sz w:val="18"/>
        </w:rPr>
        <w:t>Source note: Drafted by AI in your voice from publicly-reported facts (Colonel Eli Lilly founded the company 1876 in Indianapolis; insulin partnership with University of Toronto 1923; Prozac launched 1987; Cialis 2003; Trulicity 2014; Mounjaro FDA-approved 2022; Zepbound 2023; Kisunla 2024; CEO David A. Ricks since 2017; continuous dividend since 1885). Review and edit before publishing under 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