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2/18</w:t>
      </w:r>
    </w:p>
    <w:p>
      <w:pPr>
        <w:spacing w:after="160"/>
      </w:pPr>
      <w:r>
        <w:rPr>
          <w:b/>
          <w:sz w:val="40"/>
        </w:rPr>
        <w:t>Microsoft (MSFT): The Operating System of the Future</w:t>
      </w:r>
    </w:p>
    <w:p>
      <w:pPr>
        <w:spacing w:after="280"/>
      </w:pPr>
      <w:r>
        <w:rPr>
          <w:i/>
          <w:color w:val="6B7280"/>
          <w:sz w:val="20"/>
        </w:rPr>
        <w:t>Why this issue: Position size now 11.1% of the ISA, which is 2.2x the 5% target weight. P&amp;L is -20.0% vs entry, but the real Sell/Trim question is portfolio construction, not gains. Rebalancing inside the ISA is costless.</w:t>
      </w:r>
    </w:p>
    <w:p>
      <w:pPr>
        <w:spacing w:after="160"/>
      </w:pPr>
      <w:r>
        <w:rPr>
          <w:i/>
          <w:sz w:val="24"/>
        </w:rPr>
        <w:t>Apple captured the world's imagination. Microsoft quietly captured something even bigger — the world's infrastructure. Apple might power your pocket, but Microsoft powers your office, your bank, your school, your cloud, and sometimes even your Saturday night gaming. That's more than just staying relevant. That's lasting power.</w:t>
      </w:r>
    </w:p>
    <w:p>
      <w:pPr>
        <w:spacing w:before="280" w:after="120"/>
      </w:pPr>
      <w:r>
        <w:rPr>
          <w:b/>
          <w:color w:val="2563EB"/>
          <w:sz w:val="28"/>
        </w:rPr>
        <w:t>Moat</w:t>
      </w:r>
    </w:p>
    <w:p>
      <w:pPr>
        <w:spacing w:after="160"/>
      </w:pPr>
      <w:r>
        <w:rPr>
          <w:i w:val="0"/>
          <w:sz w:val="22"/>
        </w:rPr>
        <w:t>Microsoft has built itself into the foundation of modern life. Windows still runs on over a billion devices worldwide. The Office Suite — from Outlook to Excel to Teams — is the default language of business. Azure has become a heavyweight rival to Amazon Web Services, anchoring the next wave of digital infrastructure. This isn't a brand advantage like Apple's. It's the plumbing of the digital world. Removing it would mean rebuilding how everything works.</w:t>
      </w:r>
    </w:p>
    <w:p>
      <w:pPr>
        <w:spacing w:before="280" w:after="120"/>
      </w:pPr>
      <w:r>
        <w:rPr>
          <w:b/>
          <w:color w:val="2563EB"/>
          <w:sz w:val="28"/>
        </w:rPr>
        <w:t>Financial Strength</w:t>
      </w:r>
    </w:p>
    <w:p>
      <w:pPr>
        <w:spacing w:after="160"/>
      </w:pPr>
      <w:r>
        <w:rPr>
          <w:i w:val="0"/>
          <w:sz w:val="22"/>
        </w:rPr>
        <w:t>Microsoft doesn't just make money — it multiplies it. Revenue flows in from cloud, software licensing, gaming, LinkedIn and advertising. Software scales without big costs, giving the company enviable margins. And Microsoft is one of only two companies left in the world holding a AAA credit rating — that's more than a badge, it tells you investors trust Microsoft almost as much as they trust government bonds. Very few companies ever reach that level of security.</w:t>
      </w:r>
    </w:p>
    <w:p>
      <w:pPr>
        <w:spacing w:before="280" w:after="120"/>
      </w:pPr>
      <w:r>
        <w:rPr>
          <w:b/>
          <w:color w:val="2563EB"/>
          <w:sz w:val="28"/>
        </w:rPr>
        <w:t>Innovation</w:t>
      </w:r>
    </w:p>
    <w:p>
      <w:pPr>
        <w:spacing w:after="160"/>
      </w:pPr>
      <w:r>
        <w:rPr>
          <w:i w:val="0"/>
          <w:sz w:val="22"/>
        </w:rPr>
        <w:t>For years Microsoft was mocked as slow and uninspired. Not anymore. The OpenAI partnership has supercharged Word, Excel and Teams with AI capabilities — productivity is being rewritten in real time. Azure is growing at pace, making Microsoft a critical player in the digital era. Xbox and Game Pass are building the Netflix of gaming. And strategic acquisitions — LinkedIn, Activision Blizzard — show a company that has mastered the art of buying into the future. This isn't the Microsoft of the early 2000s; it's leaner, hungrier, and far more visionary.</w:t>
      </w:r>
    </w:p>
    <w:p>
      <w:pPr>
        <w:spacing w:before="280" w:after="120"/>
      </w:pPr>
      <w:r>
        <w:rPr>
          <w:b/>
          <w:color w:val="2563EB"/>
          <w:sz w:val="28"/>
        </w:rPr>
        <w:t>The Next 100 Years</w:t>
      </w:r>
    </w:p>
    <w:p>
      <w:pPr>
        <w:spacing w:after="160"/>
      </w:pPr>
      <w:r>
        <w:rPr>
          <w:i w:val="0"/>
          <w:sz w:val="22"/>
        </w:rPr>
        <w:t>Why does Microsoft belong in the 100-Year Survivor List? It's indispensable — governments, banks and schools run on it. It's adaptive — from PCs to cloud to AI, it has reinvented itself multiple times. It's trusted — few companies command this level of institutional confidence. In short, Microsoft isn't a luxury. It's infrastructure. And infrastructure, when combined with adaptability, has been built for centuries.</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30.62</w:t>
            </w:r>
          </w:p>
        </w:tc>
      </w:tr>
      <w:tr>
        <w:tc>
          <w:tcPr>
            <w:tcW w:type="dxa" w:w="4320"/>
          </w:tcPr>
          <w:p>
            <w:r>
              <w:rPr>
                <w:sz w:val="20"/>
              </w:rPr>
              <w:t>P/E (forward)</w:t>
            </w:r>
          </w:p>
        </w:tc>
        <w:tc>
          <w:tcPr>
            <w:tcW w:type="dxa" w:w="4320"/>
          </w:tcPr>
          <w:p>
            <w:r>
              <w:rPr>
                <w:sz w:val="20"/>
              </w:rPr>
              <w:t>22.96</w:t>
            </w:r>
          </w:p>
        </w:tc>
      </w:tr>
      <w:tr>
        <w:tc>
          <w:tcPr>
            <w:tcW w:type="dxa" w:w="4320"/>
          </w:tcPr>
          <w:p>
            <w:r>
              <w:rPr>
                <w:sz w:val="20"/>
              </w:rPr>
              <w:t>Price / Book</w:t>
            </w:r>
          </w:p>
        </w:tc>
        <w:tc>
          <w:tcPr>
            <w:tcW w:type="dxa" w:w="4320"/>
          </w:tcPr>
          <w:p>
            <w:r>
              <w:rPr>
                <w:sz w:val="20"/>
              </w:rPr>
              <w:t>9.12</w:t>
            </w:r>
          </w:p>
        </w:tc>
      </w:tr>
      <w:tr>
        <w:tc>
          <w:tcPr>
            <w:tcW w:type="dxa" w:w="4320"/>
          </w:tcPr>
          <w:p>
            <w:r>
              <w:rPr>
                <w:sz w:val="20"/>
              </w:rPr>
              <w:t>Market cap</w:t>
            </w:r>
          </w:p>
        </w:tc>
        <w:tc>
          <w:tcPr>
            <w:tcW w:type="dxa" w:w="4320"/>
          </w:tcPr>
          <w:p>
            <w:r>
              <w:rPr>
                <w:sz w:val="20"/>
              </w:rPr>
              <w:t>$4.04T</w:t>
            </w:r>
          </w:p>
        </w:tc>
      </w:tr>
      <w:tr>
        <w:tc>
          <w:tcPr>
            <w:tcW w:type="dxa" w:w="4320"/>
          </w:tcPr>
          <w:p>
            <w:r>
              <w:rPr>
                <w:sz w:val="20"/>
              </w:rPr>
              <w:t>Profit margin</w:t>
            </w:r>
          </w:p>
        </w:tc>
        <w:tc>
          <w:tcPr>
            <w:tcW w:type="dxa" w:w="4320"/>
          </w:tcPr>
          <w:p>
            <w:r>
              <w:rPr>
                <w:sz w:val="20"/>
              </w:rPr>
              <w:t>40.3%</w:t>
            </w:r>
          </w:p>
        </w:tc>
      </w:tr>
      <w:tr>
        <w:tc>
          <w:tcPr>
            <w:tcW w:type="dxa" w:w="4320"/>
          </w:tcPr>
          <w:p>
            <w:r>
              <w:rPr>
                <w:sz w:val="20"/>
              </w:rPr>
              <w:t>Gross margin</w:t>
            </w:r>
          </w:p>
        </w:tc>
        <w:tc>
          <w:tcPr>
            <w:tcW w:type="dxa" w:w="4320"/>
          </w:tcPr>
          <w:p>
            <w:r>
              <w:rPr>
                <w:sz w:val="20"/>
              </w:rPr>
              <w:t>67.9%</w:t>
            </w:r>
          </w:p>
        </w:tc>
      </w:tr>
      <w:tr>
        <w:tc>
          <w:tcPr>
            <w:tcW w:type="dxa" w:w="4320"/>
          </w:tcPr>
          <w:p>
            <w:r>
              <w:rPr>
                <w:sz w:val="20"/>
              </w:rPr>
              <w:t>Operating margin</w:t>
            </w:r>
          </w:p>
        </w:tc>
        <w:tc>
          <w:tcPr>
            <w:tcW w:type="dxa" w:w="4320"/>
          </w:tcPr>
          <w:p>
            <w:r>
              <w:rPr>
                <w:sz w:val="20"/>
              </w:rPr>
              <w:t>45.1%</w:t>
            </w:r>
          </w:p>
        </w:tc>
      </w:tr>
      <w:tr>
        <w:tc>
          <w:tcPr>
            <w:tcW w:type="dxa" w:w="4320"/>
          </w:tcPr>
          <w:p>
            <w:r>
              <w:rPr>
                <w:sz w:val="20"/>
              </w:rPr>
              <w:t>Return on equity</w:t>
            </w:r>
          </w:p>
        </w:tc>
        <w:tc>
          <w:tcPr>
            <w:tcW w:type="dxa" w:w="4320"/>
          </w:tcPr>
          <w:p>
            <w:r>
              <w:rPr>
                <w:sz w:val="20"/>
              </w:rPr>
              <w:t>34.0%</w:t>
            </w:r>
          </w:p>
        </w:tc>
      </w:tr>
      <w:tr>
        <w:tc>
          <w:tcPr>
            <w:tcW w:type="dxa" w:w="4320"/>
          </w:tcPr>
          <w:p>
            <w:r>
              <w:rPr>
                <w:sz w:val="20"/>
              </w:rPr>
              <w:t>Return on assets</w:t>
            </w:r>
          </w:p>
        </w:tc>
        <w:tc>
          <w:tcPr>
            <w:tcW w:type="dxa" w:w="4320"/>
          </w:tcPr>
          <w:p>
            <w:r>
              <w:rPr>
                <w:sz w:val="20"/>
              </w:rPr>
              <w:t>14.1%</w:t>
            </w:r>
          </w:p>
        </w:tc>
      </w:tr>
      <w:tr>
        <w:tc>
          <w:tcPr>
            <w:tcW w:type="dxa" w:w="4320"/>
          </w:tcPr>
          <w:p>
            <w:r>
              <w:rPr>
                <w:sz w:val="20"/>
              </w:rPr>
              <w:t>Debt / Equity</w:t>
            </w:r>
          </w:p>
        </w:tc>
        <w:tc>
          <w:tcPr>
            <w:tcW w:type="dxa" w:w="4320"/>
          </w:tcPr>
          <w:p>
            <w:r>
              <w:rPr>
                <w:sz w:val="20"/>
              </w:rPr>
              <w:t>0.29</w:t>
            </w:r>
          </w:p>
        </w:tc>
      </w:tr>
      <w:tr>
        <w:tc>
          <w:tcPr>
            <w:tcW w:type="dxa" w:w="4320"/>
          </w:tcPr>
          <w:p>
            <w:r>
              <w:rPr>
                <w:sz w:val="20"/>
              </w:rPr>
              <w:t>Current ratio</w:t>
            </w:r>
          </w:p>
        </w:tc>
        <w:tc>
          <w:tcPr>
            <w:tcW w:type="dxa" w:w="4320"/>
          </w:tcPr>
          <w:p>
            <w:r>
              <w:rPr>
                <w:sz w:val="20"/>
              </w:rPr>
              <w:t>1.23</w:t>
            </w:r>
          </w:p>
        </w:tc>
      </w:tr>
      <w:tr>
        <w:tc>
          <w:tcPr>
            <w:tcW w:type="dxa" w:w="4320"/>
          </w:tcPr>
          <w:p>
            <w:r>
              <w:rPr>
                <w:sz w:val="20"/>
              </w:rPr>
              <w:t>Revenue growth (YoY)</w:t>
            </w:r>
          </w:p>
        </w:tc>
        <w:tc>
          <w:tcPr>
            <w:tcW w:type="dxa" w:w="4320"/>
          </w:tcPr>
          <w:p>
            <w:r>
              <w:rPr>
                <w:sz w:val="20"/>
              </w:rPr>
              <w:t>17.7%</w:t>
            </w:r>
          </w:p>
        </w:tc>
      </w:tr>
      <w:tr>
        <w:tc>
          <w:tcPr>
            <w:tcW w:type="dxa" w:w="4320"/>
          </w:tcPr>
          <w:p>
            <w:r>
              <w:rPr>
                <w:sz w:val="20"/>
              </w:rPr>
              <w:t>Earnings growth (YoY)</w:t>
            </w:r>
          </w:p>
        </w:tc>
        <w:tc>
          <w:tcPr>
            <w:tcW w:type="dxa" w:w="4320"/>
          </w:tcPr>
          <w:p>
            <w:r>
              <w:rPr>
                <w:sz w:val="20"/>
              </w:rPr>
              <w:t>31.7%</w:t>
            </w:r>
          </w:p>
        </w:tc>
      </w:tr>
      <w:tr>
        <w:tc>
          <w:tcPr>
            <w:tcW w:type="dxa" w:w="4320"/>
          </w:tcPr>
          <w:p>
            <w:r>
              <w:rPr>
                <w:sz w:val="20"/>
              </w:rPr>
              <w:t>Free cash flow</w:t>
            </w:r>
          </w:p>
        </w:tc>
        <w:tc>
          <w:tcPr>
            <w:tcW w:type="dxa" w:w="4320"/>
          </w:tcPr>
          <w:p>
            <w:r>
              <w:rPr>
                <w:sz w:val="20"/>
              </w:rPr>
              <w:t>$16.55B</w:t>
            </w:r>
          </w:p>
        </w:tc>
      </w:tr>
      <w:tr>
        <w:tc>
          <w:tcPr>
            <w:tcW w:type="dxa" w:w="4320"/>
          </w:tcPr>
          <w:p>
            <w:r>
              <w:rPr>
                <w:sz w:val="20"/>
              </w:rPr>
              <w:t>Cash on balance sheet</w:t>
            </w:r>
          </w:p>
        </w:tc>
        <w:tc>
          <w:tcPr>
            <w:tcW w:type="dxa" w:w="4320"/>
          </w:tcPr>
          <w:p>
            <w:r>
              <w:rPr>
                <w:sz w:val="20"/>
              </w:rPr>
              <w:t>$76.84B</w:t>
            </w:r>
          </w:p>
        </w:tc>
      </w:tr>
      <w:tr>
        <w:tc>
          <w:tcPr>
            <w:tcW w:type="dxa" w:w="4320"/>
          </w:tcPr>
          <w:p>
            <w:r>
              <w:rPr>
                <w:sz w:val="20"/>
              </w:rPr>
              <w:t>Total debt</w:t>
            </w:r>
          </w:p>
        </w:tc>
        <w:tc>
          <w:tcPr>
            <w:tcW w:type="dxa" w:w="4320"/>
          </w:tcPr>
          <w:p>
            <w:r>
              <w:rPr>
                <w:sz w:val="20"/>
              </w:rPr>
              <w:t>$128.81B</w:t>
            </w:r>
          </w:p>
        </w:tc>
      </w:tr>
      <w:tr>
        <w:tc>
          <w:tcPr>
            <w:tcW w:type="dxa" w:w="4320"/>
          </w:tcPr>
          <w:p>
            <w:r>
              <w:rPr>
                <w:sz w:val="20"/>
              </w:rPr>
              <w:t>Dividend yield</w:t>
            </w:r>
          </w:p>
        </w:tc>
        <w:tc>
          <w:tcPr>
            <w:tcW w:type="dxa" w:w="4320"/>
          </w:tcPr>
          <w:p>
            <w:r>
              <w:rPr>
                <w:sz w:val="20"/>
              </w:rPr>
              <w:t>0.72%</w:t>
            </w:r>
          </w:p>
        </w:tc>
      </w:tr>
      <w:tr>
        <w:tc>
          <w:tcPr>
            <w:tcW w:type="dxa" w:w="4320"/>
          </w:tcPr>
          <w:p>
            <w:r>
              <w:rPr>
                <w:sz w:val="20"/>
              </w:rPr>
              <w:t>Dividend payout ratio</w:t>
            </w:r>
          </w:p>
        </w:tc>
        <w:tc>
          <w:tcPr>
            <w:tcW w:type="dxa" w:w="4320"/>
          </w:tcPr>
          <w:p>
            <w:r>
              <w:rPr>
                <w:sz w:val="20"/>
              </w:rPr>
              <w:t>19.8%</w:t>
            </w:r>
          </w:p>
        </w:tc>
      </w:tr>
      <w:tr>
        <w:tc>
          <w:tcPr>
            <w:tcW w:type="dxa" w:w="4320"/>
          </w:tcPr>
          <w:p>
            <w:r>
              <w:rPr>
                <w:sz w:val="20"/>
              </w:rPr>
              <w:t>Beta (vs market)</w:t>
            </w:r>
          </w:p>
        </w:tc>
        <w:tc>
          <w:tcPr>
            <w:tcW w:type="dxa" w:w="4320"/>
          </w:tcPr>
          <w:p>
            <w:r>
              <w:rPr>
                <w:sz w:val="20"/>
              </w:rPr>
              <w:t>1.10</w:t>
            </w:r>
          </w:p>
        </w:tc>
      </w:tr>
      <w:tr>
        <w:tc>
          <w:tcPr>
            <w:tcW w:type="dxa" w:w="4320"/>
          </w:tcPr>
          <w:p>
            <w:r>
              <w:rPr>
                <w:sz w:val="20"/>
              </w:rPr>
              <w:t>52-week high</w:t>
            </w:r>
          </w:p>
        </w:tc>
        <w:tc>
          <w:tcPr>
            <w:tcW w:type="dxa" w:w="4320"/>
          </w:tcPr>
          <w:p>
            <w:r>
              <w:rPr>
                <w:sz w:val="20"/>
              </w:rPr>
              <w:t>$553.72</w:t>
            </w:r>
          </w:p>
        </w:tc>
      </w:tr>
      <w:tr>
        <w:tc>
          <w:tcPr>
            <w:tcW w:type="dxa" w:w="4320"/>
          </w:tcPr>
          <w:p>
            <w:r>
              <w:rPr>
                <w:sz w:val="20"/>
              </w:rPr>
              <w:t>52-week low</w:t>
            </w:r>
          </w:p>
        </w:tc>
        <w:tc>
          <w:tcPr>
            <w:tcW w:type="dxa" w:w="4320"/>
          </w:tcPr>
          <w:p>
            <w:r>
              <w:rPr>
                <w:sz w:val="20"/>
              </w:rPr>
              <w:t>$349.20</w:t>
            </w:r>
          </w:p>
        </w:tc>
      </w:tr>
      <w:tr>
        <w:tc>
          <w:tcPr>
            <w:tcW w:type="dxa" w:w="4320"/>
          </w:tcPr>
          <w:p>
            <w:r>
              <w:rPr>
                <w:sz w:val="20"/>
              </w:rPr>
              <w:t>Analyst median target</w:t>
            </w:r>
          </w:p>
        </w:tc>
        <w:tc>
          <w:tcPr>
            <w:tcW w:type="dxa" w:w="4320"/>
          </w:tcPr>
          <w:p>
            <w:r>
              <w:rPr>
                <w:sz w:val="20"/>
              </w:rPr>
              <w:t>$589.60</w:t>
            </w:r>
          </w:p>
        </w:tc>
      </w:tr>
      <w:tr>
        <w:tc>
          <w:tcPr>
            <w:tcW w:type="dxa" w:w="4320"/>
          </w:tcPr>
          <w:p>
            <w:r>
              <w:rPr>
                <w:sz w:val="20"/>
              </w:rPr>
              <w:t>Analyst consensus (1=Strong Buy, 5=Sell)</w:t>
            </w:r>
          </w:p>
        </w:tc>
        <w:tc>
          <w:tcPr>
            <w:tcW w:type="dxa" w:w="4320"/>
          </w:tcPr>
          <w:p>
            <w:r>
              <w:rPr>
                <w:sz w:val="20"/>
              </w:rPr>
              <w:t>1.34</w:t>
            </w:r>
          </w:p>
        </w:tc>
      </w:tr>
      <w:tr>
        <w:tc>
          <w:tcPr>
            <w:tcW w:type="dxa" w:w="4320"/>
          </w:tcPr>
          <w:p>
            <w:r>
              <w:rPr>
                <w:sz w:val="20"/>
              </w:rPr>
              <w:t>Analyst count</w:t>
            </w:r>
          </w:p>
        </w:tc>
        <w:tc>
          <w:tcPr>
            <w:tcW w:type="dxa" w:w="4320"/>
          </w:tcPr>
          <w:p>
            <w:r>
              <w:rPr>
                <w:sz w:val="20"/>
              </w:rPr>
              <w:t>53</w:t>
            </w:r>
          </w:p>
        </w:tc>
      </w:tr>
      <w:tr>
        <w:tc>
          <w:tcPr>
            <w:tcW w:type="dxa" w:w="4320"/>
          </w:tcPr>
          <w:p>
            <w:r>
              <w:rPr>
                <w:sz w:val="20"/>
              </w:rPr>
              <w:t>Margin of safety (vs median target)</w:t>
            </w:r>
          </w:p>
        </w:tc>
        <w:tc>
          <w:tcPr>
            <w:tcW w:type="dxa" w:w="4320"/>
          </w:tcPr>
          <w:p>
            <w:r>
              <w:rPr>
                <w:sz w:val="20"/>
              </w:rPr>
              <w:t>+7.8%  (price $543.45 vs target $589.60)</w:t>
            </w:r>
          </w:p>
        </w:tc>
      </w:tr>
      <w:tr>
        <w:tc>
          <w:tcPr>
            <w:tcW w:type="dxa" w:w="4320"/>
          </w:tcPr>
          <w:p>
            <w:r>
              <w:rPr>
                <w:sz w:val="20"/>
              </w:rPr>
              <w:t>Data source</w:t>
            </w:r>
          </w:p>
        </w:tc>
        <w:tc>
          <w:tcPr>
            <w:tcW w:type="dxa" w:w="4320"/>
          </w:tcPr>
          <w:p>
            <w:r>
              <w:rPr>
                <w:sz w:val="20"/>
              </w:rPr>
              <w:t>Yahoo Finance · pulled 2026-10-14 08:28</w:t>
            </w:r>
          </w:p>
        </w:tc>
      </w:tr>
    </w:tbl>
    <w:p>
      <w:pPr>
        <w:spacing w:before="280" w:after="120"/>
      </w:pPr>
      <w:r>
        <w:rPr>
          <w:b/>
          <w:color w:val="2563EB"/>
          <w:sz w:val="28"/>
        </w:rPr>
        <w:t>My Verdict</w:t>
      </w:r>
    </w:p>
    <w:p>
      <w:pPr>
        <w:spacing w:after="160"/>
      </w:pPr>
      <w:r>
        <w:rPr>
          <w:i w:val="0"/>
          <w:sz w:val="22"/>
        </w:rPr>
        <w:t>Microsoft is more than a company. It's the operating system of modern civilisation. With a fortress balance sheet, a moat built into the very fabric of work and life, and a proven ability to pivot into the future, it deserves its place in the Century Club. Apple may dazzle. Microsoft endures. And sometimes, endurance is the sharper edge.</w:t>
      </w:r>
    </w:p>
    <w:p>
      <w:pPr>
        <w:spacing w:before="280" w:after="120"/>
      </w:pPr>
      <w:r>
        <w:rPr>
          <w:b/>
          <w:color w:val="2563EB"/>
          <w:sz w:val="28"/>
        </w:rPr>
        <w:t>Closing Reflection</w:t>
      </w:r>
    </w:p>
    <w:p>
      <w:r>
        <w:rPr>
          <w:i/>
          <w:sz w:val="24"/>
        </w:rPr>
        <w:t>A question for you: Do you believe Microsoft will still be the silent scaffolding of our lives in 2125, or will something new finally dethrone it?</w:t>
      </w:r>
    </w:p>
    <w:p/>
    <w:p>
      <w:r>
        <w:rPr>
          <w:i/>
          <w:color w:val="6B7280"/>
          <w:sz w:val="18"/>
        </w:rPr>
        <w:t>Not financial advice: for educational purposes only.</w:t>
      </w:r>
    </w:p>
    <w:p>
      <w:r>
        <w:rPr>
          <w:i/>
          <w:color w:val="6B7280"/>
          <w:sz w:val="18"/>
        </w:rPr>
        <w:t>Source note: Adapted from The Seed Finance Substack, 26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