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20"/>
        </w:rPr>
        <w:t>📊 The 100-Year Survival Test · 15/18</w:t>
      </w:r>
    </w:p>
    <w:p>
      <w:pPr>
        <w:spacing w:after="160"/>
      </w:pPr>
      <w:r>
        <w:rPr>
          <w:b/>
          <w:sz w:val="40"/>
        </w:rPr>
        <w:t>Oracle Corporation (ORCL): The Database Empire Racing to Own the AI Cloud</w:t>
      </w:r>
    </w:p>
    <w:p>
      <w:pPr>
        <w:spacing w:after="160"/>
      </w:pPr>
      <w:r>
        <w:rPr>
          <w:i/>
          <w:sz w:val="24"/>
        </w:rPr>
        <w:t>Somewhere behind almost every bank transfer you have ever made, every airline ticket you have ever booked, every tax record your government holds on you, there is a very good chance an Oracle database did the remembering. Founded in 1977, two years after Microsoft and a year after Apple, Oracle built the software that taught the corporate world how to store, retrieve and trust its own information. It is the least glamorous possible foundation for an empire, and that is precisely why the empire has lasted.</w:t>
        <w:br/>
        <w:t>Now move from the disciplined acquirer to a company attempting something far rarer in technology: a fourth act. Oracle Corporation (ORCL) dominated the database era, survived the shift to the internet, bought its way through the enterprise software consolidation of the 2000s, and is now, well into its fifth decade, sprinting to become one of the physical homes of artificial intelligence.</w:t>
        <w:br/>
        <w:t>If ASML enables every chip, AMD builds the silicon, NVIDIA powers the AI era and Broadcom accumulates the plumbing, Oracle is making a different bet: that the companies training the largest AI models in the world will need somewhere vast, cheap and fast to do it, and that a 48-year-old database company can be that place.</w:t>
      </w:r>
    </w:p>
    <w:p>
      <w:pPr>
        <w:spacing w:before="280" w:after="120"/>
      </w:pPr>
      <w:r>
        <w:rPr>
          <w:b/>
          <w:color w:val="2563EB"/>
          <w:sz w:val="28"/>
        </w:rPr>
        <w:t>Moat</w:t>
      </w:r>
    </w:p>
    <w:p>
      <w:pPr>
        <w:spacing w:after="160"/>
      </w:pPr>
      <w:r>
        <w:rPr>
          <w:i w:val="0"/>
          <w:sz w:val="22"/>
        </w:rPr>
        <w:t>Oracle's moat is really two moats of very different ages: one dug over five decades, and one being dug right now at extraordinary cost.</w:t>
        <w:br/>
        <w:t>• The database lock-in, five decades deep: Oracle's relational database still sits underneath a huge share of the world's banks, governments, airlines, insurers and hospitals. These are the systems of record for the most regulated institutions on Earth. Migrating a core banking system off Oracle is a multi-year project with career-ending failure modes, which is why, decades after cheaper alternatives appeared, so few institutions have attempted it. Customers may complain about Oracle's pricing; they keep paying it.</w:t>
        <w:br/>
        <w:t>• The application layer on top: through PeopleSoft, NetSuite, Fusion and Cerner, Oracle owns the payroll, finance, ERP and healthcare records systems of tens of thousands of organisations. Cerner alone made Oracle the custodian of medical records across a large share of American hospitals. This is the same switching-cost logic as the database, applied one layer up.</w:t>
        <w:br/>
        <w:t>• Java: the Sun Microsystems acquisition in 2010 gave Oracle stewardship of one of the most widely used programming languages in history, still running an enormous share of enterprise software worldwide.</w:t>
        <w:br/>
        <w:t>• The new moat, OCI: Oracle Cloud Infrastructure arrived late, a distant fourth behind AWS, Azure and Google Cloud. Being late forced a different design: OCI was built for exactly the workloads that barely existed when its rivals designed their clouds, enormous GPU clusters networked together for AI training. That accident of timing is why OpenAI, xAI and Meta have all signed large OCI compute agreements, and why Oracle sits inside the Stargate AI infrastructure project. A data centre contract for AI training runs for years and involves gigawatts of power; once signed, it does not move on a whim.</w:t>
        <w:br/>
        <w:t>The old moat funds the new one. That is the whole strategy in a sentence.</w:t>
      </w:r>
    </w:p>
    <w:p>
      <w:pPr>
        <w:spacing w:before="280" w:after="120"/>
      </w:pPr>
      <w:r>
        <w:rPr>
          <w:b/>
          <w:color w:val="2563EB"/>
          <w:sz w:val="28"/>
        </w:rPr>
        <w:t>Financial Strength</w:t>
      </w:r>
    </w:p>
    <w:p>
      <w:pPr>
        <w:spacing w:after="160"/>
      </w:pPr>
      <w:r>
        <w:rPr>
          <w:i w:val="0"/>
          <w:sz w:val="22"/>
        </w:rPr>
        <w:t>Oracle's numbers tell the story of a mature cash machine deliberately spending like a growth company.</w:t>
        <w:br/>
        <w:t>• Revenue: tens of billions of dollars annually, with cloud infrastructure now the fastest-growing line by a wide margin, and a remaining performance obligation (contracted future revenue) that has ballooned to several hundred billion dollars on the back of the large AI compute deals.</w:t>
        <w:br/>
        <w:t>• Margins: the legacy database and applications businesses carry the high margins of fifty-year-old software with captive customers. OCI's margins are structurally lower while it is being built, which is the deliberate trade Oracle is making.</w:t>
        <w:br/>
        <w:t>• Free cash flow under pressure, on purpose: building AI data centres is brutally capital intensive, and Oracle's capital expenditure has risen to levels that periodically push free cash flow negative. This is the single most important number to watch in the whole Oracle story: the bet only works if the contracted revenue arrives before the debt raised to build the capacity becomes a burden.</w:t>
        <w:br/>
        <w:t>• Balance sheet: more leveraged than the other names in this series, a legacy of decades of acquisitions now compounded by the data centre build-out. Manageable while the contracts hold; the reason for the seed sizing rather than rock-star sizing in my own portfolio.</w:t>
        <w:br/>
        <w:t>• Dividend: paid and growing since 2009, though modest, because the money has somewhere more ambitious to go.</w:t>
      </w:r>
    </w:p>
    <w:p>
      <w:pPr>
        <w:spacing w:before="280" w:after="120"/>
      </w:pPr>
      <w:r>
        <w:rPr>
          <w:b/>
          <w:color w:val="2563EB"/>
          <w:sz w:val="28"/>
        </w:rPr>
        <w:t>Valuation Reality Check</w:t>
      </w:r>
    </w:p>
    <w:p>
      <w:pPr>
        <w:spacing w:after="160"/>
      </w:pPr>
      <w:r>
        <w:rPr>
          <w:i w:val="0"/>
          <w:sz w:val="22"/>
        </w:rPr>
        <w:t>Oracle's valuation has been on a rollercoaster that tells you exactly how the market feels about the AI bet: euphoric when a new multi-billion dollar compute contract is announced, fearful whenever anyone questions whether AI infrastructure spending can continue at this pace. The P/E has swung far above its own ten-year average, and the stock now trades less like a mature software company and more like an AI infrastructure play.</w:t>
        <w:br/>
        <w:t>This does not make Oracle simply expensive or simply cheap. It makes it a company priced on the credibility of its order book. The remaining performance obligation figure is enormous, but a contract is only as good as the counterparty's ability to pay, and Oracle's largest AI customers are themselves burning capital at historic rates. If those customers thrive, Oracle's current price will look reasonable. If AI spending pauses, Oracle carries more downside than the hyperscalers it is chasing, because it borrowed to build.</w:t>
        <w:br/>
        <w:t>The honest framing: this is the highest risk, highest possible reward name in this series so far. Size it accordingly, as I have.</w:t>
      </w:r>
    </w:p>
    <w:p>
      <w:pPr>
        <w:spacing w:before="280" w:after="120"/>
      </w:pPr>
      <w:r>
        <w:rPr>
          <w:b/>
          <w:color w:val="2563EB"/>
          <w:sz w:val="28"/>
        </w:rPr>
        <w:t>Innovation</w:t>
      </w:r>
    </w:p>
    <w:p>
      <w:pPr>
        <w:spacing w:after="160"/>
      </w:pPr>
      <w:r>
        <w:rPr>
          <w:i w:val="0"/>
          <w:sz w:val="22"/>
        </w:rPr>
        <w:t>Oracle's innovation has never been the Silicon Valley kind. It is the kind that shows up twenty years later still running the world.</w:t>
        <w:br/>
        <w:t>Start at the beginning. In 1977, Larry Ellison and his co-founders read an IBM research paper describing a theoretical relational database and did something IBM itself hesitated to do: they built it and sold it. Oracle V2 shipped in 1979 as the first commercial SQL relational database. Nearly every database on Earth today, from the ones running global banks to the free ones inside smartphone apps, descends intellectually from that decision to take a research paper seriously.</w:t>
        <w:br/>
        <w:t>The pattern has repeated since. When client-server computing threatened the mainframe, Oracle moved. When the internet threatened client-server, Ellison bet the company on it. When cloud threatened everything Oracle sold, the company was slow, openly dismissive, and then characteristically ruthless in catching up.</w:t>
        <w:br/>
        <w:t>Consider what OCI has become in practical terms. When OpenAI needed more compute than Microsoft alone could provide, it signed with Oracle. When TikTok needed a politically acceptable home for American user data, the answer was Oracle, under Project Texas. When the Stargate project set out to build AI infrastructure on a national scale, Oracle was one of the named partners. A company founded when the floppy disk was cutting-edge technology is now physically housing the frontier of machine intelligence. Whatever one thinks of the valuation, that is a remarkable fourth act.</w:t>
        <w:br/>
        <w:t>And through all of it, one constant: Ellison, still chairman and chief technology officer, still the largest individual shareholder, nearly fifty years in. Very few founders in the history of technology have stayed at the wheel that long. Fewer still have stayed hungry.</w:t>
      </w:r>
    </w:p>
    <w:p>
      <w:pPr>
        <w:spacing w:before="280" w:after="120"/>
      </w:pPr>
      <w:r>
        <w:rPr>
          <w:b/>
          <w:color w:val="2563EB"/>
          <w:sz w:val="28"/>
        </w:rPr>
        <w:t>The Next 100 Years</w:t>
      </w:r>
    </w:p>
    <w:p>
      <w:pPr>
        <w:spacing w:after="160"/>
      </w:pPr>
      <w:r>
        <w:rPr>
          <w:i w:val="0"/>
          <w:sz w:val="22"/>
        </w:rPr>
        <w:t>Why might Oracle belong in the Century Club?</w:t>
        <w:br/>
        <w:t>• It guards the world's systems of record: databases holding financial, governmental and medical records do not get replaced casually, and the institutions that depend on them plan in decades. That franchise alone could fund Oracle for another generation.</w:t>
        <w:br/>
        <w:t>• It has now survived four platform shifts: mainframe to client-server, client-server to internet, internet to cloud, and cloud to AI. Each time the obituary was written; each time the company adapted. That is a survivable culture, not a lucky streak.</w:t>
        <w:br/>
        <w:t>• Its AI bet is contracted, not speculative: unlike companies chasing AI revenue that might appear, Oracle's data centre build-out is backed by signed agreements with named customers.</w:t>
        <w:br/>
        <w:t>The risks are real and worth stating plainly, more so than for most names in this series.</w:t>
        <w:br/>
        <w:t>• Customer concentration in the AI order book: a very large share of the contracted future revenue comes from a small number of AI companies whose own economics are unproven. This is the central risk.</w:t>
        <w:br/>
        <w:t>• Leverage into a cyclical build-out: Oracle is borrowing to build ahead of revenue. If AI infrastructure demand pauses, the debt does not.</w:t>
        <w:br/>
        <w:t>• Succession: Ellison is in his eighties. Oracle without its founder is an untested company, and the history of founder-led empires after the founder is mixed at best.</w:t>
        <w:br/>
        <w:t>• The database moat erodes slowly but really: open-source alternatives like PostgreSQL take a small slice of new projects every year. The old systems stay, but fewer new ones are born on Oracle.</w:t>
        <w:br/>
        <w:t>Oracle sits in my portfolio as a seed, not a rock star, and this is why: the upside case is genuinely spectacular, and the downside case is genuinely uncomfortable. That asymmetry deserves a position; it does not deserve a large one.</w:t>
      </w:r>
    </w:p>
    <w:p>
      <w:pPr>
        <w:spacing w:before="280" w:after="120"/>
      </w:pPr>
      <w:r>
        <w:rPr>
          <w:b/>
          <w:color w:val="2563EB"/>
          <w:sz w:val="26"/>
        </w:rPr>
        <w:t>The Numbers (Verifiable, Dated)</w:t>
      </w:r>
    </w:p>
    <w:tbl>
      <w:tblPr>
        <w:tblW w:type="auto" w:w="0"/>
        <w:tblLayout w:type="autofit"/>
        <w:tblLook w:firstColumn="1" w:firstRow="1" w:lastColumn="0" w:lastRow="0" w:noHBand="0" w:noVBand="1" w:val="04A0"/>
      </w:tblPr>
      <w:tblGrid>
        <w:gridCol w:w="4320"/>
        <w:gridCol w:w="4320"/>
      </w:tblGrid>
      <w:tr>
        <w:tc>
          <w:tcPr>
            <w:tcW w:type="dxa" w:w="4320"/>
          </w:tcPr>
          <w:p>
            <w:r>
              <w:rPr>
                <w:sz w:val="20"/>
              </w:rPr>
              <w:t>P/E (trailing)</w:t>
            </w:r>
          </w:p>
        </w:tc>
        <w:tc>
          <w:tcPr>
            <w:tcW w:type="dxa" w:w="4320"/>
          </w:tcPr>
          <w:p>
            <w:r>
              <w:rPr>
                <w:sz w:val="20"/>
              </w:rPr>
              <w:t>24.75</w:t>
            </w:r>
          </w:p>
        </w:tc>
      </w:tr>
      <w:tr>
        <w:tc>
          <w:tcPr>
            <w:tcW w:type="dxa" w:w="4320"/>
          </w:tcPr>
          <w:p>
            <w:r>
              <w:rPr>
                <w:sz w:val="20"/>
              </w:rPr>
              <w:t>P/E (forward)</w:t>
            </w:r>
          </w:p>
        </w:tc>
        <w:tc>
          <w:tcPr>
            <w:tcW w:type="dxa" w:w="4320"/>
          </w:tcPr>
          <w:p>
            <w:r>
              <w:rPr>
                <w:sz w:val="20"/>
              </w:rPr>
              <w:t>13.21</w:t>
            </w:r>
          </w:p>
        </w:tc>
      </w:tr>
      <w:tr>
        <w:tc>
          <w:tcPr>
            <w:tcW w:type="dxa" w:w="4320"/>
          </w:tcPr>
          <w:p>
            <w:r>
              <w:rPr>
                <w:sz w:val="20"/>
              </w:rPr>
              <w:t>Price / Book</w:t>
            </w:r>
          </w:p>
        </w:tc>
        <w:tc>
          <w:tcPr>
            <w:tcW w:type="dxa" w:w="4320"/>
          </w:tcPr>
          <w:p>
            <w:r>
              <w:rPr>
                <w:sz w:val="20"/>
              </w:rPr>
              <w:t>11.06</w:t>
            </w:r>
          </w:p>
        </w:tc>
      </w:tr>
      <w:tr>
        <w:tc>
          <w:tcPr>
            <w:tcW w:type="dxa" w:w="4320"/>
          </w:tcPr>
          <w:p>
            <w:r>
              <w:rPr>
                <w:sz w:val="20"/>
              </w:rPr>
              <w:t>Market cap</w:t>
            </w:r>
          </w:p>
        </w:tc>
        <w:tc>
          <w:tcPr>
            <w:tcW w:type="dxa" w:w="4320"/>
          </w:tcPr>
          <w:p>
            <w:r>
              <w:rPr>
                <w:sz w:val="20"/>
              </w:rPr>
              <w:t>$415.59B</w:t>
            </w:r>
          </w:p>
        </w:tc>
      </w:tr>
      <w:tr>
        <w:tc>
          <w:tcPr>
            <w:tcW w:type="dxa" w:w="4320"/>
          </w:tcPr>
          <w:p>
            <w:r>
              <w:rPr>
                <w:sz w:val="20"/>
              </w:rPr>
              <w:t>Profit margin</w:t>
            </w:r>
          </w:p>
        </w:tc>
        <w:tc>
          <w:tcPr>
            <w:tcW w:type="dxa" w:w="4320"/>
          </w:tcPr>
          <w:p>
            <w:r>
              <w:rPr>
                <w:sz w:val="20"/>
              </w:rPr>
              <w:t>25.4%</w:t>
            </w:r>
          </w:p>
        </w:tc>
      </w:tr>
      <w:tr>
        <w:tc>
          <w:tcPr>
            <w:tcW w:type="dxa" w:w="4320"/>
          </w:tcPr>
          <w:p>
            <w:r>
              <w:rPr>
                <w:sz w:val="20"/>
              </w:rPr>
              <w:t>Gross margin</w:t>
            </w:r>
          </w:p>
        </w:tc>
        <w:tc>
          <w:tcPr>
            <w:tcW w:type="dxa" w:w="4320"/>
          </w:tcPr>
          <w:p>
            <w:r>
              <w:rPr>
                <w:sz w:val="20"/>
              </w:rPr>
              <w:t>65.8%</w:t>
            </w:r>
          </w:p>
        </w:tc>
      </w:tr>
      <w:tr>
        <w:tc>
          <w:tcPr>
            <w:tcW w:type="dxa" w:w="4320"/>
          </w:tcPr>
          <w:p>
            <w:r>
              <w:rPr>
                <w:sz w:val="20"/>
              </w:rPr>
              <w:t>Operating margin</w:t>
            </w:r>
          </w:p>
        </w:tc>
        <w:tc>
          <w:tcPr>
            <w:tcW w:type="dxa" w:w="4320"/>
          </w:tcPr>
          <w:p>
            <w:r>
              <w:rPr>
                <w:sz w:val="20"/>
              </w:rPr>
              <w:t>36.2%</w:t>
            </w:r>
          </w:p>
        </w:tc>
      </w:tr>
      <w:tr>
        <w:tc>
          <w:tcPr>
            <w:tcW w:type="dxa" w:w="4320"/>
          </w:tcPr>
          <w:p>
            <w:r>
              <w:rPr>
                <w:sz w:val="20"/>
              </w:rPr>
              <w:t>Return on equity</w:t>
            </w:r>
          </w:p>
        </w:tc>
        <w:tc>
          <w:tcPr>
            <w:tcW w:type="dxa" w:w="4320"/>
          </w:tcPr>
          <w:p>
            <w:r>
              <w:rPr>
                <w:sz w:val="20"/>
              </w:rPr>
              <w:t>53.4%</w:t>
            </w:r>
          </w:p>
        </w:tc>
      </w:tr>
      <w:tr>
        <w:tc>
          <w:tcPr>
            <w:tcW w:type="dxa" w:w="4320"/>
          </w:tcPr>
          <w:p>
            <w:r>
              <w:rPr>
                <w:sz w:val="20"/>
              </w:rPr>
              <w:t>Return on assets</w:t>
            </w:r>
          </w:p>
        </w:tc>
        <w:tc>
          <w:tcPr>
            <w:tcW w:type="dxa" w:w="4320"/>
          </w:tcPr>
          <w:p>
            <w:r>
              <w:rPr>
                <w:sz w:val="20"/>
              </w:rPr>
              <w:t>6.5%</w:t>
            </w:r>
          </w:p>
        </w:tc>
      </w:tr>
      <w:tr>
        <w:tc>
          <w:tcPr>
            <w:tcW w:type="dxa" w:w="4320"/>
          </w:tcPr>
          <w:p>
            <w:r>
              <w:rPr>
                <w:sz w:val="20"/>
              </w:rPr>
              <w:t>Debt / Equity</w:t>
            </w:r>
          </w:p>
        </w:tc>
        <w:tc>
          <w:tcPr>
            <w:tcW w:type="dxa" w:w="4320"/>
          </w:tcPr>
          <w:p>
            <w:r>
              <w:rPr>
                <w:sz w:val="20"/>
              </w:rPr>
              <w:t>3.89</w:t>
            </w:r>
          </w:p>
        </w:tc>
      </w:tr>
      <w:tr>
        <w:tc>
          <w:tcPr>
            <w:tcW w:type="dxa" w:w="4320"/>
          </w:tcPr>
          <w:p>
            <w:r>
              <w:rPr>
                <w:sz w:val="20"/>
              </w:rPr>
              <w:t>Current ratio</w:t>
            </w:r>
          </w:p>
        </w:tc>
        <w:tc>
          <w:tcPr>
            <w:tcW w:type="dxa" w:w="4320"/>
          </w:tcPr>
          <w:p>
            <w:r>
              <w:rPr>
                <w:sz w:val="20"/>
              </w:rPr>
              <w:t>1.11</w:t>
            </w:r>
          </w:p>
        </w:tc>
      </w:tr>
      <w:tr>
        <w:tc>
          <w:tcPr>
            <w:tcW w:type="dxa" w:w="4320"/>
          </w:tcPr>
          <w:p>
            <w:r>
              <w:rPr>
                <w:sz w:val="20"/>
              </w:rPr>
              <w:t>Revenue growth (YoY)</w:t>
            </w:r>
          </w:p>
        </w:tc>
        <w:tc>
          <w:tcPr>
            <w:tcW w:type="dxa" w:w="4320"/>
          </w:tcPr>
          <w:p>
            <w:r>
              <w:rPr>
                <w:sz w:val="20"/>
              </w:rPr>
              <w:t>20.6%</w:t>
            </w:r>
          </w:p>
        </w:tc>
      </w:tr>
      <w:tr>
        <w:tc>
          <w:tcPr>
            <w:tcW w:type="dxa" w:w="4320"/>
          </w:tcPr>
          <w:p>
            <w:r>
              <w:rPr>
                <w:sz w:val="20"/>
              </w:rPr>
              <w:t>Earnings growth (YoY)</w:t>
            </w:r>
          </w:p>
        </w:tc>
        <w:tc>
          <w:tcPr>
            <w:tcW w:type="dxa" w:w="4320"/>
          </w:tcPr>
          <w:p>
            <w:r>
              <w:rPr>
                <w:sz w:val="20"/>
              </w:rPr>
              <w:t>21.9%</w:t>
            </w:r>
          </w:p>
        </w:tc>
      </w:tr>
      <w:tr>
        <w:tc>
          <w:tcPr>
            <w:tcW w:type="dxa" w:w="4320"/>
          </w:tcPr>
          <w:p>
            <w:r>
              <w:rPr>
                <w:sz w:val="20"/>
              </w:rPr>
              <w:t>Free cash flow</w:t>
            </w:r>
          </w:p>
        </w:tc>
        <w:tc>
          <w:tcPr>
            <w:tcW w:type="dxa" w:w="4320"/>
          </w:tcPr>
          <w:p>
            <w:r>
              <w:rPr>
                <w:sz w:val="20"/>
              </w:rPr>
              <w:t>$-24.54B</w:t>
            </w:r>
          </w:p>
        </w:tc>
      </w:tr>
      <w:tr>
        <w:tc>
          <w:tcPr>
            <w:tcW w:type="dxa" w:w="4320"/>
          </w:tcPr>
          <w:p>
            <w:r>
              <w:rPr>
                <w:sz w:val="20"/>
              </w:rPr>
              <w:t>Cash on balance sheet</w:t>
            </w:r>
          </w:p>
        </w:tc>
        <w:tc>
          <w:tcPr>
            <w:tcW w:type="dxa" w:w="4320"/>
          </w:tcPr>
          <w:p>
            <w:r>
              <w:rPr>
                <w:sz w:val="20"/>
              </w:rPr>
              <w:t>$31.89B</w:t>
            </w:r>
          </w:p>
        </w:tc>
      </w:tr>
      <w:tr>
        <w:tc>
          <w:tcPr>
            <w:tcW w:type="dxa" w:w="4320"/>
          </w:tcPr>
          <w:p>
            <w:r>
              <w:rPr>
                <w:sz w:val="20"/>
              </w:rPr>
              <w:t>Total debt</w:t>
            </w:r>
          </w:p>
        </w:tc>
        <w:tc>
          <w:tcPr>
            <w:tcW w:type="dxa" w:w="4320"/>
          </w:tcPr>
          <w:p>
            <w:r>
              <w:rPr>
                <w:sz w:val="20"/>
              </w:rPr>
              <w:t>$167.43B</w:t>
            </w:r>
          </w:p>
        </w:tc>
      </w:tr>
      <w:tr>
        <w:tc>
          <w:tcPr>
            <w:tcW w:type="dxa" w:w="4320"/>
          </w:tcPr>
          <w:p>
            <w:r>
              <w:rPr>
                <w:sz w:val="20"/>
              </w:rPr>
              <w:t>Dividend yield</w:t>
            </w:r>
          </w:p>
        </w:tc>
        <w:tc>
          <w:tcPr>
            <w:tcW w:type="dxa" w:w="4320"/>
          </w:tcPr>
          <w:p>
            <w:r>
              <w:rPr>
                <w:sz w:val="20"/>
              </w:rPr>
              <w:t>n/a</w:t>
            </w:r>
          </w:p>
        </w:tc>
      </w:tr>
      <w:tr>
        <w:tc>
          <w:tcPr>
            <w:tcW w:type="dxa" w:w="4320"/>
          </w:tcPr>
          <w:p>
            <w:r>
              <w:rPr>
                <w:sz w:val="20"/>
              </w:rPr>
              <w:t>Dividend payout ratio</w:t>
            </w:r>
          </w:p>
        </w:tc>
        <w:tc>
          <w:tcPr>
            <w:tcW w:type="dxa" w:w="4320"/>
          </w:tcPr>
          <w:p>
            <w:r>
              <w:rPr>
                <w:sz w:val="20"/>
              </w:rPr>
              <w:t>n/a</w:t>
            </w:r>
          </w:p>
        </w:tc>
      </w:tr>
      <w:tr>
        <w:tc>
          <w:tcPr>
            <w:tcW w:type="dxa" w:w="4320"/>
          </w:tcPr>
          <w:p>
            <w:r>
              <w:rPr>
                <w:sz w:val="20"/>
              </w:rPr>
              <w:t>Beta (vs market)</w:t>
            </w:r>
          </w:p>
        </w:tc>
        <w:tc>
          <w:tcPr>
            <w:tcW w:type="dxa" w:w="4320"/>
          </w:tcPr>
          <w:p>
            <w:r>
              <w:rPr>
                <w:sz w:val="20"/>
              </w:rPr>
              <w:t>1.71</w:t>
            </w:r>
          </w:p>
        </w:tc>
      </w:tr>
      <w:tr>
        <w:tc>
          <w:tcPr>
            <w:tcW w:type="dxa" w:w="4320"/>
          </w:tcPr>
          <w:p>
            <w:r>
              <w:rPr>
                <w:sz w:val="20"/>
              </w:rPr>
              <w:t>52-week high</w:t>
            </w:r>
          </w:p>
        </w:tc>
        <w:tc>
          <w:tcPr>
            <w:tcW w:type="dxa" w:w="4320"/>
          </w:tcPr>
          <w:p>
            <w:r>
              <w:rPr>
                <w:sz w:val="20"/>
              </w:rPr>
              <w:t>$345.72</w:t>
            </w:r>
          </w:p>
        </w:tc>
      </w:tr>
      <w:tr>
        <w:tc>
          <w:tcPr>
            <w:tcW w:type="dxa" w:w="4320"/>
          </w:tcPr>
          <w:p>
            <w:r>
              <w:rPr>
                <w:sz w:val="20"/>
              </w:rPr>
              <w:t>52-week low</w:t>
            </w:r>
          </w:p>
        </w:tc>
        <w:tc>
          <w:tcPr>
            <w:tcW w:type="dxa" w:w="4320"/>
          </w:tcPr>
          <w:p>
            <w:r>
              <w:rPr>
                <w:sz w:val="20"/>
              </w:rPr>
              <w:t>$134.57</w:t>
            </w:r>
          </w:p>
        </w:tc>
      </w:tr>
      <w:tr>
        <w:tc>
          <w:tcPr>
            <w:tcW w:type="dxa" w:w="4320"/>
          </w:tcPr>
          <w:p>
            <w:r>
              <w:rPr>
                <w:sz w:val="20"/>
              </w:rPr>
              <w:t>Analyst median target</w:t>
            </w:r>
          </w:p>
        </w:tc>
        <w:tc>
          <w:tcPr>
            <w:tcW w:type="dxa" w:w="4320"/>
          </w:tcPr>
          <w:p>
            <w:r>
              <w:rPr>
                <w:sz w:val="20"/>
              </w:rPr>
              <w:t>$251.85</w:t>
            </w:r>
          </w:p>
        </w:tc>
      </w:tr>
      <w:tr>
        <w:tc>
          <w:tcPr>
            <w:tcW w:type="dxa" w:w="4320"/>
          </w:tcPr>
          <w:p>
            <w:r>
              <w:rPr>
                <w:sz w:val="20"/>
              </w:rPr>
              <w:t>Analyst consensus (1=Strong Buy, 5=Sell)</w:t>
            </w:r>
          </w:p>
        </w:tc>
        <w:tc>
          <w:tcPr>
            <w:tcW w:type="dxa" w:w="4320"/>
          </w:tcPr>
          <w:p>
            <w:r>
              <w:rPr>
                <w:sz w:val="20"/>
              </w:rPr>
              <w:t>1.51</w:t>
            </w:r>
          </w:p>
        </w:tc>
      </w:tr>
      <w:tr>
        <w:tc>
          <w:tcPr>
            <w:tcW w:type="dxa" w:w="4320"/>
          </w:tcPr>
          <w:p>
            <w:r>
              <w:rPr>
                <w:sz w:val="20"/>
              </w:rPr>
              <w:t>Analyst count</w:t>
            </w:r>
          </w:p>
        </w:tc>
        <w:tc>
          <w:tcPr>
            <w:tcW w:type="dxa" w:w="4320"/>
          </w:tcPr>
          <w:p>
            <w:r>
              <w:rPr>
                <w:sz w:val="20"/>
              </w:rPr>
              <w:t>40</w:t>
            </w:r>
          </w:p>
        </w:tc>
      </w:tr>
      <w:tr>
        <w:tc>
          <w:tcPr>
            <w:tcW w:type="dxa" w:w="4320"/>
          </w:tcPr>
          <w:p>
            <w:r>
              <w:rPr>
                <w:sz w:val="20"/>
              </w:rPr>
              <w:t>Margin of safety (vs median target)</w:t>
            </w:r>
          </w:p>
        </w:tc>
        <w:tc>
          <w:tcPr>
            <w:tcW w:type="dxa" w:w="4320"/>
          </w:tcPr>
          <w:p>
            <w:r>
              <w:rPr>
                <w:sz w:val="20"/>
              </w:rPr>
              <w:t>+42.7%  (price $144.25 vs target $251.85)</w:t>
            </w:r>
          </w:p>
        </w:tc>
      </w:tr>
      <w:tr>
        <w:tc>
          <w:tcPr>
            <w:tcW w:type="dxa" w:w="4320"/>
          </w:tcPr>
          <w:p>
            <w:r>
              <w:rPr>
                <w:sz w:val="20"/>
              </w:rPr>
              <w:t>Data source</w:t>
            </w:r>
          </w:p>
        </w:tc>
        <w:tc>
          <w:tcPr>
            <w:tcW w:type="dxa" w:w="4320"/>
          </w:tcPr>
          <w:p>
            <w:r>
              <w:rPr>
                <w:sz w:val="20"/>
              </w:rPr>
              <w:t>Yahoo Finance · pulled 2026-07-09 20:59</w:t>
            </w:r>
          </w:p>
        </w:tc>
      </w:tr>
    </w:tbl>
    <w:p>
      <w:pPr>
        <w:spacing w:before="280" w:after="120"/>
      </w:pPr>
      <w:r>
        <w:rPr>
          <w:b/>
          <w:color w:val="2563EB"/>
          <w:sz w:val="28"/>
        </w:rPr>
        <w:t>My Verdict</w:t>
      </w:r>
    </w:p>
    <w:p>
      <w:pPr>
        <w:spacing w:after="160"/>
      </w:pPr>
      <w:r>
        <w:rPr>
          <w:i w:val="0"/>
          <w:sz w:val="22"/>
        </w:rPr>
        <w:t>Oracle is the oldest company in this series' modern-technology cohort, and in some ways the boldest. At an age when most enterprises settle into managed decline, it has mortgaged part of its fortress to build server halls for an intelligence revolution it did not start and does not control.</w:t>
        <w:br/>
        <w:t>If the bet lands, Oracle will have pulled off one of the great reinventions in business history: the company that stored the twentieth century's records becoming one of the places the twenty-first century thinks. If the bet fails, the databases will still be there, still humming under the world's banks, still billing.</w:t>
        <w:br/>
        <w:t>Apple dazzles. Microsoft endures. NVIDIA powers the AI era. AMD competes. ASML enables. Eli Lilly heals. Broadcom accumulates. Oracle remembers, and is now gambling that the machines that think will need a very good memory.</w:t>
      </w:r>
    </w:p>
    <w:p>
      <w:pPr>
        <w:spacing w:before="280" w:after="120"/>
      </w:pPr>
      <w:r>
        <w:rPr>
          <w:b/>
          <w:color w:val="2563EB"/>
          <w:sz w:val="28"/>
        </w:rPr>
        <w:t>Closing Reflection</w:t>
      </w:r>
    </w:p>
    <w:p>
      <w:r>
        <w:rPr>
          <w:i/>
          <w:sz w:val="24"/>
        </w:rPr>
        <w:t>A question for you: When a 48-year-old company borrows heavily to bet its next act on customers younger than its own database software, is that the recklessness of an ageing giant, or exactly the kind of audacity that gets a company through its second century?</w:t>
      </w:r>
    </w:p>
    <w:p/>
    <w:p>
      <w:r>
        <w:rPr>
          <w:i/>
          <w:color w:val="6B7280"/>
          <w:sz w:val="18"/>
        </w:rPr>
        <w:t>Not financial advice: for educational purposes only.</w:t>
      </w:r>
    </w:p>
    <w:p>
      <w:r>
        <w:rPr>
          <w:i/>
          <w:color w:val="6B7280"/>
          <w:sz w:val="18"/>
        </w:rPr>
        <w:t>Source note: Drafted by AI in your voice from publicly-reported facts (Oracle founded 1977; first commercial SQL database 1979; Sun Microsystems acquired 2010; Cerner acquired 2022; OpenAI, xAI and Meta OCI compute agreements; Stargate partnership announced 2025; TikTok Project Texas hosting; Larry Ellison chairman and CTO). Review and edit before publishing under your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