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14/18</w:t>
      </w:r>
    </w:p>
    <w:p>
      <w:pPr>
        <w:spacing w:after="160"/>
      </w:pPr>
      <w:r>
        <w:rPr>
          <w:b/>
          <w:sz w:val="40"/>
        </w:rPr>
        <w:t>Broadcom Inc (AVGO) — The Quiet Conglomerate Buying Its Way to Indispensable</w:t>
      </w:r>
    </w:p>
    <w:p>
      <w:pPr>
        <w:spacing w:after="160"/>
      </w:pPr>
      <w:r>
        <w:rPr>
          <w:i/>
          <w:sz w:val="24"/>
        </w:rPr>
        <w:t>Pick up almost any modern smartphone and there is a good chance a Broadcom chip is quietly handling its Wi-Fi, Bluetooth and radio-frequency signals. Open a browser on almost any large company's internal systems and there is a good chance it is running on software Broadcom now owns. Train a large language model at Google and the custom chip doing some of the heavy lifting may well have been designed in partnership with Broadcom. Very few companies touch this many layers of the modern economy while remaining almost invisible to the people using them.</w:t>
        <w:br/>
        <w:t>Now move from the EUV bottleneck that makes every chip possible to the company that has spent two decades quietly assembling the businesses that decide what happens once the chip is made: Broadcom Inc (AVGO).</w:t>
        <w:br/>
        <w:t>If ASML enables every leading-edge chip and AMD builds the silicon spine and NVIDIA powers the AI era, Broadcom has taken a different and in some ways more unusual path — not building one great product, but acquiring and operating a portfolio of unglamorous, deeply entrenched businesses, run with a discipline that has made it one of the most quietly effective serial acquirers in technology history.</w:t>
      </w:r>
    </w:p>
    <w:p>
      <w:pPr>
        <w:spacing w:before="280" w:after="120"/>
      </w:pPr>
      <w:r>
        <w:rPr>
          <w:b/>
          <w:color w:val="2563EB"/>
          <w:sz w:val="28"/>
        </w:rPr>
        <w:t>Moat</w:t>
      </w:r>
    </w:p>
    <w:p>
      <w:pPr>
        <w:spacing w:after="160"/>
      </w:pPr>
      <w:r>
        <w:rPr>
          <w:i w:val="0"/>
          <w:sz w:val="22"/>
        </w:rPr>
        <w:t>Broadcom's moat is unusual because it isn't really one moat — it's a collection of smaller ones, each individually strong, stitched together by an acquisition strategy most companies fail at spectacularly.</w:t>
        <w:br/>
        <w:t>• Smartphone RF and connectivity: Broadcom is a critical supplier of the radio-frequency and wireless connectivity chips inside the world's highest-volume smartphone platform. That is a multi-year, deeply engineered relationship that is not easily replaced mid-cycle.</w:t>
        <w:br/>
        <w:t>• Custom AI silicon (XPUs): Rather than compete head-on with NVIDIA's general-purpose GPUs, Broadcom has built a business designing custom AI accelerators for the hyperscalers that want an alternative to buying everything from one supplier. Google's TPU line is the best-known example of this partnership model, and other hyperscalers are reportedly exploring similar custom-silicon programmes with Broadcom. Once a hyperscaler co-designs a chip with you, switching that relationship is a multi-year, multi-billion-dollar decision.</w:t>
        <w:br/>
        <w:t>• Networking silicon: Broadcom's switching and routing chips sit inside a large share of the data centre and telecom networking equipment running the internet — a business few people think about and even fewer companies can credibly compete in at scale.</w:t>
        <w:br/>
        <w:t>• Enterprise software, bought rather than built: Through CA Technologies, the Symantec enterprise security business, and — most significantly — VMware, Broadcom has assembled a portfolio of mission-critical enterprise software that large companies cannot easily rip out. VMware alone underpins the virtualised infrastructure of a huge share of the world's data centres. Migrating off it is the kind of multi-year project most IT departments will delay indefinitely rather than attempt.</w:t>
        <w:br/>
        <w:t>The common thread across all of these: once a customer is embedded, the cost and risk of leaving is high enough that they generally don't.</w:t>
      </w:r>
    </w:p>
    <w:p>
      <w:pPr>
        <w:spacing w:before="280" w:after="120"/>
      </w:pPr>
      <w:r>
        <w:rPr>
          <w:b/>
          <w:color w:val="2563EB"/>
          <w:sz w:val="28"/>
        </w:rPr>
        <w:t>Financial Strength</w:t>
      </w:r>
    </w:p>
    <w:p>
      <w:pPr>
        <w:spacing w:after="160"/>
      </w:pPr>
      <w:r>
        <w:rPr>
          <w:i w:val="0"/>
          <w:sz w:val="22"/>
        </w:rPr>
        <w:t>Broadcom's numbers reflect a company run with unusually strict financial discipline for its size.</w:t>
        <w:br/>
        <w:t>• Revenue: Tens of billions of dollars annually, split between semiconductor solutions and, increasingly, infrastructure software following the VMware acquisition.</w:t>
        <w:br/>
        <w:t>• Margins: Among the highest in large-cap technology, reflecting Hock Tan's well-documented approach to acquired businesses — strip out redundant costs aggressively, keep the profitable core, price for value rather than volume.</w:t>
        <w:br/>
        <w:t>• Free cash flow: Very high relative to revenue, which is what has funded the acquisition strategy without requiring Broadcom to over-lever its balance sheet at any single point.</w:t>
        <w:br/>
        <w:t>• Capital allocation: A meaningful dividend that has grown substantially over the years, alongside continued strategic M&amp;A — Broadcom manages to do both simultaneously, which is unusual for a company also carrying acquisition debt.</w:t>
        <w:br/>
        <w:t>This is the financial profile of a management team that treats every dollar of capital as something that has to earn its place — acquired businesses included.</w:t>
      </w:r>
    </w:p>
    <w:p>
      <w:pPr>
        <w:spacing w:before="280" w:after="120"/>
      </w:pPr>
      <w:r>
        <w:rPr>
          <w:b/>
          <w:color w:val="2563EB"/>
          <w:sz w:val="28"/>
        </w:rPr>
        <w:t>Valuation Reality Check</w:t>
      </w:r>
    </w:p>
    <w:p>
      <w:pPr>
        <w:spacing w:after="160"/>
      </w:pPr>
      <w:r>
        <w:rPr>
          <w:i w:val="0"/>
          <w:sz w:val="22"/>
        </w:rPr>
        <w:t>Broadcom trades at a premium that has expanded significantly as the market has come to appreciate the AI silicon and infrastructure software story alongside the legacy semiconductor business. The P/E sits above the broader semiconductor industry average, reflecting expectations that both the custom AI accelerator business and VMware's enterprise entrenchment continue compounding.</w:t>
        <w:br/>
        <w:t>This doesn't make Broadcom simply expensive — it makes it priced as two businesses in one: a still-growing semiconductor franchise, and a software business with subscription-like recurring revenue characteristics since the VMware acquisition shifted its licensing model. The two halves deserve different multiples, and the market is still working out how to blend them.</w:t>
        <w:br/>
        <w:t>The honest risk to price in: hyperscaler capital expenditure cycles are lumpy, and Broadcom's custom silicon revenue is concentrated among a small number of very large customers. A pause from any one of them would be felt immediately.</w:t>
      </w:r>
    </w:p>
    <w:p>
      <w:pPr>
        <w:spacing w:before="280" w:after="120"/>
      </w:pPr>
      <w:r>
        <w:rPr>
          <w:b/>
          <w:color w:val="2563EB"/>
          <w:sz w:val="28"/>
        </w:rPr>
        <w:t>Innovation</w:t>
      </w:r>
    </w:p>
    <w:p>
      <w:pPr>
        <w:spacing w:after="160"/>
      </w:pPr>
      <w:r>
        <w:rPr>
          <w:i w:val="0"/>
          <w:sz w:val="22"/>
        </w:rPr>
        <w:t>Broadcom does not innovate the way Silicon Valley usually tells the story. There is no garage, no founder myth, no single breakthrough product launch. Instead, Broadcom's defining skill has been operational — identifying underappreciated, deeply entrenched technology businesses, and running them with a discipline their previous owners lacked.</w:t>
        <w:br/>
        <w:t>Consider the VMware acquisition, completed in November 2023 for approximately $69 billion — the largest technology acquisition of that year. Rather than treat VMware as a standalone software company selling perpetual licences to whoever wanted them, Broadcom restructured its entire commercial model around large enterprise subscriptions focused on its most strategically important customers — a controversial move in the trade press, but one consistent with the playbook Hock Tan has run for nearly two decades: concentrate on the highest-value relationships, and don't chase revenue that doesn't clear the bar.</w:t>
        <w:br/>
        <w:t>On the semiconductor side, the custom AI accelerator business represents a genuinely different innovation model. Rather than betting the company on a single general-purpose chip architecture the way NVIDIA has, Broadcom partners directly with hyperscalers to co-design silicon tailored to their specific AI workloads — a slower, more bespoke process, but one that creates exactly the kind of multi-year lock-in described in the moat section above. It is a quieter bet than NVIDIA's, but a very deliberate one.</w:t>
      </w:r>
    </w:p>
    <w:p>
      <w:pPr>
        <w:spacing w:before="280" w:after="120"/>
      </w:pPr>
      <w:r>
        <w:rPr>
          <w:b/>
          <w:color w:val="2563EB"/>
          <w:sz w:val="28"/>
        </w:rPr>
        <w:t>The Next 100 Years</w:t>
      </w:r>
    </w:p>
    <w:p>
      <w:pPr>
        <w:spacing w:after="160"/>
      </w:pPr>
      <w:r>
        <w:rPr>
          <w:i w:val="0"/>
          <w:sz w:val="22"/>
        </w:rPr>
        <w:t>Why does Broadcom belong in the Century Club?</w:t>
        <w:br/>
        <w:t>• It sits at the intersection of two things that are not going away: the world's dependence on wireless connectivity, and the world's growing dependence on custom AI compute. Both trends have decades left to run.</w:t>
        <w:br/>
        <w:t>• Its acquisition discipline is itself a durable competitive advantage. Most large technology M&amp;A destroys value. Broadcom has built a repeatable process for making it work — that skill compounds across acquisitions in a way a single product cannot.</w:t>
        <w:br/>
        <w:t>• Its enterprise software portfolio, anchored by VMware, is now embedded in infrastructure large companies genuinely cannot easily replace — the kind of switching cost that ages well, not badly.</w:t>
        <w:br/>
        <w:t>The risks are real, and worth naming honestly.</w:t>
        <w:br/>
        <w:t>• Customer concentration: A small number of very large hyperscaler and smartphone customers drive an outsized share of revenue. Losing or significantly reducing any one relationship would be felt quickly.</w:t>
        <w:br/>
        <w:t>• Integration risk: Large acquisitions carry execution risk, and the VMware pricing changes have created real friction with some customers — worth watching for signs it goes further than Broadcom's historical playbook can absorb.</w:t>
        <w:br/>
        <w:t>• Acquisition dependency: A strategy built on acquiring other companies' technology requires a continued supply of good targets at reasonable prices — that pipeline is not guaranteed to stay as rich as it has been.</w:t>
        <w:br/>
        <w:t>Even so, if you believe — and I do — that the next century needs both more connected devices and more custom AI infrastructure, it is difficult to write Broadcom out of either story.</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62.85</w:t>
            </w:r>
          </w:p>
        </w:tc>
      </w:tr>
      <w:tr>
        <w:tc>
          <w:tcPr>
            <w:tcW w:type="dxa" w:w="4320"/>
          </w:tcPr>
          <w:p>
            <w:r>
              <w:rPr>
                <w:sz w:val="20"/>
              </w:rPr>
              <w:t>P/E (forward)</w:t>
            </w:r>
          </w:p>
        </w:tc>
        <w:tc>
          <w:tcPr>
            <w:tcW w:type="dxa" w:w="4320"/>
          </w:tcPr>
          <w:p>
            <w:r>
              <w:rPr>
                <w:sz w:val="20"/>
              </w:rPr>
              <w:t>19.48</w:t>
            </w:r>
          </w:p>
        </w:tc>
      </w:tr>
      <w:tr>
        <w:tc>
          <w:tcPr>
            <w:tcW w:type="dxa" w:w="4320"/>
          </w:tcPr>
          <w:p>
            <w:r>
              <w:rPr>
                <w:sz w:val="20"/>
              </w:rPr>
              <w:t>Price / Book</w:t>
            </w:r>
          </w:p>
        </w:tc>
        <w:tc>
          <w:tcPr>
            <w:tcW w:type="dxa" w:w="4320"/>
          </w:tcPr>
          <w:p>
            <w:r>
              <w:rPr>
                <w:sz w:val="20"/>
              </w:rPr>
              <w:t>20.50</w:t>
            </w:r>
          </w:p>
        </w:tc>
      </w:tr>
      <w:tr>
        <w:tc>
          <w:tcPr>
            <w:tcW w:type="dxa" w:w="4320"/>
          </w:tcPr>
          <w:p>
            <w:r>
              <w:rPr>
                <w:sz w:val="20"/>
              </w:rPr>
              <w:t>Market cap</w:t>
            </w:r>
          </w:p>
        </w:tc>
        <w:tc>
          <w:tcPr>
            <w:tcW w:type="dxa" w:w="4320"/>
          </w:tcPr>
          <w:p>
            <w:r>
              <w:rPr>
                <w:sz w:val="20"/>
              </w:rPr>
              <w:t>$1.80T</w:t>
            </w:r>
          </w:p>
        </w:tc>
      </w:tr>
      <w:tr>
        <w:tc>
          <w:tcPr>
            <w:tcW w:type="dxa" w:w="4320"/>
          </w:tcPr>
          <w:p>
            <w:r>
              <w:rPr>
                <w:sz w:val="20"/>
              </w:rPr>
              <w:t>Profit margin</w:t>
            </w:r>
          </w:p>
        </w:tc>
        <w:tc>
          <w:tcPr>
            <w:tcW w:type="dxa" w:w="4320"/>
          </w:tcPr>
          <w:p>
            <w:r>
              <w:rPr>
                <w:sz w:val="20"/>
              </w:rPr>
              <w:t>38.8%</w:t>
            </w:r>
          </w:p>
        </w:tc>
      </w:tr>
      <w:tr>
        <w:tc>
          <w:tcPr>
            <w:tcW w:type="dxa" w:w="4320"/>
          </w:tcPr>
          <w:p>
            <w:r>
              <w:rPr>
                <w:sz w:val="20"/>
              </w:rPr>
              <w:t>Gross margin</w:t>
            </w:r>
          </w:p>
        </w:tc>
        <w:tc>
          <w:tcPr>
            <w:tcW w:type="dxa" w:w="4320"/>
          </w:tcPr>
          <w:p>
            <w:r>
              <w:rPr>
                <w:sz w:val="20"/>
              </w:rPr>
              <w:t>76.3%</w:t>
            </w:r>
          </w:p>
        </w:tc>
      </w:tr>
      <w:tr>
        <w:tc>
          <w:tcPr>
            <w:tcW w:type="dxa" w:w="4320"/>
          </w:tcPr>
          <w:p>
            <w:r>
              <w:rPr>
                <w:sz w:val="20"/>
              </w:rPr>
              <w:t>Operating margin</w:t>
            </w:r>
          </w:p>
        </w:tc>
        <w:tc>
          <w:tcPr>
            <w:tcW w:type="dxa" w:w="4320"/>
          </w:tcPr>
          <w:p>
            <w:r>
              <w:rPr>
                <w:sz w:val="20"/>
              </w:rPr>
              <w:t>49.0%</w:t>
            </w:r>
          </w:p>
        </w:tc>
      </w:tr>
      <w:tr>
        <w:tc>
          <w:tcPr>
            <w:tcW w:type="dxa" w:w="4320"/>
          </w:tcPr>
          <w:p>
            <w:r>
              <w:rPr>
                <w:sz w:val="20"/>
              </w:rPr>
              <w:t>Return on equity</w:t>
            </w:r>
          </w:p>
        </w:tc>
        <w:tc>
          <w:tcPr>
            <w:tcW w:type="dxa" w:w="4320"/>
          </w:tcPr>
          <w:p>
            <w:r>
              <w:rPr>
                <w:sz w:val="20"/>
              </w:rPr>
              <w:t>37.3%</w:t>
            </w:r>
          </w:p>
        </w:tc>
      </w:tr>
      <w:tr>
        <w:tc>
          <w:tcPr>
            <w:tcW w:type="dxa" w:w="4320"/>
          </w:tcPr>
          <w:p>
            <w:r>
              <w:rPr>
                <w:sz w:val="20"/>
              </w:rPr>
              <w:t>Return on assets</w:t>
            </w:r>
          </w:p>
        </w:tc>
        <w:tc>
          <w:tcPr>
            <w:tcW w:type="dxa" w:w="4320"/>
          </w:tcPr>
          <w:p>
            <w:r>
              <w:rPr>
                <w:sz w:val="20"/>
              </w:rPr>
              <w:t>12.1%</w:t>
            </w:r>
          </w:p>
        </w:tc>
      </w:tr>
      <w:tr>
        <w:tc>
          <w:tcPr>
            <w:tcW w:type="dxa" w:w="4320"/>
          </w:tcPr>
          <w:p>
            <w:r>
              <w:rPr>
                <w:sz w:val="20"/>
              </w:rPr>
              <w:t>Debt / Equity</w:t>
            </w:r>
          </w:p>
        </w:tc>
        <w:tc>
          <w:tcPr>
            <w:tcW w:type="dxa" w:w="4320"/>
          </w:tcPr>
          <w:p>
            <w:r>
              <w:rPr>
                <w:sz w:val="20"/>
              </w:rPr>
              <w:t>0.74</w:t>
            </w:r>
          </w:p>
        </w:tc>
      </w:tr>
      <w:tr>
        <w:tc>
          <w:tcPr>
            <w:tcW w:type="dxa" w:w="4320"/>
          </w:tcPr>
          <w:p>
            <w:r>
              <w:rPr>
                <w:sz w:val="20"/>
              </w:rPr>
              <w:t>Current ratio</w:t>
            </w:r>
          </w:p>
        </w:tc>
        <w:tc>
          <w:tcPr>
            <w:tcW w:type="dxa" w:w="4320"/>
          </w:tcPr>
          <w:p>
            <w:r>
              <w:rPr>
                <w:sz w:val="20"/>
              </w:rPr>
              <w:t>2.24</w:t>
            </w:r>
          </w:p>
        </w:tc>
      </w:tr>
      <w:tr>
        <w:tc>
          <w:tcPr>
            <w:tcW w:type="dxa" w:w="4320"/>
          </w:tcPr>
          <w:p>
            <w:r>
              <w:rPr>
                <w:sz w:val="20"/>
              </w:rPr>
              <w:t>Revenue growth (YoY)</w:t>
            </w:r>
          </w:p>
        </w:tc>
        <w:tc>
          <w:tcPr>
            <w:tcW w:type="dxa" w:w="4320"/>
          </w:tcPr>
          <w:p>
            <w:r>
              <w:rPr>
                <w:sz w:val="20"/>
              </w:rPr>
              <w:t>47.9%</w:t>
            </w:r>
          </w:p>
        </w:tc>
      </w:tr>
      <w:tr>
        <w:tc>
          <w:tcPr>
            <w:tcW w:type="dxa" w:w="4320"/>
          </w:tcPr>
          <w:p>
            <w:r>
              <w:rPr>
                <w:sz w:val="20"/>
              </w:rPr>
              <w:t>Earnings growth (YoY)</w:t>
            </w:r>
          </w:p>
        </w:tc>
        <w:tc>
          <w:tcPr>
            <w:tcW w:type="dxa" w:w="4320"/>
          </w:tcPr>
          <w:p>
            <w:r>
              <w:rPr>
                <w:sz w:val="20"/>
              </w:rPr>
              <w:t>85.4%</w:t>
            </w:r>
          </w:p>
        </w:tc>
      </w:tr>
      <w:tr>
        <w:tc>
          <w:tcPr>
            <w:tcW w:type="dxa" w:w="4320"/>
          </w:tcPr>
          <w:p>
            <w:r>
              <w:rPr>
                <w:sz w:val="20"/>
              </w:rPr>
              <w:t>Free cash flow</w:t>
            </w:r>
          </w:p>
        </w:tc>
        <w:tc>
          <w:tcPr>
            <w:tcW w:type="dxa" w:w="4320"/>
          </w:tcPr>
          <w:p>
            <w:r>
              <w:rPr>
                <w:sz w:val="20"/>
              </w:rPr>
              <w:t>$27.21B</w:t>
            </w:r>
          </w:p>
        </w:tc>
      </w:tr>
      <w:tr>
        <w:tc>
          <w:tcPr>
            <w:tcW w:type="dxa" w:w="4320"/>
          </w:tcPr>
          <w:p>
            <w:r>
              <w:rPr>
                <w:sz w:val="20"/>
              </w:rPr>
              <w:t>Cash on balance sheet</w:t>
            </w:r>
          </w:p>
        </w:tc>
        <w:tc>
          <w:tcPr>
            <w:tcW w:type="dxa" w:w="4320"/>
          </w:tcPr>
          <w:p>
            <w:r>
              <w:rPr>
                <w:sz w:val="20"/>
              </w:rPr>
              <w:t>$19.63B</w:t>
            </w:r>
          </w:p>
        </w:tc>
      </w:tr>
      <w:tr>
        <w:tc>
          <w:tcPr>
            <w:tcW w:type="dxa" w:w="4320"/>
          </w:tcPr>
          <w:p>
            <w:r>
              <w:rPr>
                <w:sz w:val="20"/>
              </w:rPr>
              <w:t>Total debt</w:t>
            </w:r>
          </w:p>
        </w:tc>
        <w:tc>
          <w:tcPr>
            <w:tcW w:type="dxa" w:w="4320"/>
          </w:tcPr>
          <w:p>
            <w:r>
              <w:rPr>
                <w:sz w:val="20"/>
              </w:rPr>
              <w:t>$64.91B</w:t>
            </w:r>
          </w:p>
        </w:tc>
      </w:tr>
      <w:tr>
        <w:tc>
          <w:tcPr>
            <w:tcW w:type="dxa" w:w="4320"/>
          </w:tcPr>
          <w:p>
            <w:r>
              <w:rPr>
                <w:sz w:val="20"/>
              </w:rPr>
              <w:t>Dividend yield</w:t>
            </w:r>
          </w:p>
        </w:tc>
        <w:tc>
          <w:tcPr>
            <w:tcW w:type="dxa" w:w="4320"/>
          </w:tcPr>
          <w:p>
            <w:r>
              <w:rPr>
                <w:sz w:val="20"/>
              </w:rPr>
              <w:t>69.00%</w:t>
            </w:r>
          </w:p>
        </w:tc>
      </w:tr>
      <w:tr>
        <w:tc>
          <w:tcPr>
            <w:tcW w:type="dxa" w:w="4320"/>
          </w:tcPr>
          <w:p>
            <w:r>
              <w:rPr>
                <w:sz w:val="20"/>
              </w:rPr>
              <w:t>Dividend payout ratio</w:t>
            </w:r>
          </w:p>
        </w:tc>
        <w:tc>
          <w:tcPr>
            <w:tcW w:type="dxa" w:w="4320"/>
          </w:tcPr>
          <w:p>
            <w:r>
              <w:rPr>
                <w:sz w:val="20"/>
              </w:rPr>
              <w:t>41.3%</w:t>
            </w:r>
          </w:p>
        </w:tc>
      </w:tr>
      <w:tr>
        <w:tc>
          <w:tcPr>
            <w:tcW w:type="dxa" w:w="4320"/>
          </w:tcPr>
          <w:p>
            <w:r>
              <w:rPr>
                <w:sz w:val="20"/>
              </w:rPr>
              <w:t>Beta (vs market)</w:t>
            </w:r>
          </w:p>
        </w:tc>
        <w:tc>
          <w:tcPr>
            <w:tcW w:type="dxa" w:w="4320"/>
          </w:tcPr>
          <w:p>
            <w:r>
              <w:rPr>
                <w:sz w:val="20"/>
              </w:rPr>
              <w:t>1.43</w:t>
            </w:r>
          </w:p>
        </w:tc>
      </w:tr>
      <w:tr>
        <w:tc>
          <w:tcPr>
            <w:tcW w:type="dxa" w:w="4320"/>
          </w:tcPr>
          <w:p>
            <w:r>
              <w:rPr>
                <w:sz w:val="20"/>
              </w:rPr>
              <w:t>52-week high</w:t>
            </w:r>
          </w:p>
        </w:tc>
        <w:tc>
          <w:tcPr>
            <w:tcW w:type="dxa" w:w="4320"/>
          </w:tcPr>
          <w:p>
            <w:r>
              <w:rPr>
                <w:sz w:val="20"/>
              </w:rPr>
              <w:t>$495.00</w:t>
            </w:r>
          </w:p>
        </w:tc>
      </w:tr>
      <w:tr>
        <w:tc>
          <w:tcPr>
            <w:tcW w:type="dxa" w:w="4320"/>
          </w:tcPr>
          <w:p>
            <w:r>
              <w:rPr>
                <w:sz w:val="20"/>
              </w:rPr>
              <w:t>52-week low</w:t>
            </w:r>
          </w:p>
        </w:tc>
        <w:tc>
          <w:tcPr>
            <w:tcW w:type="dxa" w:w="4320"/>
          </w:tcPr>
          <w:p>
            <w:r>
              <w:rPr>
                <w:sz w:val="20"/>
              </w:rPr>
              <w:t>$262.73</w:t>
            </w:r>
          </w:p>
        </w:tc>
      </w:tr>
      <w:tr>
        <w:tc>
          <w:tcPr>
            <w:tcW w:type="dxa" w:w="4320"/>
          </w:tcPr>
          <w:p>
            <w:r>
              <w:rPr>
                <w:sz w:val="20"/>
              </w:rPr>
              <w:t>Analyst median target</w:t>
            </w:r>
          </w:p>
        </w:tc>
        <w:tc>
          <w:tcPr>
            <w:tcW w:type="dxa" w:w="4320"/>
          </w:tcPr>
          <w:p>
            <w:r>
              <w:rPr>
                <w:sz w:val="20"/>
              </w:rPr>
              <w:t>$523.73</w:t>
            </w:r>
          </w:p>
        </w:tc>
      </w:tr>
      <w:tr>
        <w:tc>
          <w:tcPr>
            <w:tcW w:type="dxa" w:w="4320"/>
          </w:tcPr>
          <w:p>
            <w:r>
              <w:rPr>
                <w:sz w:val="20"/>
              </w:rPr>
              <w:t>Analyst consensus (1=Strong Buy, 5=Sell)</w:t>
            </w:r>
          </w:p>
        </w:tc>
        <w:tc>
          <w:tcPr>
            <w:tcW w:type="dxa" w:w="4320"/>
          </w:tcPr>
          <w:p>
            <w:r>
              <w:rPr>
                <w:sz w:val="20"/>
              </w:rPr>
              <w:t>1.31</w:t>
            </w:r>
          </w:p>
        </w:tc>
      </w:tr>
      <w:tr>
        <w:tc>
          <w:tcPr>
            <w:tcW w:type="dxa" w:w="4320"/>
          </w:tcPr>
          <w:p>
            <w:r>
              <w:rPr>
                <w:sz w:val="20"/>
              </w:rPr>
              <w:t>Analyst count</w:t>
            </w:r>
          </w:p>
        </w:tc>
        <w:tc>
          <w:tcPr>
            <w:tcW w:type="dxa" w:w="4320"/>
          </w:tcPr>
          <w:p>
            <w:r>
              <w:rPr>
                <w:sz w:val="20"/>
              </w:rPr>
              <w:t>45</w:t>
            </w:r>
          </w:p>
        </w:tc>
      </w:tr>
      <w:tr>
        <w:tc>
          <w:tcPr>
            <w:tcW w:type="dxa" w:w="4320"/>
          </w:tcPr>
          <w:p>
            <w:r>
              <w:rPr>
                <w:sz w:val="20"/>
              </w:rPr>
              <w:t>Margin of safety (vs median target)</w:t>
            </w:r>
          </w:p>
        </w:tc>
        <w:tc>
          <w:tcPr>
            <w:tcW w:type="dxa" w:w="4320"/>
          </w:tcPr>
          <w:p>
            <w:r>
              <w:rPr>
                <w:sz w:val="20"/>
              </w:rPr>
              <w:t>+27.9%  (price $377.75 vs target $523.73)</w:t>
            </w:r>
          </w:p>
        </w:tc>
      </w:tr>
      <w:tr>
        <w:tc>
          <w:tcPr>
            <w:tcW w:type="dxa" w:w="4320"/>
          </w:tcPr>
          <w:p>
            <w:r>
              <w:rPr>
                <w:sz w:val="20"/>
              </w:rPr>
              <w:t>Data source</w:t>
            </w:r>
          </w:p>
        </w:tc>
        <w:tc>
          <w:tcPr>
            <w:tcW w:type="dxa" w:w="4320"/>
          </w:tcPr>
          <w:p>
            <w:r>
              <w:rPr>
                <w:sz w:val="20"/>
              </w:rPr>
              <w:t>Yahoo Finance · pulled 2026-07-01 13:17</w:t>
            </w:r>
          </w:p>
        </w:tc>
      </w:tr>
    </w:tbl>
    <w:p>
      <w:pPr>
        <w:spacing w:before="280" w:after="120"/>
      </w:pPr>
      <w:r>
        <w:rPr>
          <w:b/>
          <w:color w:val="2563EB"/>
          <w:sz w:val="28"/>
        </w:rPr>
        <w:t>My Verdict</w:t>
      </w:r>
    </w:p>
    <w:p>
      <w:pPr>
        <w:spacing w:after="160"/>
      </w:pPr>
      <w:r>
        <w:rPr>
          <w:i w:val="0"/>
          <w:sz w:val="22"/>
        </w:rPr>
        <w:t>Broadcom is not a company built around one great idea. It is a company built around a repeatable discipline — identify entrenched, undervalued technology franchises, and run them better than anyone thought possible. That discipline has turned a spin-off of HP's semiconductor division into one of the most quietly powerful technology conglomerates in the world.</w:t>
        <w:br/>
        <w:t>Apple dazzles. Microsoft endures. NVIDIA powers the AI era. AMD competes. ASML enables. Eli Lilly heals. Broadcom accumulates — buying its way, deliberately and relentlessly, into becoming indispensable.</w:t>
      </w:r>
    </w:p>
    <w:p>
      <w:pPr>
        <w:spacing w:before="280" w:after="120"/>
      </w:pPr>
      <w:r>
        <w:rPr>
          <w:b/>
          <w:color w:val="2563EB"/>
          <w:sz w:val="28"/>
        </w:rPr>
        <w:t>Closing Reflection</w:t>
      </w:r>
    </w:p>
    <w:p>
      <w:r>
        <w:rPr>
          <w:i/>
          <w:sz w:val="24"/>
        </w:rPr>
        <w:t>A question for you: If a company's core skill is not building one great product but repeatedly acquiring and disciplining entrenched technology franchises — is that a less durable moat than a single dominant product, or a more durable one, because the skill itself can be pointed at whatever comes next?</w:t>
      </w:r>
    </w:p>
    <w:p/>
    <w:p>
      <w:r>
        <w:rPr>
          <w:i/>
          <w:color w:val="6B7280"/>
          <w:sz w:val="18"/>
        </w:rPr>
        <w:t>Not financial advice — for educational purposes only.</w:t>
      </w:r>
    </w:p>
    <w:p>
      <w:r>
        <w:rPr>
          <w:i/>
          <w:color w:val="6B7280"/>
          <w:sz w:val="18"/>
        </w:rPr>
        <w:t>Source note: Drafted by AI in your voice from publicly-reported facts (Broadcom traces to HP's semiconductor division; Avago Technologies IPO 2009; acquired Broadcom Corp 2016; Hock Tan CEO since 2006; CA Technologies 2018; Symantec enterprise security 2019; VMware acquisition completed November 2023 for approximately $69bn; Google TPU custom silicon partnership). Review and edit before publishing under your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