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Cyber security & digital access policy

Assessment Date: {assessmentDate}
Overall Score: {overallScore}/10 ({riskLevel} risk)
Category Score: {categoryScore}/10 ({categoryRiskLevel} risk)

DIGITAL ACCESS, DEVICES, AND SENSITIVE INFORMATION

This policy defines authentication, access tiers, and safe handling of financial and estate information for the {familyName} family.

RESPONSIBLE PARTIES:
Primary Authority: {householdHead}
Access Approvers: {decisionMakers}

IDENTIFIED GAPS TO ADDRESS:
{#gaps}• {description} - {severity} Priority
  Recommendation: {recommendation}

{/gaps}

STRENGTHS TO MAINTAIN:
{#strengths}• {.}
{/strengths}

RECOMMENDATIONS FOR IMPLEMENTATION:
{#recommendations}• {.}
{/recommendations}

CYBER SECURITY FRAMEWORK:
1. MFA and hardened recovery paths for email and financial accounts
2. Home network segmentation and IoT inventory
3. Need-to-know access to trust, tax, and investment documents
4. Periodic access reviews as household roles change</w:t>
      </w:r>
    </w:p>
  </w:body>
</w:document>
</file>