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Geographic risk policy

Assessment Date: {assessmentDate}
Overall Score: {overallScore}/10 ({riskLevel} risk)
Category Score: {categoryScore}/10 ({categoryRiskLevel} risk)

NATURAL HAZARD EXPOSURE & PROPERTY RESILIENCE

This policy documents how the {familyName} household identifies regional hazards, maintains insurance, and plans for evacuation or prolonged disruption.

RESPONSIBLE PARTIES:
Primary Authority: {householdHead}

IDENTIFIED GAPS TO ADDRESS:
{#gaps}• {description} - {severity} Priority
  Recommendation: {recommendation}

{/gaps}

STRENGTHS TO MAINTAIN:
{#strengths}• {.}
{/strengths}

RECOMMENDATIONS FOR IMPLEMENTATION:
{#recommendations}• {.}
{/recommendations}

ENVIRONMENTAL & GEOGRAPHIC FRAMEWORK:
1. Hazard mapping and broker review cycle for primary residences
2. Catastrophe coverage aligned to replacement value and ordinance costs
3. Evacuation routes, rally points, and household communications
4. Continuity: records, secondary locations, and advisor contact tree</w:t>
      </w:r>
    </w:p>
  </w:body>
</w:document>
</file>