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{familyName} Physical security policy
Assessment Date: {assessmentDate}
Overall Score: {overallScore}/10 ({riskLevel} risk)
Category Score: {categoryScore}/10 ({categoryRiskLevel} risk)
RESIDENCE, TRAVEL, AND PERSONAL SAFETY
This policy defines physical security expectations for residences, travel, and dependents for the {familyName} family.
RESPONSIBLE PARTIES:
Primary Authority: {householdHead}
IDENTIFIED GAPS TO ADDRESS:
{#gaps}• {description} - {severity} Priority
  Recommendation: {recommendation}
{/gaps}
STRENGTHS TO MAINTAIN:
{#strengths}• {.}
{/strengths}
RECOMMENDATIONS FOR IMPLEMENTATION:
{#recommendations}• {.}
{/recommendations}
PHYSICAL SECURITY FRAMEWORK:
1. Layered controls at primary homes (entries, lighting, monitoring)
2. Neighborhood risk awareness and routine adjustments
3. Travel security briefings for elevated-risk destinations
4. Duress communication and escalation for household members</w:t>
      </w:r>
    </w:p>
  </w:body>
</w:document>
</file>