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r>
        <w:t xml:space="preserve">{familyName} Reputational & social risk policy

Assessment Date: {assessmentDate}
Overall Score: {overallScore}/10 ({riskLevel} risk)
Category Score: {categoryScore}/10 ({categoryRiskLevel} risk)

CONDUCT, VISIBILITY, AND PUBLIC FOOTPRINT

This policy sets expectations for behavior, social media, and reputation-sensitive activities for the {familyName} family.

RESPONSIBLE PARTIES:
Primary Authority: {householdHead}

IDENTIFIED GAPS TO ADDRESS:
{#gaps}• {description} - {severity} Priority
  Recommendation: {recommendation}

{/gaps}

STRENGTHS TO MAINTAIN:
{#strengths}• {.}
{/strengths}

RECOMMENDATIONS FOR IMPLEMENTATION:
{#recommendations}• {.}
{/recommendations}

REPUTATIONAL & SOCIAL FRAMEWORK:
1. Written family standards and graduated enforcement
2. Social media, press, and confidentiality norms for wealth-related topics
3. Substance and behavioral health policies with support pathways
4. Periodic review of routines and exposure that affect reputation or safety</w:t>
      </w:r>
    </w:p>
  </w:body>
</w:document>
</file>