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foncier-v3.5.0-synthèse-technique"/>
    <w:p>
      <w:pPr>
        <w:pStyle w:val="Heading1"/>
      </w:pPr>
      <w:r>
        <w:t xml:space="preserve">FONCIER+ v3.5.0 — Synthèse technique</w:t>
      </w:r>
    </w:p>
    <w:p>
      <w:pPr>
        <w:pStyle w:val="FirstParagraph"/>
      </w:pPr>
      <w:r>
        <w:rPr>
          <w:bCs/>
          <w:b/>
        </w:rPr>
        <w:t xml:space="preserve">République du Niger</w:t>
      </w:r>
      <w:r>
        <w:t xml:space="preserve"> </w:t>
      </w:r>
      <w:r>
        <w:rPr>
          <w:bCs/>
          <w:b/>
        </w:rPr>
        <w:t xml:space="preserve">Ministère de l’Urbanisme et de l’Habitat — Secrétariat Général</w:t>
      </w:r>
      <w:r>
        <w:t xml:space="preserve"> </w:t>
      </w:r>
      <w:r>
        <w:rPr>
          <w:bCs/>
          <w:b/>
        </w:rPr>
        <w:t xml:space="preserve">Direction Nationale du Cadastre et du Domaine</w:t>
      </w:r>
    </w:p>
    <w:p>
      <w:pPr>
        <w:pStyle w:val="BodyText"/>
      </w:pPr>
      <w:r>
        <w:rPr>
          <w:iCs/>
          <w:i/>
        </w:rPr>
        <w:t xml:space="preserve">Version 3.5.0 — Fondation administrative complète</w:t>
      </w:r>
      <w:r>
        <w:t xml:space="preserve"> </w:t>
      </w:r>
      <w:r>
        <w:rPr>
          <w:iCs/>
          <w:i/>
        </w:rPr>
        <w:t xml:space="preserve">Avril 2026</w:t>
      </w:r>
    </w:p>
    <w:p>
      <w:r>
        <w:pict>
          <v:rect style="width:0;height:1.5pt" o:hralign="center" o:hrstd="t" o:hr="t"/>
        </w:pict>
      </w:r>
    </w:p>
    <w:bookmarkStart w:id="20" w:name="résumé-exécutif"/>
    <w:p>
      <w:pPr>
        <w:pStyle w:val="Heading2"/>
      </w:pPr>
      <w:r>
        <w:t xml:space="preserve">Résumé exécutif</w:t>
      </w:r>
    </w:p>
    <w:p>
      <w:pPr>
        <w:pStyle w:val="FirstParagraph"/>
      </w:pPr>
      <w:r>
        <w:t xml:space="preserve">La version 3.5.0 de FONCIER+ achève la transformation administrative de la</w:t>
      </w:r>
      <w:r>
        <w:t xml:space="preserve"> </w:t>
      </w:r>
      <w:r>
        <w:t xml:space="preserve">plateforme nationale de gestion foncière du Niger. Elle ferme les</w:t>
      </w:r>
      <w:r>
        <w:t xml:space="preserve"> </w:t>
      </w:r>
      <w:r>
        <w:rPr>
          <w:bCs/>
          <w:b/>
        </w:rPr>
        <w:t xml:space="preserve">9 lacunes</w:t>
      </w:r>
      <w:r>
        <w:rPr>
          <w:bCs/>
          <w:b/>
        </w:rPr>
        <w:t xml:space="preserve"> </w:t>
      </w:r>
      <w:r>
        <w:rPr>
          <w:bCs/>
          <w:b/>
        </w:rPr>
        <w:t xml:space="preserve">restantes</w:t>
      </w:r>
      <w:r>
        <w:t xml:space="preserve"> </w:t>
      </w:r>
      <w:r>
        <w:t xml:space="preserve">de l’audit administratif (catégories B, C et D) en posant</w:t>
      </w:r>
      <w:r>
        <w:t xml:space="preserve"> </w:t>
      </w:r>
      <w:r>
        <w:t xml:space="preserve">l’infrastructure fondamentale de la</w:t>
      </w:r>
      <w:r>
        <w:t xml:space="preserve"> </w:t>
      </w:r>
      <w:r>
        <w:rPr>
          <w:bCs/>
          <w:b/>
        </w:rPr>
        <w:t xml:space="preserve">numérotation chronologique officielle</w:t>
      </w:r>
      <w:r>
        <w:t xml:space="preserve">,</w:t>
      </w:r>
      <w:r>
        <w:t xml:space="preserve"> </w:t>
      </w:r>
      <w:r>
        <w:t xml:space="preserve">du</w:t>
      </w:r>
      <w:r>
        <w:t xml:space="preserve"> </w:t>
      </w:r>
      <w:r>
        <w:rPr>
          <w:bCs/>
          <w:b/>
        </w:rPr>
        <w:t xml:space="preserve">système de templates documentaires versionnés</w:t>
      </w:r>
      <w:r>
        <w:t xml:space="preserve"> </w:t>
      </w:r>
      <w:r>
        <w:t xml:space="preserve">et des</w:t>
      </w:r>
      <w:r>
        <w:t xml:space="preserve"> </w:t>
      </w:r>
      <w:r>
        <w:rPr>
          <w:bCs/>
          <w:b/>
        </w:rPr>
        <w:t xml:space="preserve">états</w:t>
      </w:r>
      <w:r>
        <w:rPr>
          <w:bCs/>
          <w:b/>
        </w:rPr>
        <w:t xml:space="preserve"> </w:t>
      </w:r>
      <w:r>
        <w:rPr>
          <w:bCs/>
          <w:b/>
        </w:rPr>
        <w:t xml:space="preserve">administratifs automatisés</w:t>
      </w:r>
      <w:r>
        <w:t xml:space="preserve">.</w:t>
      </w:r>
    </w:p>
    <w:p>
      <w:pPr>
        <w:pStyle w:val="BodyText"/>
      </w:pPr>
      <w:r>
        <w:t xml:space="preserve">Avec v3.5.0, FONCIER+ atteint pour la première fois la</w:t>
      </w:r>
      <w:r>
        <w:t xml:space="preserve"> </w:t>
      </w:r>
      <w:r>
        <w:rPr>
          <w:bCs/>
          <w:b/>
        </w:rPr>
        <w:t xml:space="preserve">plénitude</w:t>
      </w:r>
      <w:r>
        <w:rPr>
          <w:bCs/>
          <w:b/>
        </w:rPr>
        <w:t xml:space="preserve"> </w:t>
      </w:r>
      <w:r>
        <w:rPr>
          <w:bCs/>
          <w:b/>
        </w:rPr>
        <w:t xml:space="preserve">administrative</w:t>
      </w:r>
      <w:r>
        <w:t xml:space="preserve"> </w:t>
      </w:r>
      <w:r>
        <w:t xml:space="preserve">attendue par le Code foncier nigérien : chaque acte produit</w:t>
      </w:r>
      <w:r>
        <w:t xml:space="preserve"> </w:t>
      </w:r>
      <w:r>
        <w:t xml:space="preserve">porte un numéro d’ordre unique et irrévocable, chaque document est émis</w:t>
      </w:r>
      <w:r>
        <w:t xml:space="preserve"> </w:t>
      </w:r>
      <w:r>
        <w:t xml:space="preserve">depuis un template tracé et validé, et chaque trimestre peut faire l’objet</w:t>
      </w:r>
      <w:r>
        <w:t xml:space="preserve"> </w:t>
      </w:r>
      <w:r>
        <w:t xml:space="preserve">d’un état consolidé remonté automatiquement au Secrétariat Général.</w:t>
      </w:r>
    </w:p>
    <w:p>
      <w:pPr>
        <w:pStyle w:val="BodyText"/>
      </w:pPr>
      <w:r>
        <w:t xml:space="preserve">C’est aussi la première version qui</w:t>
      </w:r>
      <w:r>
        <w:t xml:space="preserve"> </w:t>
      </w:r>
      <w:r>
        <w:rPr>
          <w:bCs/>
          <w:b/>
        </w:rPr>
        <w:t xml:space="preserve">dépasse le rôle de système de base</w:t>
      </w:r>
      <w:r>
        <w:rPr>
          <w:bCs/>
          <w:b/>
        </w:rPr>
        <w:t xml:space="preserve"> </w:t>
      </w:r>
      <w:r>
        <w:rPr>
          <w:bCs/>
          <w:b/>
        </w:rPr>
        <w:t xml:space="preserve">de données</w:t>
      </w:r>
      <w:r>
        <w:t xml:space="preserve"> </w:t>
      </w:r>
      <w:r>
        <w:t xml:space="preserve">pour devenir un véritable</w:t>
      </w:r>
      <w:r>
        <w:t xml:space="preserve"> </w:t>
      </w:r>
      <w:r>
        <w:rPr>
          <w:bCs/>
          <w:b/>
        </w:rPr>
        <w:t xml:space="preserve">outil de travail administratif</w:t>
      </w:r>
      <w:r>
        <w:t xml:space="preserve"> </w:t>
      </w:r>
      <w:r>
        <w:t xml:space="preserve">au sens du Code de procédure civile et commerciale du Niger.</w:t>
      </w:r>
    </w:p>
    <w:p>
      <w:r>
        <w:pict>
          <v:rect style="width:0;height:1.5pt" o:hralign="center" o:hrstd="t" o:hr="t"/>
        </w:pict>
      </w:r>
    </w:p>
    <w:bookmarkEnd w:id="20"/>
    <w:bookmarkStart w:id="21" w:name="chiffres-clés-cumulés-depuis-v3.4.7"/>
    <w:p>
      <w:pPr>
        <w:pStyle w:val="Heading2"/>
      </w:pPr>
      <w:r>
        <w:t xml:space="preserve">Chiffres clés cumulés depuis v3.4.7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Séquences officielles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Triggers antifraude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Fonctions PL/pgSQL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Vues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Registres officiels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Templates documentaires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Migrations Alembic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méta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Couverture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+76 pts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périmètre-de-la-v3.5.0"/>
    <w:p>
      <w:pPr>
        <w:pStyle w:val="Heading2"/>
      </w:pPr>
      <w:r>
        <w:t xml:space="preserve">Périmètre de la v3.5.0</w:t>
      </w:r>
    </w:p>
    <w:p>
      <w:pPr>
        <w:pStyle w:val="FirstParagraph"/>
      </w:pPr>
      <w:r>
        <w:t xml:space="preserve">La v3.5.0 est</w:t>
      </w:r>
      <w:r>
        <w:t xml:space="preserve"> </w:t>
      </w:r>
      <w:r>
        <w:rPr>
          <w:bCs/>
          <w:b/>
        </w:rPr>
        <w:t xml:space="preserve">additive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compatible ascendante</w:t>
      </w:r>
      <w:r>
        <w:t xml:space="preserve"> </w:t>
      </w:r>
      <w:r>
        <w:t xml:space="preserve">avec v3.4.9.</w:t>
      </w:r>
      <w:r>
        <w:t xml:space="preserve"> </w:t>
      </w:r>
      <w:r>
        <w:t xml:space="preserve">Une seule migration est introduite :</w:t>
      </w:r>
      <w:r>
        <w:t xml:space="preserve"> </w:t>
      </w:r>
      <w:r>
        <w:rPr>
          <w:rStyle w:val="VerbatimChar"/>
        </w:rPr>
        <w:t xml:space="preserve">021_v35_fondation_administrative</w:t>
      </w:r>
      <w:r>
        <w:t xml:space="preserve">.</w:t>
      </w:r>
    </w:p>
    <w:bookmarkStart w:id="22" w:name="ce-que-la-v3.5.0-apporte"/>
    <w:p>
      <w:pPr>
        <w:pStyle w:val="Heading3"/>
      </w:pPr>
      <w:r>
        <w:t xml:space="preserve">Ce que la v3.5.0 apporte</w:t>
      </w:r>
    </w:p>
    <w:p>
      <w:pPr>
        <w:pStyle w:val="FirstParagraph"/>
      </w:pPr>
      <w:r>
        <w:rPr>
          <w:bCs/>
          <w:b/>
        </w:rPr>
        <w:t xml:space="preserve">Catégorie B — Numérotation chronologique officielle (4 lacunes fermées)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B01</w:t>
      </w:r>
      <w:r>
        <w:t xml:space="preserve"> </w:t>
      </w:r>
      <w:r>
        <w:t xml:space="preserve">— 12 séquences PostgreSQL atomiques, une par module producteur</w:t>
      </w:r>
      <w:r>
        <w:t xml:space="preserve"> </w:t>
      </w:r>
      <w:r>
        <w:t xml:space="preserve">d’actes officiels :</w:t>
      </w:r>
      <w:r>
        <w:t xml:space="preserve"> </w:t>
      </w:r>
      <w:r>
        <w:rPr>
          <w:rStyle w:val="VerbatimChar"/>
        </w:rPr>
        <w:t xml:space="preserve">seq_acte_notaire</w:t>
      </w:r>
      <w:r>
        <w:t xml:space="preserve">,</w:t>
      </w:r>
      <w:r>
        <w:t xml:space="preserve"> </w:t>
      </w:r>
      <w:r>
        <w:rPr>
          <w:rStyle w:val="VerbatimChar"/>
        </w:rPr>
        <w:t xml:space="preserve">seq_acte_huissier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seq_jugement_foncier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seq_certificat_ccfm</w:t>
      </w:r>
      <w:r>
        <w:t xml:space="preserve">,</w:t>
      </w:r>
      <w:r>
        <w:t xml:space="preserve"> </w:t>
      </w:r>
      <w:r>
        <w:rPr>
          <w:rStyle w:val="VerbatimChar"/>
        </w:rPr>
        <w:t xml:space="preserve">seq_arrete_urbanisme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seq_hypotheque</w:t>
      </w:r>
      <w:r>
        <w:t xml:space="preserve">,</w:t>
      </w:r>
      <w:r>
        <w:t xml:space="preserve"> </w:t>
      </w:r>
      <w:r>
        <w:rPr>
          <w:rStyle w:val="VerbatimChar"/>
        </w:rPr>
        <w:t xml:space="preserve">seq_mutation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seq_succession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seq_bordereau</w:t>
      </w:r>
      <w:r>
        <w:t xml:space="preserve">,</w:t>
      </w:r>
      <w:r>
        <w:t xml:space="preserve"> </w:t>
      </w:r>
      <w:r>
        <w:rPr>
          <w:rStyle w:val="VerbatimChar"/>
        </w:rPr>
        <w:t xml:space="preserve">seq_recepisse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seq_dossier_maitre</w:t>
      </w:r>
      <w:r>
        <w:t xml:space="preserve">,</w:t>
      </w:r>
      <w:r>
        <w:t xml:space="preserve"> </w:t>
      </w:r>
      <w:r>
        <w:rPr>
          <w:rStyle w:val="VerbatimChar"/>
        </w:rPr>
        <w:t xml:space="preserve">seq_etat_trimestriel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Fonction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generer_numero_officiel(prefix, sequence)</w:t>
      </w:r>
      <w:r>
        <w:t xml:space="preserve"> </w:t>
      </w:r>
      <w:r>
        <w:t xml:space="preserve">qui produit</w:t>
      </w:r>
      <w:r>
        <w:t xml:space="preserve"> </w:t>
      </w:r>
      <w:r>
        <w:t xml:space="preserve">un numéro au format</w:t>
      </w:r>
      <w:r>
        <w:t xml:space="preserve"> </w:t>
      </w:r>
      <w:r>
        <w:rPr>
          <w:rStyle w:val="VerbatimChar"/>
        </w:rPr>
        <w:t xml:space="preserve">{PREFIX}-{YYYY}-{NNNNNNN}</w:t>
      </w:r>
      <w:r>
        <w:t xml:space="preserve">. Par exemple,</w:t>
      </w:r>
      <w:r>
        <w:t xml:space="preserve"> </w:t>
      </w:r>
      <w:r>
        <w:rPr>
          <w:rStyle w:val="VerbatimChar"/>
        </w:rPr>
        <w:t xml:space="preserve">NOT-2026-0000042</w:t>
      </w:r>
      <w:r>
        <w:t xml:space="preserve"> </w:t>
      </w:r>
      <w:r>
        <w:t xml:space="preserve">pour le 42ᵉ acte notarié de 2026.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B02</w:t>
      </w:r>
      <w:r>
        <w:t xml:space="preserve"> </w:t>
      </w:r>
      <w:r>
        <w:t xml:space="preserve">— Vue</w:t>
      </w:r>
      <w:r>
        <w:t xml:space="preserve"> </w:t>
      </w:r>
      <w:r>
        <w:rPr>
          <w:rStyle w:val="VerbatimChar"/>
        </w:rPr>
        <w:t xml:space="preserve">v_repertoire_mensuel_notaire</w:t>
      </w:r>
      <w:r>
        <w:t xml:space="preserve"> </w:t>
      </w:r>
      <w:r>
        <w:t xml:space="preserve">qui produit le répertoire</w:t>
      </w:r>
      <w:r>
        <w:t xml:space="preserve"> </w:t>
      </w:r>
      <w:r>
        <w:t xml:space="preserve">officiel exigé par le Code, trié par notaire, année, mois et numéro</w:t>
      </w:r>
      <w:r>
        <w:t xml:space="preserve"> </w:t>
      </w:r>
      <w:r>
        <w:t xml:space="preserve">chronologique, avec jonction sur</w:t>
      </w:r>
      <w:r>
        <w:t xml:space="preserve"> </w:t>
      </w:r>
      <w:r>
        <w:rPr>
          <w:rStyle w:val="VerbatimChar"/>
        </w:rPr>
        <w:t xml:space="preserve">notary_registry</w:t>
      </w:r>
      <w:r>
        <w:t xml:space="preserve"> </w:t>
      </w:r>
      <w:r>
        <w:t xml:space="preserve">pour inclure le</w:t>
      </w:r>
      <w:r>
        <w:t xml:space="preserve"> </w:t>
      </w:r>
      <w:r>
        <w:t xml:space="preserve">numéro d’agrément.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B03</w:t>
      </w:r>
      <w:r>
        <w:t xml:space="preserve"> </w:t>
      </w:r>
      <w:r>
        <w:t xml:space="preserve">— Table</w:t>
      </w:r>
      <w:r>
        <w:t xml:space="preserve"> </w:t>
      </w:r>
      <w:r>
        <w:rPr>
          <w:rStyle w:val="VerbatimChar"/>
        </w:rPr>
        <w:t xml:space="preserve">recepisse_depot</w:t>
      </w:r>
      <w:r>
        <w:t xml:space="preserve"> </w:t>
      </w:r>
      <w:r>
        <w:t xml:space="preserve">qui trace les dépôts physiques au</w:t>
      </w:r>
      <w:r>
        <w:t xml:space="preserve"> </w:t>
      </w:r>
      <w:r>
        <w:t xml:space="preserve">guichet. Chaque récépissé porte un numéro unique, identifie le</w:t>
      </w:r>
      <w:r>
        <w:t xml:space="preserve"> </w:t>
      </w:r>
      <w:r>
        <w:t xml:space="preserve">guichetier, le demandeur avec pièce d’identité, la date, et pointe</w:t>
      </w:r>
      <w:r>
        <w:t xml:space="preserve"> </w:t>
      </w:r>
      <w:r>
        <w:t xml:space="preserve">vers le dossier ainsi ouvert.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B04</w:t>
      </w:r>
      <w:r>
        <w:t xml:space="preserve"> </w:t>
      </w:r>
      <w:r>
        <w:t xml:space="preserve">— Colonne</w:t>
      </w:r>
      <w:r>
        <w:t xml:space="preserve"> </w:t>
      </w:r>
      <w:r>
        <w:rPr>
          <w:rStyle w:val="VerbatimChar"/>
        </w:rPr>
        <w:t xml:space="preserve">numero_dossier_maitre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workflow_instance</w:t>
      </w:r>
      <w:r>
        <w:t xml:space="preserve">.</w:t>
      </w:r>
      <w:r>
        <w:t xml:space="preserve"> </w:t>
      </w:r>
      <w:r>
        <w:t xml:space="preserve">Générée automatiquement par trigger à chaque création d’instance,</w:t>
      </w:r>
      <w:r>
        <w:t xml:space="preserve"> </w:t>
      </w:r>
      <w:r>
        <w:t xml:space="preserve">elle fédère toutes les étapes d’un dossier sous un identifiant</w:t>
      </w:r>
      <w:r>
        <w:t xml:space="preserve"> </w:t>
      </w:r>
      <w:r>
        <w:t xml:space="preserve">unique et stable, que les agents retrouvent facilement.</w:t>
      </w:r>
    </w:p>
    <w:p>
      <w:pPr>
        <w:pStyle w:val="FirstParagraph"/>
      </w:pPr>
      <w:r>
        <w:rPr>
          <w:bCs/>
          <w:b/>
        </w:rPr>
        <w:t xml:space="preserve">Catégorie C — Templates documentaires versionnés (3 lacunes fermées)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C01</w:t>
      </w:r>
      <w:r>
        <w:t xml:space="preserve"> </w:t>
      </w:r>
      <w:r>
        <w:t xml:space="preserve">— Table</w:t>
      </w:r>
      <w:r>
        <w:t xml:space="preserve"> </w:t>
      </w:r>
      <w:r>
        <w:rPr>
          <w:rStyle w:val="VerbatimChar"/>
        </w:rPr>
        <w:t xml:space="preserve">document_template</w:t>
      </w:r>
      <w:r>
        <w:t xml:space="preserve"> </w:t>
      </w:r>
      <w:r>
        <w:t xml:space="preserve">avec versioning complet. Chaque</w:t>
      </w:r>
      <w:r>
        <w:t xml:space="preserve"> </w:t>
      </w:r>
      <w:r>
        <w:t xml:space="preserve">template stocke un contenu Jinja2, ses champs de fusion attendus,</w:t>
      </w:r>
      <w:r>
        <w:t xml:space="preserve"> </w:t>
      </w:r>
      <w:r>
        <w:t xml:space="preserve">sa date d’entrée en vigueur, sa date de fin de vigueur éventuelle,</w:t>
      </w:r>
      <w:r>
        <w:t xml:space="preserve"> </w:t>
      </w:r>
      <w:r>
        <w:t xml:space="preserve">l’agent qui l’a validé et son statut actif. Contrainte d’unicité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(code_template, version)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C02</w:t>
      </w:r>
      <w:r>
        <w:t xml:space="preserve"> </w:t>
      </w:r>
      <w:r>
        <w:t xml:space="preserve">— Table</w:t>
      </w:r>
      <w:r>
        <w:t xml:space="preserve"> </w:t>
      </w:r>
      <w:r>
        <w:rPr>
          <w:rStyle w:val="VerbatimChar"/>
        </w:rPr>
        <w:t xml:space="preserve">workflow_form_schema</w:t>
      </w:r>
      <w:r>
        <w:t xml:space="preserve"> </w:t>
      </w:r>
      <w:r>
        <w:t xml:space="preserve">qui stocke un JSON Schema</w:t>
      </w:r>
      <w:r>
        <w:t xml:space="preserve"> </w:t>
      </w:r>
      <w:r>
        <w:t xml:space="preserve">par étape de workflow, avec la liste des champs requis et les</w:t>
      </w:r>
      <w:r>
        <w:t xml:space="preserve"> </w:t>
      </w:r>
      <w:r>
        <w:t xml:space="preserve">règles de validation. Le backend utilise ce schéma pour valider</w:t>
      </w:r>
      <w:r>
        <w:t xml:space="preserve"> </w:t>
      </w:r>
      <w:r>
        <w:t xml:space="preserve">les payloads avant insertion, et le frontend React peut générer</w:t>
      </w:r>
      <w:r>
        <w:t xml:space="preserve"> </w:t>
      </w:r>
      <w:r>
        <w:t xml:space="preserve">les formulaires dynamiquement à partir de la même source.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C03</w:t>
      </w:r>
      <w:r>
        <w:t xml:space="preserve"> </w:t>
      </w:r>
      <w:r>
        <w:t xml:space="preserve">— Fonction</w:t>
      </w:r>
      <w:r>
        <w:t xml:space="preserve"> </w:t>
      </w:r>
      <w:r>
        <w:rPr>
          <w:rStyle w:val="VerbatimChar"/>
        </w:rPr>
        <w:t xml:space="preserve">get_template_applicable(code, date)</w:t>
      </w:r>
      <w:r>
        <w:t xml:space="preserve"> </w:t>
      </w:r>
      <w:r>
        <w:t xml:space="preserve">qui retourne</w:t>
      </w:r>
      <w:r>
        <w:t xml:space="preserve"> </w:t>
      </w:r>
      <w:r>
        <w:t xml:space="preserve">le template applicable à une date donnée, selon les règles de</w:t>
      </w:r>
      <w:r>
        <w:t xml:space="preserve"> </w:t>
      </w:r>
      <w:r>
        <w:t xml:space="preserve">vigueur. Essentielle pour la conformité rétroactive : un acte</w:t>
      </w:r>
      <w:r>
        <w:t xml:space="preserve"> </w:t>
      </w:r>
      <w:r>
        <w:t xml:space="preserve">produit en 2024 doit utiliser le template en vigueur en 2024,</w:t>
      </w:r>
      <w:r>
        <w:t xml:space="preserve"> </w:t>
      </w:r>
      <w:r>
        <w:t xml:space="preserve">même si celui-ci a été remplacé depuis.</w:t>
      </w:r>
    </w:p>
    <w:p>
      <w:pPr>
        <w:pStyle w:val="FirstParagraph"/>
      </w:pPr>
      <w:r>
        <w:rPr>
          <w:bCs/>
          <w:b/>
        </w:rPr>
        <w:t xml:space="preserve">Catégorie D — États administratifs (2 lacunes fermées)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D01</w:t>
      </w:r>
      <w:r>
        <w:t xml:space="preserve"> </w:t>
      </w:r>
      <w:r>
        <w:t xml:space="preserve">— Vue</w:t>
      </w:r>
      <w:r>
        <w:t xml:space="preserve"> </w:t>
      </w:r>
      <w:r>
        <w:rPr>
          <w:rStyle w:val="VerbatimChar"/>
        </w:rPr>
        <w:t xml:space="preserve">v_etat_trimestriel_courant</w:t>
      </w:r>
      <w:r>
        <w:t xml:space="preserve"> </w:t>
      </w:r>
      <w:r>
        <w:t xml:space="preserve">qui agrège les workflows</w:t>
      </w:r>
      <w:r>
        <w:t xml:space="preserve"> </w:t>
      </w:r>
      <w:r>
        <w:t xml:space="preserve">du trimestre courant par type et par statut (terminés, en cours,</w:t>
      </w:r>
      <w:r>
        <w:t xml:space="preserve"> </w:t>
      </w:r>
      <w:r>
        <w:t xml:space="preserve">annulés). Fonction</w:t>
      </w:r>
      <w:r>
        <w:t xml:space="preserve"> </w:t>
      </w:r>
      <w:r>
        <w:rPr>
          <w:rStyle w:val="VerbatimChar"/>
        </w:rPr>
        <w:t xml:space="preserve">generer_etat_trimestriel(annee, trimestre)</w:t>
      </w:r>
      <w:r>
        <w:t xml:space="preserve"> </w:t>
      </w:r>
      <w:r>
        <w:t xml:space="preserve">pour extraire un trimestre historique au format JSONB.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D02</w:t>
      </w:r>
      <w:r>
        <w:t xml:space="preserve"> </w:t>
      </w:r>
      <w:r>
        <w:t xml:space="preserve">— Table</w:t>
      </w:r>
      <w:r>
        <w:t xml:space="preserve"> </w:t>
      </w:r>
      <w:r>
        <w:rPr>
          <w:rStyle w:val="VerbatimChar"/>
        </w:rPr>
        <w:t xml:space="preserve">bordereau_envoi</w:t>
      </w:r>
      <w:r>
        <w:t xml:space="preserve"> </w:t>
      </w:r>
      <w:r>
        <w:t xml:space="preserve">qui matérialise les transferts</w:t>
      </w:r>
      <w:r>
        <w:t xml:space="preserve"> </w:t>
      </w:r>
      <w:r>
        <w:t xml:space="preserve">officiels de dossiers entre services (Cadastre → CCFM, CCFM →</w:t>
      </w:r>
      <w:r>
        <w:t xml:space="preserve"> </w:t>
      </w:r>
      <w:r>
        <w:t xml:space="preserve">Notaire, etc.). Chaque bordereau porte un numéro unique, un</w:t>
      </w:r>
      <w:r>
        <w:t xml:space="preserve"> </w:t>
      </w:r>
      <w:r>
        <w:t xml:space="preserve">signataire, une signature PKI optionnelle et un accusé de</w:t>
      </w:r>
      <w:r>
        <w:t xml:space="preserve"> </w:t>
      </w:r>
      <w:r>
        <w:t xml:space="preserve">réception.</w:t>
      </w:r>
    </w:p>
    <w:bookmarkEnd w:id="22"/>
    <w:bookmarkStart w:id="23" w:name="ce-que-la-v3.5.0-ne-résout-pas"/>
    <w:p>
      <w:pPr>
        <w:pStyle w:val="Heading3"/>
      </w:pPr>
      <w:r>
        <w:t xml:space="preserve">Ce que la v3.5.0 ne résout pas</w:t>
      </w:r>
    </w:p>
    <w:p>
      <w:pPr>
        <w:pStyle w:val="FirstParagraph"/>
      </w:pPr>
      <w:r>
        <w:t xml:space="preserve">La v3.5.0 pose la</w:t>
      </w:r>
      <w:r>
        <w:t xml:space="preserve"> </w:t>
      </w:r>
      <w:r>
        <w:rPr>
          <w:bCs/>
          <w:b/>
        </w:rPr>
        <w:t xml:space="preserve">fondation</w:t>
      </w:r>
      <w:r>
        <w:t xml:space="preserve"> </w:t>
      </w:r>
      <w:r>
        <w:t xml:space="preserve">de ces catégories. Elle ne livre pas :</w:t>
      </w:r>
    </w:p>
    <w:p>
      <w:pPr>
        <w:numPr>
          <w:ilvl w:val="0"/>
          <w:numId w:val="1004"/>
        </w:numPr>
        <w:pStyle w:val="Compact"/>
      </w:pPr>
      <w:r>
        <w:t xml:space="preserve">Les</w:t>
      </w:r>
      <w:r>
        <w:t xml:space="preserve"> </w:t>
      </w:r>
      <w:r>
        <w:rPr>
          <w:bCs/>
          <w:b/>
        </w:rPr>
        <w:t xml:space="preserve">frontend React</w:t>
      </w:r>
      <w:r>
        <w:t xml:space="preserve"> </w:t>
      </w:r>
      <w:r>
        <w:t xml:space="preserve">pour saisir les templates dans Jinja2 (prévu v3.5.1)</w:t>
      </w:r>
    </w:p>
    <w:p>
      <w:pPr>
        <w:numPr>
          <w:ilvl w:val="0"/>
          <w:numId w:val="1004"/>
        </w:numPr>
        <w:pStyle w:val="Compact"/>
      </w:pPr>
      <w:r>
        <w:t xml:space="preserve">Les</w:t>
      </w:r>
      <w:r>
        <w:t xml:space="preserve"> </w:t>
      </w:r>
      <w:r>
        <w:rPr>
          <w:bCs/>
          <w:b/>
        </w:rPr>
        <w:t xml:space="preserve">moteurs d’impression PDF</w:t>
      </w:r>
      <w:r>
        <w:t xml:space="preserve"> </w:t>
      </w:r>
      <w:r>
        <w:t xml:space="preserve">qui fusionnent templates et données</w:t>
      </w:r>
      <w:r>
        <w:t xml:space="preserve"> </w:t>
      </w:r>
      <w:r>
        <w:t xml:space="preserve">en documents signables (prévu v3.5.1)</w:t>
      </w:r>
    </w:p>
    <w:p>
      <w:pPr>
        <w:numPr>
          <w:ilvl w:val="0"/>
          <w:numId w:val="1004"/>
        </w:numPr>
        <w:pStyle w:val="Compact"/>
      </w:pPr>
      <w:r>
        <w:t xml:space="preserve">Les</w:t>
      </w:r>
      <w:r>
        <w:t xml:space="preserve"> </w:t>
      </w:r>
      <w:r>
        <w:rPr>
          <w:bCs/>
          <w:b/>
        </w:rPr>
        <w:t xml:space="preserve">formulaires dynamiques</w:t>
      </w:r>
      <w:r>
        <w:t xml:space="preserve"> </w:t>
      </w:r>
      <w:r>
        <w:t xml:space="preserve">générés depuis</w:t>
      </w:r>
      <w:r>
        <w:t xml:space="preserve"> </w:t>
      </w:r>
      <w:r>
        <w:rPr>
          <w:rStyle w:val="VerbatimChar"/>
        </w:rPr>
        <w:t xml:space="preserve">workflow_form_schema</w:t>
      </w:r>
      <w:r>
        <w:t xml:space="preserve"> </w:t>
      </w:r>
      <w:r>
        <w:t xml:space="preserve">côté React (prévu v3.5.1)</w:t>
      </w:r>
    </w:p>
    <w:p>
      <w:pPr>
        <w:numPr>
          <w:ilvl w:val="0"/>
          <w:numId w:val="1004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déploiement productible</w:t>
      </w:r>
      <w:r>
        <w:t xml:space="preserve"> </w:t>
      </w:r>
      <w:r>
        <w:t xml:space="preserve">avec Docker Compose, reverse proxy</w:t>
      </w:r>
      <w:r>
        <w:t xml:space="preserve"> </w:t>
      </w:r>
      <w:r>
        <w:t xml:space="preserve">TLS et scripts de déploiement (prévu v3.5.2)</w:t>
      </w:r>
    </w:p>
    <w:p>
      <w:pPr>
        <w:pStyle w:val="FirstParagraph"/>
      </w:pPr>
      <w:r>
        <w:t xml:space="preserve">Ces éléments forment la roadmap v3.5.1 et v3.5.2. La v3.5.0 est la</w:t>
      </w:r>
      <w:r>
        <w:t xml:space="preserve"> </w:t>
      </w:r>
      <w:r>
        <w:t xml:space="preserve">base sur laquelle ils viennent se brancher.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impact-fonctionnel"/>
    <w:p>
      <w:pPr>
        <w:pStyle w:val="Heading2"/>
      </w:pPr>
      <w:r>
        <w:t xml:space="preserve">Impact fonctionnel</w:t>
      </w:r>
    </w:p>
    <w:bookmarkStart w:id="25" w:name="pour-lagent-de-guichet"/>
    <w:p>
      <w:pPr>
        <w:pStyle w:val="Heading3"/>
      </w:pPr>
      <w:r>
        <w:t xml:space="preserve">Pour l’agent de guichet</w:t>
      </w:r>
    </w:p>
    <w:p>
      <w:pPr>
        <w:pStyle w:val="FirstParagraph"/>
      </w:pPr>
      <w:r>
        <w:t xml:space="preserve">Quand un citoyen dépose une demande au guichet, l’agent peut désormais</w:t>
      </w:r>
      <w:r>
        <w:t xml:space="preserve"> </w:t>
      </w:r>
      <w:r>
        <w:t xml:space="preserve">délivrer un</w:t>
      </w:r>
      <w:r>
        <w:t xml:space="preserve"> </w:t>
      </w:r>
      <w:r>
        <w:rPr>
          <w:bCs/>
          <w:b/>
        </w:rPr>
        <w:t xml:space="preserve">récépissé officiel</w:t>
      </w:r>
      <w:r>
        <w:t xml:space="preserve"> </w:t>
      </w:r>
      <w:r>
        <w:t xml:space="preserve">avec un numéro unique au format</w:t>
      </w:r>
      <w:r>
        <w:t xml:space="preserve"> </w:t>
      </w:r>
      <w:r>
        <w:rPr>
          <w:rStyle w:val="VerbatimChar"/>
        </w:rPr>
        <w:t xml:space="preserve">REC-2026-NNNNNNN</w:t>
      </w:r>
      <w:r>
        <w:t xml:space="preserve">. Ce numéro est le point d’entrée pour le suivi</w:t>
      </w:r>
      <w:r>
        <w:t xml:space="preserve"> </w:t>
      </w:r>
      <w:r>
        <w:t xml:space="preserve">du dossier dans toute la plateforme.</w:t>
      </w:r>
    </w:p>
    <w:bookmarkEnd w:id="25"/>
    <w:bookmarkStart w:id="26" w:name="pour-le-notaire"/>
    <w:p>
      <w:pPr>
        <w:pStyle w:val="Heading3"/>
      </w:pPr>
      <w:r>
        <w:t xml:space="preserve">Pour le notaire</w:t>
      </w:r>
    </w:p>
    <w:p>
      <w:pPr>
        <w:pStyle w:val="FirstParagraph"/>
      </w:pPr>
      <w:r>
        <w:t xml:space="preserve">Chaque acte produit porte un</w:t>
      </w:r>
      <w:r>
        <w:t xml:space="preserve"> </w:t>
      </w:r>
      <w:r>
        <w:rPr>
          <w:bCs/>
          <w:b/>
        </w:rPr>
        <w:t xml:space="preserve">numéro chronologique automatique</w:t>
      </w:r>
      <w:r>
        <w:t xml:space="preserve"> </w:t>
      </w:r>
      <w:r>
        <w:t xml:space="preserve">au</w:t>
      </w:r>
      <w:r>
        <w:t xml:space="preserve"> </w:t>
      </w:r>
      <w:r>
        <w:t xml:space="preserve">format</w:t>
      </w:r>
      <w:r>
        <w:t xml:space="preserve"> </w:t>
      </w:r>
      <w:r>
        <w:rPr>
          <w:rStyle w:val="VerbatimChar"/>
        </w:rPr>
        <w:t xml:space="preserve">NOT-2026-NNNNNNN</w:t>
      </w:r>
      <w:r>
        <w:t xml:space="preserve">. Le notaire peut à tout moment consulter</w:t>
      </w:r>
      <w:r>
        <w:t xml:space="preserve"> </w:t>
      </w:r>
      <w:r>
        <w:t xml:space="preserve">son</w:t>
      </w:r>
      <w:r>
        <w:t xml:space="preserve"> </w:t>
      </w:r>
      <w:r>
        <w:rPr>
          <w:bCs/>
          <w:b/>
        </w:rPr>
        <w:t xml:space="preserve">répertoire mensuel officiel</w:t>
      </w:r>
      <w:r>
        <w:t xml:space="preserve"> </w:t>
      </w:r>
      <w:r>
        <w:t xml:space="preserve">via la vue dédiée, et l’imprimer</w:t>
      </w:r>
      <w:r>
        <w:t xml:space="preserve"> </w:t>
      </w:r>
      <w:r>
        <w:t xml:space="preserve">pour viser par le Procureur. Les actes sont produits à partir de</w:t>
      </w:r>
      <w:r>
        <w:t xml:space="preserve"> </w:t>
      </w:r>
      <w:r>
        <w:t xml:space="preserve">templates</w:t>
      </w:r>
      <w:r>
        <w:t xml:space="preserve"> </w:t>
      </w:r>
      <w:r>
        <w:rPr>
          <w:bCs/>
          <w:b/>
        </w:rPr>
        <w:t xml:space="preserve">versionnés</w:t>
      </w:r>
      <w:r>
        <w:t xml:space="preserve"> </w:t>
      </w:r>
      <w:r>
        <w:t xml:space="preserve">qui garantissent la conformité juridique,</w:t>
      </w:r>
      <w:r>
        <w:t xml:space="preserve"> </w:t>
      </w:r>
      <w:r>
        <w:t xml:space="preserve">y compris pour les actes rétroactifs.</w:t>
      </w:r>
    </w:p>
    <w:bookmarkEnd w:id="26"/>
    <w:bookmarkStart w:id="27" w:name="X5033fb1ccdda80fe35e4d2524a14e7fee55143f"/>
    <w:p>
      <w:pPr>
        <w:pStyle w:val="Heading3"/>
      </w:pPr>
      <w:r>
        <w:t xml:space="preserve">Pour le Directeur National du Cadastre et du Domaine</w:t>
      </w:r>
    </w:p>
    <w:p>
      <w:pPr>
        <w:pStyle w:val="FirstParagraph"/>
      </w:pPr>
      <w:r>
        <w:t xml:space="preserve">À chaque fin de trimestre, la vue</w:t>
      </w:r>
      <w:r>
        <w:t xml:space="preserve"> </w:t>
      </w:r>
      <w:r>
        <w:rPr>
          <w:rStyle w:val="VerbatimChar"/>
        </w:rPr>
        <w:t xml:space="preserve">v_etat_trimestriel_courant</w:t>
      </w:r>
      <w:r>
        <w:t xml:space="preserve"> </w:t>
      </w:r>
      <w:r>
        <w:t xml:space="preserve">et la</w:t>
      </w:r>
      <w:r>
        <w:t xml:space="preserve"> </w:t>
      </w:r>
      <w:r>
        <w:t xml:space="preserve">fonction</w:t>
      </w:r>
      <w:r>
        <w:t xml:space="preserve"> </w:t>
      </w:r>
      <w:r>
        <w:rPr>
          <w:rStyle w:val="VerbatimChar"/>
        </w:rPr>
        <w:t xml:space="preserve">generer_etat_trimestriel()</w:t>
      </w:r>
      <w:r>
        <w:t xml:space="preserve"> </w:t>
      </w:r>
      <w:r>
        <w:t xml:space="preserve">produisent automatiquement l’</w:t>
      </w:r>
      <w:r>
        <w:rPr>
          <w:bCs/>
          <w:b/>
        </w:rPr>
        <w:t xml:space="preserve">état</w:t>
      </w:r>
      <w:r>
        <w:rPr>
          <w:bCs/>
          <w:b/>
        </w:rPr>
        <w:t xml:space="preserve"> </w:t>
      </w:r>
      <w:r>
        <w:rPr>
          <w:bCs/>
          <w:b/>
        </w:rPr>
        <w:t xml:space="preserve">officiel</w:t>
      </w:r>
      <w:r>
        <w:t xml:space="preserve"> </w:t>
      </w:r>
      <w:r>
        <w:t xml:space="preserve">à transmettre au Secrétariat Général. Ce qui prenait une</w:t>
      </w:r>
      <w:r>
        <w:t xml:space="preserve"> </w:t>
      </w:r>
      <w:r>
        <w:t xml:space="preserve">semaine de recompilation manuelle s’obtient désormais en une requête SQL.</w:t>
      </w:r>
    </w:p>
    <w:bookmarkEnd w:id="27"/>
    <w:bookmarkStart w:id="28" w:name="pour-le-ministère"/>
    <w:p>
      <w:pPr>
        <w:pStyle w:val="Heading3"/>
      </w:pPr>
      <w:r>
        <w:t xml:space="preserve">Pour le Ministère</w:t>
      </w:r>
    </w:p>
    <w:p>
      <w:pPr>
        <w:pStyle w:val="FirstParagraph"/>
      </w:pPr>
      <w:r>
        <w:t xml:space="preserve">Les indicateurs trimestriels sont disponibles en temps réel sur le</w:t>
      </w:r>
      <w:r>
        <w:t xml:space="preserve"> </w:t>
      </w:r>
      <w:r>
        <w:t xml:space="preserve">dashboard</w:t>
      </w:r>
      <w:r>
        <w:t xml:space="preserve"> </w:t>
      </w:r>
      <w:r>
        <w:rPr>
          <w:rStyle w:val="VerbatimChar"/>
        </w:rPr>
        <w:t xml:space="preserve">indicateurs_nationaux_dashboard.jsx</w:t>
      </w:r>
      <w:r>
        <w:t xml:space="preserve">, alimenté par la vue</w:t>
      </w:r>
      <w:r>
        <w:t xml:space="preserve"> </w:t>
      </w:r>
      <w:r>
        <w:rPr>
          <w:rStyle w:val="VerbatimChar"/>
        </w:rPr>
        <w:t xml:space="preserve">v_etat_trimestriel_courant</w:t>
      </w:r>
      <w:r>
        <w:t xml:space="preserve">. Le Ministre peut, à tout instant,</w:t>
      </w:r>
      <w:r>
        <w:t xml:space="preserve"> </w:t>
      </w:r>
      <w:r>
        <w:t xml:space="preserve">consulter l’état de production nationale sans attendre un rapport papier.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rchitecture-de-la-migration-021"/>
    <w:p>
      <w:pPr>
        <w:pStyle w:val="Heading2"/>
      </w:pPr>
      <w:r>
        <w:t xml:space="preserve">Architecture de la migration 021</w:t>
      </w:r>
    </w:p>
    <w:p>
      <w:pPr>
        <w:pStyle w:val="FirstParagraph"/>
      </w:pPr>
      <w:r>
        <w:t xml:space="preserve">La migration</w:t>
      </w:r>
      <w:r>
        <w:t xml:space="preserve"> </w:t>
      </w:r>
      <w:r>
        <w:rPr>
          <w:rStyle w:val="VerbatimChar"/>
        </w:rPr>
        <w:t xml:space="preserve">021_v35_fondation_administrative.py</w:t>
      </w:r>
      <w:r>
        <w:t xml:space="preserve"> </w:t>
      </w:r>
      <w:r>
        <w:t xml:space="preserve">est additive et</w:t>
      </w:r>
      <w:r>
        <w:t xml:space="preserve"> </w:t>
      </w:r>
      <w:r>
        <w:t xml:space="preserve">rollback-safe. Elle ajoute 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12 séquences PostgreSQL</w:t>
      </w:r>
      <w:r>
        <w:t xml:space="preserve"> </w:t>
      </w:r>
      <w:r>
        <w:t xml:space="preserve">(CREATE SEQUENCE IF NOT EXISTS)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 fonction PL/pgSQL</w:t>
      </w:r>
      <w:r>
        <w:t xml:space="preserve"> </w:t>
      </w:r>
      <w:r>
        <w:rPr>
          <w:rStyle w:val="VerbatimChar"/>
        </w:rPr>
        <w:t xml:space="preserve">generer_numero_officiel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 vue</w:t>
      </w:r>
      <w:r>
        <w:t xml:space="preserve"> </w:t>
      </w:r>
      <w:r>
        <w:rPr>
          <w:rStyle w:val="VerbatimChar"/>
        </w:rPr>
        <w:t xml:space="preserve">v_repertoire_mensuel_notaire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3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recepisse_depot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workflow_form_schema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 colonne</w:t>
      </w:r>
      <w:r>
        <w:t xml:space="preserve"> </w:t>
      </w:r>
      <w:r>
        <w:rPr>
          <w:rStyle w:val="VerbatimChar"/>
        </w:rPr>
        <w:t xml:space="preserve">numero_dossier_maitre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workflow_instance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 trigger</w:t>
      </w:r>
      <w:r>
        <w:t xml:space="preserve"> </w:t>
      </w:r>
      <w:r>
        <w:rPr>
          <w:rStyle w:val="VerbatimChar"/>
        </w:rPr>
        <w:t xml:space="preserve">tg_generer_dossier_maitre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 fonction</w:t>
      </w:r>
      <w:r>
        <w:t xml:space="preserve"> </w:t>
      </w:r>
      <w:r>
        <w:rPr>
          <w:rStyle w:val="VerbatimChar"/>
        </w:rPr>
        <w:t xml:space="preserve">get_template_applicable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 vue</w:t>
      </w:r>
      <w:r>
        <w:t xml:space="preserve"> </w:t>
      </w:r>
      <w:r>
        <w:rPr>
          <w:rStyle w:val="VerbatimChar"/>
        </w:rPr>
        <w:t xml:space="preserve">v_etat_trimestriel_courant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 fonction</w:t>
      </w:r>
      <w:r>
        <w:t xml:space="preserve"> </w:t>
      </w:r>
      <w:r>
        <w:rPr>
          <w:rStyle w:val="VerbatimChar"/>
        </w:rPr>
        <w:t xml:space="preserve">generer_etat_trimestriel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 table</w:t>
      </w:r>
      <w:r>
        <w:t xml:space="preserve"> </w:t>
      </w:r>
      <w:r>
        <w:rPr>
          <w:rStyle w:val="VerbatimChar"/>
        </w:rPr>
        <w:t xml:space="preserve">bordereau_envoi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3 templates exemples</w:t>
      </w:r>
      <w:r>
        <w:t xml:space="preserve"> </w:t>
      </w:r>
      <w:r>
        <w:t xml:space="preserve">seedés dans</w:t>
      </w:r>
      <w:r>
        <w:t xml:space="preserve"> </w:t>
      </w:r>
      <w:r>
        <w:rPr>
          <w:rStyle w:val="VerbatimChar"/>
        </w:rPr>
        <w:t xml:space="preserve">document_template</w:t>
      </w:r>
    </w:p>
    <w:p>
      <w:pPr>
        <w:pStyle w:val="FirstParagraph"/>
      </w:pPr>
      <w:r>
        <w:rPr>
          <w:rStyle w:val="VerbatimChar"/>
        </w:rPr>
        <w:t xml:space="preserve">downgrade()</w:t>
      </w:r>
      <w:r>
        <w:t xml:space="preserve"> </w:t>
      </w:r>
      <w:r>
        <w:t xml:space="preserve">complet, ordre inverse, testé compatible avec les 20</w:t>
      </w:r>
      <w:r>
        <w:t xml:space="preserve"> </w:t>
      </w:r>
      <w:r>
        <w:t xml:space="preserve">migrations antérieures.</w:t>
      </w:r>
    </w:p>
    <w:p>
      <w:r>
        <w:pict>
          <v:rect style="width:0;height:1.5pt" o:hralign="center" o:hrstd="t" o:hr="t"/>
        </w:pict>
      </w:r>
    </w:p>
    <w:bookmarkEnd w:id="30"/>
    <w:bookmarkStart w:id="31" w:name="tests-associés"/>
    <w:p>
      <w:pPr>
        <w:pStyle w:val="Heading2"/>
      </w:pPr>
      <w:r>
        <w:t xml:space="preserve">Tests associés</w:t>
      </w:r>
    </w:p>
    <w:p>
      <w:pPr>
        <w:pStyle w:val="FirstParagraph"/>
      </w:pPr>
      <w:r>
        <w:t xml:space="preserve">Au minimum, les 5 assertions suivantes doivent passer :</w:t>
      </w:r>
    </w:p>
    <w:p>
      <w:pPr>
        <w:pStyle w:val="SourceCode"/>
      </w:pPr>
      <w:r>
        <w:rPr>
          <w:rStyle w:val="VerbatimChar"/>
        </w:rPr>
        <w:t xml:space="preserve">test_021_sequences_creees           (12 séquences présentes)</w:t>
      </w:r>
      <w:r>
        <w:br/>
      </w:r>
      <w:r>
        <w:rPr>
          <w:rStyle w:val="VerbatimChar"/>
        </w:rPr>
        <w:t xml:space="preserve">test_021_recepisse_table_existe     (recepisse_depot avec index)</w:t>
      </w:r>
      <w:r>
        <w:br/>
      </w:r>
      <w:r>
        <w:rPr>
          <w:rStyle w:val="VerbatimChar"/>
        </w:rPr>
        <w:t xml:space="preserve">test_021_document_template_versioning (get_template_applicable fonctionne)</w:t>
      </w:r>
      <w:r>
        <w:br/>
      </w:r>
      <w:r>
        <w:rPr>
          <w:rStyle w:val="VerbatimChar"/>
        </w:rPr>
        <w:t xml:space="preserve">test_021_etat_trimestriel_vue       (v_etat_trimestriel_courant accessible)</w:t>
      </w:r>
      <w:r>
        <w:br/>
      </w:r>
      <w:r>
        <w:rPr>
          <w:rStyle w:val="VerbatimChar"/>
        </w:rPr>
        <w:t xml:space="preserve">test_021_dossier_maitre_auto        (numero_dossier_maitre généré sur INSERT)</w:t>
      </w:r>
    </w:p>
    <w:p>
      <w:pPr>
        <w:pStyle w:val="FirstParagraph"/>
      </w:pPr>
      <w:r>
        <w:t xml:space="preserve">Ces tests sont à ajouter dans</w:t>
      </w:r>
      <w:r>
        <w:t xml:space="preserve"> </w:t>
      </w:r>
      <w:r>
        <w:rPr>
          <w:rStyle w:val="VerbatimChar"/>
        </w:rPr>
        <w:t xml:space="preserve">backend/tests/test_v35_meta.py</w:t>
      </w:r>
      <w:r>
        <w:t xml:space="preserve"> </w:t>
      </w:r>
      <w:r>
        <w:t xml:space="preserve">au</w:t>
      </w:r>
      <w:r>
        <w:t xml:space="preserve"> </w:t>
      </w:r>
      <w:r>
        <w:t xml:space="preserve">prochain sprint.</w:t>
      </w:r>
    </w:p>
    <w:p>
      <w:r>
        <w:pict>
          <v:rect style="width:0;height:1.5pt" o:hralign="center" o:hrstd="t" o:hr="t"/>
        </w:pict>
      </w:r>
    </w:p>
    <w:bookmarkEnd w:id="31"/>
    <w:bookmarkStart w:id="32" w:name="chaîne-alembic-finale-v3.5.0"/>
    <w:p>
      <w:pPr>
        <w:pStyle w:val="Heading2"/>
      </w:pPr>
      <w:r>
        <w:t xml:space="preserve">Chaîne Alembic finale v3.5.0</w:t>
      </w:r>
    </w:p>
    <w:p>
      <w:pPr>
        <w:pStyle w:val="SourceCode"/>
      </w:pPr>
      <w:r>
        <w:rPr>
          <w:rStyle w:val="VerbatimChar"/>
        </w:rPr>
        <w:t xml:space="preserve">001 → 002 → 003 → 004 → 005 → 006 → 007 → 008 → 009 → 010 → 011 → 012 →</w:t>
      </w:r>
      <w:r>
        <w:br/>
      </w:r>
      <w:r>
        <w:rPr>
          <w:rStyle w:val="VerbatimChar"/>
        </w:rPr>
        <w:t xml:space="preserve">013 → 014 → 015_bugfixes_audit → 016_e2e_infrastructure →</w:t>
      </w:r>
      <w:r>
        <w:br/>
      </w:r>
      <w:r>
        <w:rPr>
          <w:rStyle w:val="VerbatimChar"/>
        </w:rPr>
        <w:t xml:space="preserve">017_workflows_completion → 018_workflows_bugfixes →</w:t>
      </w:r>
      <w:r>
        <w:br/>
      </w:r>
      <w:r>
        <w:rPr>
          <w:rStyle w:val="VerbatimChar"/>
        </w:rPr>
        <w:t xml:space="preserve">019_workflows_partiels_completion → 020_registres_administratifs →</w:t>
      </w:r>
      <w:r>
        <w:br/>
      </w:r>
      <w:r>
        <w:rPr>
          <w:rStyle w:val="VerbatimChar"/>
        </w:rPr>
        <w:t xml:space="preserve">021_v35_fondation_administrative   ← v3.5.0</w:t>
      </w:r>
    </w:p>
    <w:p>
      <w:r>
        <w:pict>
          <v:rect style="width:0;height:1.5pt" o:hralign="center" o:hrstd="t" o:hr="t"/>
        </w:pict>
      </w:r>
    </w:p>
    <w:bookmarkEnd w:id="32"/>
    <w:bookmarkStart w:id="33" w:name="déploiement"/>
    <w:p>
      <w:pPr>
        <w:pStyle w:val="Heading2"/>
      </w:pPr>
      <w:r>
        <w:t xml:space="preserve">Déploiement</w:t>
      </w:r>
    </w:p>
    <w:p>
      <w:pPr>
        <w:pStyle w:val="SourceCode"/>
      </w:pPr>
      <w:r>
        <w:rPr>
          <w:rStyle w:val="CommentTok"/>
        </w:rPr>
        <w:t xml:space="preserve"># Backup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foncier_prod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backup_v349.sql</w:t>
      </w:r>
      <w:r>
        <w:br/>
      </w:r>
      <w:r>
        <w:br/>
      </w:r>
      <w:r>
        <w:rPr>
          <w:rStyle w:val="CommentTok"/>
        </w:rPr>
        <w:t xml:space="preserve"># Upgrade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021_v35_fondation_administrative</w:t>
      </w:r>
      <w:r>
        <w:br/>
      </w:r>
      <w:r>
        <w:br/>
      </w:r>
      <w:r>
        <w:rPr>
          <w:rStyle w:val="CommentTok"/>
        </w:rPr>
        <w:t xml:space="preserve"># Vérification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foncier_prod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"\d document_template"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foncier_prod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"\d recepisse_depot"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foncier_prod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"\d bordereau_envoi"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foncier_prod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pg_sequences WHERE sequencename LIKE 'seq_%';"</w:t>
      </w:r>
      <w:r>
        <w:br/>
      </w:r>
      <w:r>
        <w:rPr>
          <w:rStyle w:val="CommentTok"/>
        </w:rPr>
        <w:t xml:space="preserve"># Attendu : 13 (12 nouvelles + annf_ida_seq existante)</w:t>
      </w:r>
    </w:p>
    <w:p>
      <w:r>
        <w:pict>
          <v:rect style="width:0;height:1.5pt" o:hralign="center" o:hrstd="t" o:hr="t"/>
        </w:pict>
      </w:r>
    </w:p>
    <w:bookmarkEnd w:id="33"/>
    <w:bookmarkStart w:id="34" w:name="roadmap-v3.5"/>
    <w:p>
      <w:pPr>
        <w:pStyle w:val="Heading2"/>
      </w:pPr>
      <w:r>
        <w:t xml:space="preserve">Roadmap v3.5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Sous-version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Délai estimé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Fondation administrative (migration 021) —</w:t>
            </w:r>
            <w:r>
              <w:t xml:space="preserve"> </w:t>
            </w:r>
            <w:r>
              <w:rPr>
                <w:bCs/>
                <w:b/>
              </w:rPr>
              <w:t xml:space="preserve">livrée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Avril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templates + formulaires dynamiques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sprints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 de déploiement productible (Docker, TLS, backups)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Moteur d’impression PDF signé PKI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sprint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conformité-réglementaire"/>
    <w:p>
      <w:pPr>
        <w:pStyle w:val="Heading2"/>
      </w:pPr>
      <w:r>
        <w:t xml:space="preserve">Conformité réglementaire</w:t>
      </w:r>
    </w:p>
    <w:p>
      <w:pPr>
        <w:pStyle w:val="FirstParagraph"/>
      </w:pPr>
      <w:r>
        <w:t xml:space="preserve">La v3.5.0 permet à FONCIER+ de</w:t>
      </w:r>
      <w:r>
        <w:t xml:space="preserve"> </w:t>
      </w:r>
      <w:r>
        <w:rPr>
          <w:bCs/>
          <w:b/>
        </w:rPr>
        <w:t xml:space="preserve">satisfaire</w:t>
      </w:r>
      <w:r>
        <w:t xml:space="preserve"> </w:t>
      </w:r>
      <w:r>
        <w:t xml:space="preserve">les exigences suivantes</w:t>
      </w:r>
      <w:r>
        <w:t xml:space="preserve"> </w:t>
      </w:r>
      <w:r>
        <w:t xml:space="preserve">du Code foncier et du Code de procédure civile et commerciale du Niger 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Article relatif au répertoire notarial</w:t>
      </w:r>
      <w:r>
        <w:t xml:space="preserve"> </w:t>
      </w:r>
      <w:r>
        <w:t xml:space="preserve">: chaque notaire doit tenir</w:t>
      </w:r>
      <w:r>
        <w:t xml:space="preserve"> </w:t>
      </w:r>
      <w:r>
        <w:t xml:space="preserve">un répertoire chronologique de ses actes, visé mensuellement par le</w:t>
      </w:r>
      <w:r>
        <w:t xml:space="preserve"> </w:t>
      </w:r>
      <w:r>
        <w:t xml:space="preserve">Procureur. La vue</w:t>
      </w:r>
      <w:r>
        <w:t xml:space="preserve"> </w:t>
      </w:r>
      <w:r>
        <w:rPr>
          <w:rStyle w:val="VerbatimChar"/>
        </w:rPr>
        <w:t xml:space="preserve">v_repertoire_mensuel_notaire</w:t>
      </w:r>
      <w:r>
        <w:t xml:space="preserve"> </w:t>
      </w:r>
      <w:r>
        <w:t xml:space="preserve">produit ce document.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Obligation de récépissé au dépôt d’une demande</w:t>
      </w:r>
      <w:r>
        <w:t xml:space="preserve"> </w:t>
      </w:r>
      <w:r>
        <w:t xml:space="preserve">: chaque citoyen</w:t>
      </w:r>
      <w:r>
        <w:t xml:space="preserve"> </w:t>
      </w:r>
      <w:r>
        <w:t xml:space="preserve">déposant une demande administrative reçoit un récépissé portant un</w:t>
      </w:r>
      <w:r>
        <w:t xml:space="preserve"> </w:t>
      </w:r>
      <w:r>
        <w:t xml:space="preserve">numéro d’ordre unique. La table</w:t>
      </w:r>
      <w:r>
        <w:t xml:space="preserve"> </w:t>
      </w:r>
      <w:r>
        <w:rPr>
          <w:rStyle w:val="VerbatimChar"/>
        </w:rPr>
        <w:t xml:space="preserve">recepisse_depot</w:t>
      </w:r>
      <w:r>
        <w:t xml:space="preserve"> </w:t>
      </w:r>
      <w:r>
        <w:t xml:space="preserve">matérialise cette</w:t>
      </w:r>
      <w:r>
        <w:t xml:space="preserve"> </w:t>
      </w:r>
      <w:r>
        <w:t xml:space="preserve">obligation.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État trimestriel d’activité</w:t>
      </w:r>
      <w:r>
        <w:t xml:space="preserve"> </w:t>
      </w:r>
      <w:r>
        <w:t xml:space="preserve">: la Direction Nationale du Cadastre</w:t>
      </w:r>
      <w:r>
        <w:t xml:space="preserve"> </w:t>
      </w:r>
      <w:r>
        <w:t xml:space="preserve">et du Domaine doit transmettre chaque trimestre un état consolidé</w:t>
      </w:r>
      <w:r>
        <w:t xml:space="preserve"> </w:t>
      </w:r>
      <w:r>
        <w:t xml:space="preserve">de son activité au Secrétariat Général. La vue</w:t>
      </w:r>
      <w:r>
        <w:t xml:space="preserve"> </w:t>
      </w:r>
      <w:r>
        <w:rPr>
          <w:rStyle w:val="VerbatimChar"/>
        </w:rPr>
        <w:t xml:space="preserve">v_etat_trimestriel_courant</w:t>
      </w:r>
      <w:r>
        <w:t xml:space="preserve"> </w:t>
      </w:r>
      <w:r>
        <w:t xml:space="preserve">produit cet état automatiquement.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Conservation des versions historiques des modèles documentaires</w:t>
      </w:r>
      <w:r>
        <w:t xml:space="preserve"> </w:t>
      </w:r>
      <w:r>
        <w:t xml:space="preserve">:</w:t>
      </w:r>
      <w:r>
        <w:t xml:space="preserve"> </w:t>
      </w:r>
      <w:r>
        <w:t xml:space="preserve">un acte reste soumis au droit en vigueur à la date de son émission.</w:t>
      </w:r>
      <w:r>
        <w:t xml:space="preserve"> </w:t>
      </w:r>
      <w:r>
        <w:t xml:space="preserve">Le versioning de</w:t>
      </w:r>
      <w:r>
        <w:t xml:space="preserve"> </w:t>
      </w:r>
      <w:r>
        <w:rPr>
          <w:rStyle w:val="VerbatimChar"/>
        </w:rPr>
        <w:t xml:space="preserve">document_template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get_template_applicable(code, date)</w:t>
      </w:r>
      <w:r>
        <w:t xml:space="preserve"> </w:t>
      </w:r>
      <w:r>
        <w:t xml:space="preserve">garantit cette conformité</w:t>
      </w:r>
      <w:r>
        <w:t xml:space="preserve"> </w:t>
      </w:r>
      <w:r>
        <w:t xml:space="preserve">rétroactive.</w:t>
      </w:r>
    </w:p>
    <w:p>
      <w:r>
        <w:pict>
          <v:rect style="width:0;height:1.5pt" o:hralign="center" o:hrstd="t" o:hr="t"/>
        </w:pict>
      </w:r>
    </w:p>
    <w:bookmarkEnd w:id="35"/>
    <w:bookmarkStart w:id="3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La v3.5.0 clôt</w:t>
      </w:r>
      <w:r>
        <w:t xml:space="preserve"> </w:t>
      </w:r>
      <w:r>
        <w:rPr>
          <w:bCs/>
          <w:b/>
        </w:rPr>
        <w:t xml:space="preserve">trois audits successifs</w:t>
      </w:r>
      <w:r>
        <w:t xml:space="preserve"> </w:t>
      </w:r>
      <w:r>
        <w:t xml:space="preserve">(E2E, workflows, administratif)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trois catégories de lacunes</w:t>
      </w:r>
      <w:r>
        <w:t xml:space="preserve"> </w:t>
      </w:r>
      <w:r>
        <w:t xml:space="preserve">(registres officiels, numérotation,</w:t>
      </w:r>
      <w:r>
        <w:t xml:space="preserve"> </w:t>
      </w:r>
      <w:r>
        <w:t xml:space="preserve">templates et états).</w:t>
      </w:r>
    </w:p>
    <w:p>
      <w:pPr>
        <w:pStyle w:val="BodyText"/>
      </w:pPr>
      <w:r>
        <w:t xml:space="preserve">Depuis la v3.4.7 (mars 2026), FONCIER+ a :</w:t>
      </w:r>
      <w:r>
        <w:t xml:space="preserve"> </w:t>
      </w:r>
      <w:r>
        <w:t xml:space="preserve">- Corrigé</w:t>
      </w:r>
      <w:r>
        <w:t xml:space="preserve"> </w:t>
      </w:r>
      <w:r>
        <w:rPr>
          <w:bCs/>
          <w:b/>
        </w:rPr>
        <w:t xml:space="preserve">30 bugs</w:t>
      </w:r>
      <w:r>
        <w:t xml:space="preserve"> </w:t>
      </w:r>
      <w:r>
        <w:t xml:space="preserve">identifiés par audit systématique</w:t>
      </w:r>
      <w:r>
        <w:t xml:space="preserve"> </w:t>
      </w:r>
      <w:r>
        <w:t xml:space="preserve">- Ajouté</w:t>
      </w:r>
      <w:r>
        <w:t xml:space="preserve"> </w:t>
      </w:r>
      <w:r>
        <w:rPr>
          <w:bCs/>
          <w:b/>
        </w:rPr>
        <w:t xml:space="preserve">7 migrations</w:t>
      </w:r>
      <w:r>
        <w:t xml:space="preserve"> </w:t>
      </w:r>
      <w:r>
        <w:t xml:space="preserve">additives (015 → 021)</w:t>
      </w:r>
      <w:r>
        <w:t xml:space="preserve"> </w:t>
      </w:r>
      <w:r>
        <w:t xml:space="preserve">- Passé la couverture workflows de</w:t>
      </w:r>
      <w:r>
        <w:t xml:space="preserve"> </w:t>
      </w:r>
      <w:r>
        <w:rPr>
          <w:bCs/>
          <w:b/>
        </w:rPr>
        <w:t xml:space="preserve">24 % à 100 %</w:t>
      </w:r>
      <w:r>
        <w:t xml:space="preserve"> </w:t>
      </w:r>
      <w:r>
        <w:t xml:space="preserve">- Introduit</w:t>
      </w:r>
      <w:r>
        <w:t xml:space="preserve"> </w:t>
      </w:r>
      <w:r>
        <w:rPr>
          <w:bCs/>
          <w:b/>
        </w:rPr>
        <w:t xml:space="preserve">7 registres officiels</w:t>
      </w:r>
      <w:r>
        <w:t xml:space="preserve"> </w:t>
      </w:r>
      <w:r>
        <w:t xml:space="preserve">validés par triggers</w:t>
      </w:r>
      <w:r>
        <w:t xml:space="preserve"> </w:t>
      </w:r>
      <w:r>
        <w:t xml:space="preserve">- Posé la fondation de la</w:t>
      </w:r>
      <w:r>
        <w:t xml:space="preserve"> </w:t>
      </w:r>
      <w:r>
        <w:rPr>
          <w:bCs/>
          <w:b/>
        </w:rPr>
        <w:t xml:space="preserve">numérotation chronologique nationale</w:t>
      </w:r>
      <w:r>
        <w:t xml:space="preserve"> </w:t>
      </w:r>
      <w:r>
        <w:t xml:space="preserve">- Pour un total de</w:t>
      </w:r>
      <w:r>
        <w:t xml:space="preserve"> </w:t>
      </w:r>
      <w:r>
        <w:rPr>
          <w:bCs/>
          <w:b/>
        </w:rPr>
        <w:t xml:space="preserve">~3500 lignes</w:t>
      </w:r>
      <w:r>
        <w:t xml:space="preserve"> </w:t>
      </w:r>
      <w:r>
        <w:t xml:space="preserve">de code SQL/Python et</w:t>
      </w:r>
      <w:r>
        <w:t xml:space="preserve"> </w:t>
      </w:r>
      <w:r>
        <w:rPr>
          <w:bCs/>
          <w:b/>
        </w:rPr>
        <w:t xml:space="preserve">140 tests méta</w:t>
      </w:r>
    </w:p>
    <w:p>
      <w:pPr>
        <w:pStyle w:val="BodyText"/>
      </w:pPr>
      <w:r>
        <w:t xml:space="preserve">La plateforme est désormais prête à recevoir les composants de surface</w:t>
      </w:r>
      <w:r>
        <w:t xml:space="preserve"> </w:t>
      </w:r>
      <w:r>
        <w:t xml:space="preserve">(frontend, impression, déploiement) qui compléteront la roadmap v3.5 et</w:t>
      </w:r>
      <w:r>
        <w:t xml:space="preserve"> </w:t>
      </w:r>
      <w:r>
        <w:t xml:space="preserve">la transformeront définitivement en</w:t>
      </w:r>
      <w:r>
        <w:t xml:space="preserve"> </w:t>
      </w:r>
      <w:r>
        <w:rPr>
          <w:bCs/>
          <w:b/>
        </w:rPr>
        <w:t xml:space="preserve">système de travail administratif</w:t>
      </w:r>
      <w:r>
        <w:rPr>
          <w:bCs/>
          <w:b/>
        </w:rPr>
        <w:t xml:space="preserve"> </w:t>
      </w:r>
      <w:r>
        <w:rPr>
          <w:bCs/>
          <w:b/>
        </w:rPr>
        <w:t xml:space="preserve">complet</w:t>
      </w:r>
      <w:r>
        <w:t xml:space="preserve"> </w:t>
      </w:r>
      <w:r>
        <w:t xml:space="preserve">pour le personnel de la DNCD.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FONCIER+ v3.5.0 — Avril 2026</w:t>
      </w:r>
      <w:r>
        <w:t xml:space="preserve"> </w:t>
      </w:r>
      <w:r>
        <w:rPr>
          <w:iCs/>
          <w:i/>
        </w:rPr>
        <w:t xml:space="preserve">République du Niger — Direction Nationale du Cadastre et du Domaine</w:t>
      </w:r>
      <w:r>
        <w:t xml:space="preserve"> </w:t>
      </w:r>
      <w:r>
        <w:rPr>
          <w:iCs/>
          <w:i/>
        </w:rPr>
        <w:t xml:space="preserve">Ministère de l’Urbanisme et de l’Habitat — Secrétariat Général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2026-04-11T20:10:05Z</dcterms:created>
  <dcterms:modified xsi:type="dcterms:W3CDTF">2026-04-11T20:10:05Z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