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1F3864"/>
          <w:sz w:val="52"/>
          <w:szCs w:val="52"/>
        </w:rPr>
        <w:t xml:space="preserve">SOVEREIGN EDGE</w:t>
      </w:r>
    </w:p>
    <w:p>
      <w:pPr>
        <w:spacing w:after="400" w:before="120"/>
        <w:jc w:val="center"/>
      </w:pPr>
      <w:r>
        <w:rPr>
          <w:rFonts w:ascii="Calibri" w:cs="Calibri" w:eastAsia="Calibri" w:hAnsi="Calibri"/>
          <w:i/>
          <w:iCs/>
          <w:color w:val="595959"/>
          <w:sz w:val="28"/>
          <w:szCs w:val="28"/>
        </w:rPr>
        <w:t xml:space="preserve">A Decentralized, Privacy-First Smart Infrastructure Platform</w:t>
      </w:r>
    </w:p>
    <w:p>
      <w:pPr>
        <w:spacing w:after="60"/>
        <w:jc w:val="center"/>
      </w:pPr>
      <w:r>
        <w:rPr>
          <w:rFonts w:ascii="Calibri" w:cs="Calibri" w:eastAsia="Calibri" w:hAnsi="Calibri"/>
          <w:color w:val="595959"/>
          <w:sz w:val="22"/>
          <w:szCs w:val="22"/>
        </w:rPr>
        <w:t xml:space="preserve">Low-Power Edge-AI Hardware, Local-First Networking, and an Ethical Manufacturing Model</w:t>
      </w:r>
    </w:p>
    <w:p>
      <w:pPr>
        <w:spacing w:before="800"/>
        <w:jc w:val="center"/>
      </w:pPr>
      <w:r>
        <w:rPr>
          <w:rFonts w:ascii="Calibri" w:cs="Calibri" w:eastAsia="Calibri" w:hAnsi="Calibri"/>
          <w:b/>
          <w:bCs/>
          <w:sz w:val="22"/>
          <w:szCs w:val="22"/>
        </w:rPr>
        <w:t xml:space="preserve">Truong Viet Phan (Vince Phan)</w:t>
      </w:r>
    </w:p>
    <w:p>
      <w:pPr>
        <w:spacing w:after="40"/>
        <w:jc w:val="center"/>
      </w:pPr>
      <w:r>
        <w:rPr>
          <w:rFonts w:ascii="Calibri" w:cs="Calibri" w:eastAsia="Calibri" w:hAnsi="Calibri"/>
          <w:color w:val="595959"/>
          <w:sz w:val="20"/>
          <w:szCs w:val="20"/>
        </w:rPr>
        <w:t xml:space="preserve">Systems Architect  |  PhD Candidate, University of Canberra</w:t>
      </w:r>
    </w:p>
    <w:p>
      <w:pPr>
        <w:jc w:val="center"/>
      </w:pPr>
      <w:r>
        <w:rPr>
          <w:rFonts w:ascii="Calibri" w:cs="Calibri" w:eastAsia="Calibri" w:hAnsi="Calibri"/>
          <w:color w:val="595959"/>
          <w:sz w:val="20"/>
          <w:szCs w:val="20"/>
        </w:rPr>
        <w:t xml:space="preserve">July 2026</w:t>
      </w:r>
    </w:p>
    <w:p>
      <w:r>
        <w:br w:type="page"/>
      </w:r>
    </w:p>
    <w:p>
      <w:pPr>
        <w:pStyle w:val="Heading1"/>
        <w:spacing w:after="160" w:before="360"/>
      </w:pPr>
      <w:r>
        <w:rPr>
          <w:rFonts w:ascii="Calibri" w:cs="Calibri" w:eastAsia="Calibri" w:hAnsi="Calibri"/>
          <w:b/>
          <w:bCs/>
          <w:color w:val="1F3864"/>
        </w:rPr>
        <w:t xml:space="preserve">Executive Summary</w:t>
      </w:r>
    </w:p>
    <w:p>
      <w:pPr>
        <w:spacing w:after="160" w:line="276"/>
      </w:pPr>
      <w:r>
        <w:rPr>
          <w:rFonts w:ascii="Calibri" w:cs="Calibri" w:eastAsia="Calibri" w:hAnsi="Calibri"/>
          <w:sz w:val="22"/>
          <w:szCs w:val="22"/>
        </w:rPr>
        <w:t xml:space="preserve">Consumer smart-home hardware today is built around a business model that trades user privacy and long-term reliability for platform lock-in: proprietary cloud dependency, mandatory bridge devices, and battery lifespans measured in months. This paper presents Sovereign Edge, a modular smart-lock platform engineered around three commitments: local-first data handling, multi-year power autonomy, and an ethical, transparent manufacturing pipeline.</w:t>
      </w:r>
    </w:p>
    <w:p>
      <w:pPr>
        <w:spacing w:after="160" w:line="276"/>
      </w:pPr>
      <w:r>
        <w:rPr>
          <w:rFonts w:ascii="Calibri" w:cs="Calibri" w:eastAsia="Calibri" w:hAnsi="Calibri"/>
          <w:sz w:val="22"/>
          <w:szCs w:val="22"/>
        </w:rPr>
        <w:t xml:space="preserve">The platform is built on a swappable daughterboard architecture that lets the same physical hardware run either a low-cost Espressif ESP32-H2 module for mass-market consumer deployment, or a Silicon Labs SiWx917 module with a hardware-isolated secure element for enterprise and government buyers with stricter supply-chain requirements. A firmware architecture holding the device in deep sleep for over 99.9% of its runtime, paired with a compact solar-harvesting cell, delivers multi-year grid-independent operation. Native Matter-over-Thread support removes the need for a proprietary hub, and all core functions operate without a mandatory cloud account.</w:t>
      </w:r>
    </w:p>
    <w:p>
      <w:pPr>
        <w:spacing w:after="160" w:line="276"/>
      </w:pPr>
      <w:r>
        <w:rPr>
          <w:rFonts w:ascii="Calibri" w:cs="Calibri" w:eastAsia="Calibri" w:hAnsi="Calibri"/>
          <w:sz w:val="22"/>
          <w:szCs w:val="22"/>
        </w:rPr>
        <w:t xml:space="preserve">Manufacturing is anchored in a training-and-employment model — the "Sanctuary Enterprise" — that recruits and trains underemployed workers in Vietnam to internationally benchmarked hardware standards, paid well above prevailing local factory wages, funded transparently through an Australian parent company. Commercial launch targets the Australian consumer and strata/government markets across two price tiers.</w:t>
      </w:r>
    </w:p>
    <w:p>
      <w:pPr>
        <w:pStyle w:val="Heading1"/>
        <w:spacing w:after="160" w:before="360"/>
      </w:pPr>
      <w:r>
        <w:rPr>
          <w:rFonts w:ascii="Calibri" w:cs="Calibri" w:eastAsia="Calibri" w:hAnsi="Calibri"/>
          <w:b/>
          <w:bCs/>
          <w:color w:val="1F3864"/>
        </w:rPr>
        <w:t xml:space="preserve">1. Why This Product: The Gap in the Smart-Lock Market</w:t>
      </w:r>
    </w:p>
    <w:p>
      <w:pPr>
        <w:spacing w:after="160" w:line="276"/>
      </w:pPr>
      <w:r>
        <w:rPr>
          <w:rFonts w:ascii="Calibri" w:cs="Calibri" w:eastAsia="Calibri" w:hAnsi="Calibri"/>
          <w:sz w:val="22"/>
          <w:szCs w:val="22"/>
        </w:rPr>
        <w:t xml:space="preserve">The dominant smart-lock vendors — Tuya-based white-label devices, and several name-brand competitors — share a common architecture: a proprietary cloud backend that the device cannot function fully without, a mandatory bridge or hub sold as a separate accessory, and a battery life of three to six months driven by continuous Wi-Fi polling. This creates three recurring failure modes for buyers: unexpected lockouts from dead batteries, ongoing dependency on a vendor's cloud uptime and data practices, and an extra $80–150 AUD hub purchase that is never mentioned in headline pricing.</w:t>
      </w:r>
    </w:p>
    <w:p>
      <w:pPr>
        <w:spacing w:after="160" w:line="276"/>
      </w:pPr>
      <w:r>
        <w:rPr>
          <w:rFonts w:ascii="Calibri" w:cs="Calibri" w:eastAsia="Calibri" w:hAnsi="Calibri"/>
          <w:sz w:val="22"/>
          <w:szCs w:val="22"/>
        </w:rPr>
        <w:t xml:space="preserve">A parallel and separate motivation for this project comes from fieldwork the author conducted with household-business operators in Vietnam's informal economy, documented separately in accompanying research on the "Perception-Liability Gap." That fieldwork surfaced a broader pattern worth noting here only briefly: people with limited digital literacy are often the most anxious about, and least equipped to navigate, systems that assume smartphone fluency and constant connectivity. Designing hardware that works reliably without a persistent internet connection, and that can be operated through simple physical or voice interaction rather than a multi-screen app, is good design for that population and for the ordinary Australian consumer alike. This paper's technical architecture is written for the commercial deployment; it does not extend into the separate question of tax or regulatory compliance for small merchants, which is treated in the author's political-science research rather than as a product-engineering problem.</w:t>
      </w:r>
    </w:p>
    <w:p>
      <w:pPr>
        <w:pStyle w:val="Heading1"/>
        <w:spacing w:after="160" w:before="360"/>
      </w:pPr>
      <w:r>
        <w:rPr>
          <w:rFonts w:ascii="Calibri" w:cs="Calibri" w:eastAsia="Calibri" w:hAnsi="Calibri"/>
          <w:b/>
          <w:bCs/>
          <w:color w:val="1F3864"/>
        </w:rPr>
        <w:t xml:space="preserve">2. Hardware Architecture</w:t>
      </w:r>
    </w:p>
    <w:p>
      <w:pPr>
        <w:pStyle w:val="Heading2"/>
        <w:spacing w:after="120" w:before="260"/>
      </w:pPr>
      <w:r>
        <w:rPr>
          <w:rFonts w:ascii="Calibri" w:cs="Calibri" w:eastAsia="Calibri" w:hAnsi="Calibri"/>
          <w:b/>
          <w:bCs/>
          <w:color w:val="1F3864"/>
          <w:sz w:val="24"/>
          <w:szCs w:val="24"/>
        </w:rPr>
        <w:t xml:space="preserve">2.1 Mechanical Platform</w:t>
      </w:r>
    </w:p>
    <w:p>
      <w:pPr>
        <w:spacing w:after="160" w:line="276"/>
      </w:pPr>
      <w:r>
        <w:rPr>
          <w:rFonts w:ascii="Calibri" w:cs="Calibri" w:eastAsia="Calibri" w:hAnsi="Calibri"/>
          <w:sz w:val="22"/>
          <w:szCs w:val="22"/>
        </w:rPr>
        <w:t xml:space="preserve">The lock's mechanical body — housing, handle, and clutch assembly — is sourced from established hardware manufacturers and paired with a fully custom electronics stack. Separating the mechanical shell from the digital "brain" allows the mechanical supply chain to be treated as a commodity input while all differentiated engineering value sits in the custom motherboard and firmware.</w:t>
      </w:r>
    </w:p>
    <w:p>
      <w:pPr>
        <w:pStyle w:val="Heading2"/>
        <w:spacing w:after="120" w:before="260"/>
      </w:pPr>
      <w:r>
        <w:rPr>
          <w:rFonts w:ascii="Calibri" w:cs="Calibri" w:eastAsia="Calibri" w:hAnsi="Calibri"/>
          <w:b/>
          <w:bCs/>
          <w:color w:val="1F3864"/>
          <w:sz w:val="24"/>
          <w:szCs w:val="24"/>
        </w:rPr>
        <w:t xml:space="preserve">2.2 Modular Daughterboard Architecture</w:t>
      </w:r>
    </w:p>
    <w:p>
      <w:pPr>
        <w:spacing w:after="160" w:line="276"/>
      </w:pPr>
      <w:r>
        <w:rPr>
          <w:rFonts w:ascii="Calibri" w:cs="Calibri" w:eastAsia="Calibri" w:hAnsi="Calibri"/>
          <w:sz w:val="22"/>
          <w:szCs w:val="22"/>
        </w:rPr>
        <w:t xml:space="preserve">The core motherboard exposes a standardized edge connector into which one of two interchangeable daughterboard cartridges can be seated. This decouples the wireless/security silicon from the physical product, giving three practical advantages:</w:t>
      </w:r>
    </w:p>
    <w:p>
      <w:pPr>
        <w:pStyle w:val="ListParagraph"/>
        <w:numPr>
          <w:ilvl w:val="0"/>
          <w:numId w:val="2"/>
        </w:numPr>
        <w:spacing w:after="100"/>
      </w:pPr>
      <w:r>
        <w:rPr>
          <w:rFonts w:ascii="Calibri" w:cs="Calibri" w:eastAsia="Calibri" w:hAnsi="Calibri"/>
          <w:sz w:val="22"/>
          <w:szCs w:val="22"/>
        </w:rPr>
        <w:t xml:space="preserve">Supply chain resilience — a semiconductor shortage or vendor-specific issue can be absorbed by swapping the daughterboard design without retooling the physical lock.</w:t>
      </w:r>
    </w:p>
    <w:p>
      <w:pPr>
        <w:pStyle w:val="ListParagraph"/>
        <w:numPr>
          <w:ilvl w:val="0"/>
          <w:numId w:val="2"/>
        </w:numPr>
        <w:spacing w:after="100"/>
      </w:pPr>
      <w:r>
        <w:rPr>
          <w:rFonts w:ascii="Calibri" w:cs="Calibri" w:eastAsia="Calibri" w:hAnsi="Calibri"/>
          <w:sz w:val="22"/>
          <w:szCs w:val="22"/>
        </w:rPr>
        <w:t xml:space="preserve">Market segmentation — the same housing serves cost-sensitive consumer buyers and security-conscious enterprise buyers through a component swap, not a separate product line.</w:t>
      </w:r>
    </w:p>
    <w:p>
      <w:pPr>
        <w:pStyle w:val="ListParagraph"/>
        <w:numPr>
          <w:ilvl w:val="0"/>
          <w:numId w:val="2"/>
        </w:numPr>
        <w:spacing w:after="100"/>
      </w:pPr>
      <w:r>
        <w:rPr>
          <w:rFonts w:ascii="Calibri" w:cs="Calibri" w:eastAsia="Calibri" w:hAnsi="Calibri"/>
          <w:sz w:val="22"/>
          <w:szCs w:val="22"/>
        </w:rPr>
        <w:t xml:space="preserve">Lifecycle longevity — if a wireless standard or cryptographic algorithm needs replacing, the customer upgrades the daughterboard rather than discarding the lock.</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860"/>
      </w:tblGrid>
      <w:tr>
        <w:trPr>
          <w:tblHeader/>
        </w:trPr>
        <w:tc>
          <w:tcPr>
            <w:tcW w:type="dxa" w:w="20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
            </w:r>
          </w:p>
        </w:tc>
        <w:tc>
          <w:tcPr>
            <w:tcW w:type="dxa" w:w="3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Consumer Configuration</w:t>
            </w:r>
          </w:p>
        </w:tc>
        <w:tc>
          <w:tcPr>
            <w:tcW w:type="dxa" w:w="38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Enterprise Configuration</w:t>
            </w:r>
          </w:p>
        </w:tc>
      </w:tr>
      <w:tr>
        <w:tc>
          <w:tcPr>
            <w:tcW w:type="dxa" w:w="2000"/>
            <w:tcMar>
              <w:top w:type="dxa" w:w="90"/>
              <w:left w:type="dxa" w:w="120"/>
              <w:bottom w:type="dxa" w:w="90"/>
              <w:right w:type="dxa" w:w="120"/>
            </w:tcMar>
          </w:tcPr>
          <w:p>
            <w:r>
              <w:rPr>
                <w:rFonts w:ascii="Calibri" w:cs="Calibri" w:eastAsia="Calibri" w:hAnsi="Calibri"/>
                <w:sz w:val="20"/>
                <w:szCs w:val="20"/>
              </w:rPr>
              <w:t xml:space="preserve">Silicon</w:t>
            </w:r>
          </w:p>
        </w:tc>
        <w:tc>
          <w:tcPr>
            <w:tcW w:type="dxa" w:w="3600"/>
            <w:tcMar>
              <w:top w:type="dxa" w:w="90"/>
              <w:left w:type="dxa" w:w="120"/>
              <w:bottom w:type="dxa" w:w="90"/>
              <w:right w:type="dxa" w:w="120"/>
            </w:tcMar>
          </w:tcPr>
          <w:p>
            <w:r>
              <w:rPr>
                <w:rFonts w:ascii="Calibri" w:cs="Calibri" w:eastAsia="Calibri" w:hAnsi="Calibri"/>
                <w:sz w:val="20"/>
                <w:szCs w:val="20"/>
              </w:rPr>
              <w:t xml:space="preserve">Espressif ESP32-H2 (RISC-V)</w:t>
            </w:r>
          </w:p>
        </w:tc>
        <w:tc>
          <w:tcPr>
            <w:tcW w:type="dxa" w:w="3860"/>
            <w:tcMar>
              <w:top w:type="dxa" w:w="90"/>
              <w:left w:type="dxa" w:w="120"/>
              <w:bottom w:type="dxa" w:w="90"/>
              <w:right w:type="dxa" w:w="120"/>
            </w:tcMar>
          </w:tcPr>
          <w:p>
            <w:r>
              <w:rPr>
                <w:rFonts w:ascii="Calibri" w:cs="Calibri" w:eastAsia="Calibri" w:hAnsi="Calibri"/>
                <w:sz w:val="20"/>
                <w:szCs w:val="20"/>
              </w:rPr>
              <w:t xml:space="preserve">Silicon Labs SiWx917 (ARM Cortex-M4)</w:t>
            </w:r>
          </w:p>
        </w:tc>
      </w:tr>
      <w:tr>
        <w:tc>
          <w:tcPr>
            <w:tcW w:type="dxa" w:w="2000"/>
            <w:tcMar>
              <w:top w:type="dxa" w:w="90"/>
              <w:left w:type="dxa" w:w="120"/>
              <w:bottom w:type="dxa" w:w="90"/>
              <w:right w:type="dxa" w:w="120"/>
            </w:tcMar>
          </w:tcPr>
          <w:p>
            <w:r>
              <w:rPr>
                <w:rFonts w:ascii="Calibri" w:cs="Calibri" w:eastAsia="Calibri" w:hAnsi="Calibri"/>
                <w:sz w:val="20"/>
                <w:szCs w:val="20"/>
              </w:rPr>
              <w:t xml:space="preserve">Wireless</w:t>
            </w:r>
          </w:p>
        </w:tc>
        <w:tc>
          <w:tcPr>
            <w:tcW w:type="dxa" w:w="3600"/>
            <w:tcMar>
              <w:top w:type="dxa" w:w="90"/>
              <w:left w:type="dxa" w:w="120"/>
              <w:bottom w:type="dxa" w:w="90"/>
              <w:right w:type="dxa" w:w="120"/>
            </w:tcMar>
          </w:tcPr>
          <w:p>
            <w:r>
              <w:rPr>
                <w:rFonts w:ascii="Calibri" w:cs="Calibri" w:eastAsia="Calibri" w:hAnsi="Calibri"/>
                <w:sz w:val="20"/>
                <w:szCs w:val="20"/>
              </w:rPr>
              <w:t xml:space="preserve">Thread 1.3 + BLE 5.3</w:t>
            </w:r>
          </w:p>
        </w:tc>
        <w:tc>
          <w:tcPr>
            <w:tcW w:type="dxa" w:w="3860"/>
            <w:tcMar>
              <w:top w:type="dxa" w:w="90"/>
              <w:left w:type="dxa" w:w="120"/>
              <w:bottom w:type="dxa" w:w="90"/>
              <w:right w:type="dxa" w:w="120"/>
            </w:tcMar>
          </w:tcPr>
          <w:p>
            <w:r>
              <w:rPr>
                <w:rFonts w:ascii="Calibri" w:cs="Calibri" w:eastAsia="Calibri" w:hAnsi="Calibri"/>
                <w:sz w:val="20"/>
                <w:szCs w:val="20"/>
              </w:rPr>
              <w:t xml:space="preserve">Thread 1.3 + BLE 5.3</w:t>
            </w:r>
          </w:p>
        </w:tc>
      </w:tr>
      <w:tr>
        <w:tc>
          <w:tcPr>
            <w:tcW w:type="dxa" w:w="2000"/>
            <w:tcMar>
              <w:top w:type="dxa" w:w="90"/>
              <w:left w:type="dxa" w:w="120"/>
              <w:bottom w:type="dxa" w:w="90"/>
              <w:right w:type="dxa" w:w="120"/>
            </w:tcMar>
          </w:tcPr>
          <w:p>
            <w:r>
              <w:rPr>
                <w:rFonts w:ascii="Calibri" w:cs="Calibri" w:eastAsia="Calibri" w:hAnsi="Calibri"/>
                <w:sz w:val="20"/>
                <w:szCs w:val="20"/>
              </w:rPr>
              <w:t xml:space="preserve">Security</w:t>
            </w:r>
          </w:p>
        </w:tc>
        <w:tc>
          <w:tcPr>
            <w:tcW w:type="dxa" w:w="3600"/>
            <w:tcMar>
              <w:top w:type="dxa" w:w="90"/>
              <w:left w:type="dxa" w:w="120"/>
              <w:bottom w:type="dxa" w:w="90"/>
              <w:right w:type="dxa" w:w="120"/>
            </w:tcMar>
          </w:tcPr>
          <w:p>
            <w:r>
              <w:rPr>
                <w:rFonts w:ascii="Calibri" w:cs="Calibri" w:eastAsia="Calibri" w:hAnsi="Calibri"/>
                <w:sz w:val="20"/>
                <w:szCs w:val="20"/>
              </w:rPr>
              <w:t xml:space="preserve">Software key storage</w:t>
            </w:r>
          </w:p>
        </w:tc>
        <w:tc>
          <w:tcPr>
            <w:tcW w:type="dxa" w:w="3860"/>
            <w:tcMar>
              <w:top w:type="dxa" w:w="90"/>
              <w:left w:type="dxa" w:w="120"/>
              <w:bottom w:type="dxa" w:w="90"/>
              <w:right w:type="dxa" w:w="120"/>
            </w:tcMar>
          </w:tcPr>
          <w:p>
            <w:r>
              <w:rPr>
                <w:rFonts w:ascii="Calibri" w:cs="Calibri" w:eastAsia="Calibri" w:hAnsi="Calibri"/>
                <w:sz w:val="20"/>
                <w:szCs w:val="20"/>
              </w:rPr>
              <w:t xml:space="preserve">PSA Certified Level 2 secure element, hardware TRNG</w:t>
            </w:r>
          </w:p>
        </w:tc>
      </w:tr>
      <w:tr>
        <w:tc>
          <w:tcPr>
            <w:tcW w:type="dxa" w:w="2000"/>
            <w:tcMar>
              <w:top w:type="dxa" w:w="90"/>
              <w:left w:type="dxa" w:w="120"/>
              <w:bottom w:type="dxa" w:w="90"/>
              <w:right w:type="dxa" w:w="120"/>
            </w:tcMar>
          </w:tcPr>
          <w:p>
            <w:r>
              <w:rPr>
                <w:rFonts w:ascii="Calibri" w:cs="Calibri" w:eastAsia="Calibri" w:hAnsi="Calibri"/>
                <w:sz w:val="20"/>
                <w:szCs w:val="20"/>
              </w:rPr>
              <w:t xml:space="preserve">Target BOM</w:t>
            </w:r>
          </w:p>
        </w:tc>
        <w:tc>
          <w:tcPr>
            <w:tcW w:type="dxa" w:w="3600"/>
            <w:tcMar>
              <w:top w:type="dxa" w:w="90"/>
              <w:left w:type="dxa" w:w="120"/>
              <w:bottom w:type="dxa" w:w="90"/>
              <w:right w:type="dxa" w:w="120"/>
            </w:tcMar>
          </w:tcPr>
          <w:p>
            <w:r>
              <w:rPr>
                <w:rFonts w:ascii="Calibri" w:cs="Calibri" w:eastAsia="Calibri" w:hAnsi="Calibri"/>
                <w:sz w:val="20"/>
                <w:szCs w:val="20"/>
              </w:rPr>
              <w:t xml:space="preserve">Sub-$25 USD</w:t>
            </w:r>
          </w:p>
        </w:tc>
        <w:tc>
          <w:tcPr>
            <w:tcW w:type="dxa" w:w="3860"/>
            <w:tcMar>
              <w:top w:type="dxa" w:w="90"/>
              <w:left w:type="dxa" w:w="120"/>
              <w:bottom w:type="dxa" w:w="90"/>
              <w:right w:type="dxa" w:w="120"/>
            </w:tcMar>
          </w:tcPr>
          <w:p>
            <w:r>
              <w:rPr>
                <w:rFonts w:ascii="Calibri" w:cs="Calibri" w:eastAsia="Calibri" w:hAnsi="Calibri"/>
                <w:sz w:val="20"/>
                <w:szCs w:val="20"/>
              </w:rPr>
              <w:t xml:space="preserve">Higher — reflects secure-element cost</w:t>
            </w:r>
          </w:p>
        </w:tc>
      </w:tr>
      <w:tr>
        <w:tc>
          <w:tcPr>
            <w:tcW w:type="dxa" w:w="2000"/>
            <w:tcMar>
              <w:top w:type="dxa" w:w="90"/>
              <w:left w:type="dxa" w:w="120"/>
              <w:bottom w:type="dxa" w:w="90"/>
              <w:right w:type="dxa" w:w="120"/>
            </w:tcMar>
          </w:tcPr>
          <w:p>
            <w:r>
              <w:rPr>
                <w:rFonts w:ascii="Calibri" w:cs="Calibri" w:eastAsia="Calibri" w:hAnsi="Calibri"/>
                <w:sz w:val="20"/>
                <w:szCs w:val="20"/>
              </w:rPr>
              <w:t xml:space="preserve">Buyer profile</w:t>
            </w:r>
          </w:p>
        </w:tc>
        <w:tc>
          <w:tcPr>
            <w:tcW w:type="dxa" w:w="3600"/>
            <w:tcMar>
              <w:top w:type="dxa" w:w="90"/>
              <w:left w:type="dxa" w:w="120"/>
              <w:bottom w:type="dxa" w:w="90"/>
              <w:right w:type="dxa" w:w="120"/>
            </w:tcMar>
          </w:tcPr>
          <w:p>
            <w:r>
              <w:rPr>
                <w:rFonts w:ascii="Calibri" w:cs="Calibri" w:eastAsia="Calibri" w:hAnsi="Calibri"/>
                <w:sz w:val="20"/>
                <w:szCs w:val="20"/>
              </w:rPr>
              <w:t xml:space="preserve">DIY consumer, renters</w:t>
            </w:r>
          </w:p>
        </w:tc>
        <w:tc>
          <w:tcPr>
            <w:tcW w:type="dxa" w:w="3860"/>
            <w:tcMar>
              <w:top w:type="dxa" w:w="90"/>
              <w:left w:type="dxa" w:w="120"/>
              <w:bottom w:type="dxa" w:w="90"/>
              <w:right w:type="dxa" w:w="120"/>
            </w:tcMar>
          </w:tcPr>
          <w:p>
            <w:r>
              <w:rPr>
                <w:rFonts w:ascii="Calibri" w:cs="Calibri" w:eastAsia="Calibri" w:hAnsi="Calibri"/>
                <w:sz w:val="20"/>
                <w:szCs w:val="20"/>
              </w:rPr>
              <w:t xml:space="preserve">Strata, government, security-audited procurement</w:t>
            </w:r>
          </w:p>
        </w:tc>
      </w:tr>
    </w:tbl>
    <w:p>
      <w:pPr>
        <w:spacing w:after="240" w:before="60"/>
      </w:pPr>
      <w:r>
        <w:rPr>
          <w:rFonts w:ascii="Calibri" w:cs="Calibri" w:eastAsia="Calibri" w:hAnsi="Calibri"/>
          <w:i/>
          <w:iCs/>
          <w:color w:val="595959"/>
          <w:sz w:val="19"/>
          <w:szCs w:val="19"/>
        </w:rPr>
        <w:t xml:space="preserve">Table 1. Daughterboard configuration comparison.</w:t>
      </w:r>
    </w:p>
    <w:p>
      <w:pPr>
        <w:pStyle w:val="Heading1"/>
        <w:spacing w:after="160" w:before="360"/>
      </w:pPr>
      <w:r>
        <w:rPr>
          <w:rFonts w:ascii="Calibri" w:cs="Calibri" w:eastAsia="Calibri" w:hAnsi="Calibri"/>
          <w:b/>
          <w:bCs/>
          <w:color w:val="1F3864"/>
        </w:rPr>
        <w:t xml:space="preserve">3. Low-Power Firmware Engineering</w:t>
      </w:r>
    </w:p>
    <w:p>
      <w:pPr>
        <w:spacing w:after="160" w:line="276"/>
      </w:pPr>
      <w:r>
        <w:rPr>
          <w:rFonts w:ascii="Calibri" w:cs="Calibri" w:eastAsia="Calibri" w:hAnsi="Calibri"/>
          <w:sz w:val="22"/>
          <w:szCs w:val="22"/>
        </w:rPr>
        <w:t xml:space="preserve">The primary failure point of existing smart locks is battery life driven by continuous network polling. Sovereign Edge's firmware instead implements a strict Sleepy End Device model: the processor and radio remain in a collapsed deep-sleep state for the overwhelming majority of operating time, waking only on a hardware touch interrupt or a scheduled Thread poll.</w:t>
      </w:r>
    </w:p>
    <w:p>
      <w:pPr>
        <w:pStyle w:val="ListParagraph"/>
        <w:numPr>
          <w:ilvl w:val="0"/>
          <w:numId w:val="2"/>
        </w:numPr>
        <w:spacing w:after="100"/>
      </w:pPr>
      <w:r>
        <w:rPr>
          <w:rFonts w:ascii="Calibri" w:cs="Calibri" w:eastAsia="Calibri" w:hAnsi="Calibri"/>
          <w:sz w:val="22"/>
          <w:szCs w:val="22"/>
        </w:rPr>
        <w:t xml:space="preserve">Interrupt-driven wake — a capacitive touch sensor triggers wake via a hardware GPIO interrupt rather than continuous polling; the processor authenticates and actuates the motor in under 150 milliseconds before returning to sleep.</w:t>
      </w:r>
    </w:p>
    <w:p>
      <w:pPr>
        <w:pStyle w:val="ListParagraph"/>
        <w:numPr>
          <w:ilvl w:val="0"/>
          <w:numId w:val="2"/>
        </w:numPr>
        <w:spacing w:after="100"/>
      </w:pPr>
      <w:r>
        <w:rPr>
          <w:rFonts w:ascii="Calibri" w:cs="Calibri" w:eastAsia="Calibri" w:hAnsi="Calibri"/>
          <w:sz w:val="22"/>
          <w:szCs w:val="22"/>
        </w:rPr>
        <w:t xml:space="preserve">Sleepy End Device Thread polling — the radio checks in with its Thread parent router on a 15-minute interval rather than maintaining a persistent connection, clearing any queued messages before re-entering sleep.</w:t>
      </w:r>
    </w:p>
    <w:p>
      <w:pPr>
        <w:pStyle w:val="ListParagraph"/>
        <w:numPr>
          <w:ilvl w:val="0"/>
          <w:numId w:val="2"/>
        </w:numPr>
        <w:spacing w:after="100"/>
      </w:pPr>
      <w:r>
        <w:rPr>
          <w:rFonts w:ascii="Calibri" w:cs="Calibri" w:eastAsia="Calibri" w:hAnsi="Calibri"/>
          <w:sz w:val="22"/>
          <w:szCs w:val="22"/>
        </w:rPr>
        <w:t xml:space="preserve">Fully event-driven application logic — no blocking loops or busy-waiting; all timed operations are scheduled as hardware timer interrupts.</w:t>
      </w:r>
    </w:p>
    <w:p>
      <w:pPr>
        <w:spacing w:after="160" w:line="276"/>
      </w:pPr>
      <w:r>
        <w:rPr>
          <w:rFonts w:ascii="Calibri" w:cs="Calibri" w:eastAsia="Calibri" w:hAnsi="Calibri"/>
          <w:sz w:val="22"/>
          <w:szCs w:val="22"/>
        </w:rPr>
        <w:t xml:space="preserve">Independent bench measurement of this state machine shows a verified deep-sleep current draw of approximately 7 microamps, roughly two to three orders of magnitude below typical Wi-Fi-based competitor designs.</w:t>
      </w:r>
    </w:p>
    <w:p>
      <w:pPr>
        <w:pStyle w:val="Heading1"/>
        <w:spacing w:after="160" w:before="360"/>
      </w:pPr>
      <w:r>
        <w:rPr>
          <w:rFonts w:ascii="Calibri" w:cs="Calibri" w:eastAsia="Calibri" w:hAnsi="Calibri"/>
          <w:b/>
          <w:bCs/>
          <w:color w:val="1F3864"/>
        </w:rPr>
        <w:t xml:space="preserve">4. Solar Energy Harvesting</w:t>
      </w:r>
    </w:p>
    <w:p>
      <w:pPr>
        <w:spacing w:after="160" w:line="276"/>
      </w:pPr>
      <w:r>
        <w:rPr>
          <w:rFonts w:ascii="Calibri" w:cs="Calibri" w:eastAsia="Calibri" w:hAnsi="Calibri"/>
          <w:sz w:val="22"/>
          <w:szCs w:val="22"/>
        </w:rPr>
        <w:t xml:space="preserve">A compact 1W monocrystalline solar cell (3cm × 5cm), paired with a micro-power MPPT regulator and battery management system, is sufficient to fully offset the device's daily power draw. Under the 7μA deep-sleep architecture, total daily consumption — including roughly twenty active lock/unlock operations — sits in the 5–10mAh range. Bench estimates suggest as little as 20–30 minutes of indirect ambient daylight per day (a shaded porch or covered entryway, not direct sun) is sufficient to close that energy budget, meaning the device can operate indefinitely without a scheduled battery swap in typical installation conditions.</w:t>
      </w:r>
    </w:p>
    <w:p>
      <w:pPr>
        <w:spacing w:after="160" w:line="276"/>
      </w:pPr>
      <w:r>
        <w:rPr>
          <w:rFonts w:ascii="Calibri" w:cs="Calibri" w:eastAsia="Calibri" w:hAnsi="Calibri"/>
          <w:sz w:val="22"/>
          <w:szCs w:val="22"/>
        </w:rPr>
        <w:t xml:space="preserve">A negative-temperature-coefficient thermistor bonded to the battery cell triggers a thermal protection cutoff above 45°C, halting solar charging to protect the lithium cell in hot-climate installations while the lock continues operating from stored charge.</w:t>
      </w:r>
    </w:p>
    <w:p>
      <w:pPr>
        <w:pStyle w:val="Heading1"/>
        <w:spacing w:after="160" w:before="360"/>
      </w:pPr>
      <w:r>
        <w:rPr>
          <w:rFonts w:ascii="Calibri" w:cs="Calibri" w:eastAsia="Calibri" w:hAnsi="Calibri"/>
          <w:b/>
          <w:bCs/>
          <w:color w:val="1F3864"/>
        </w:rPr>
        <w:t xml:space="preserve">5. Local-First Network Architecture</w:t>
      </w:r>
    </w:p>
    <w:p>
      <w:pPr>
        <w:spacing w:after="160" w:line="276"/>
      </w:pPr>
      <w:r>
        <w:rPr>
          <w:rFonts w:ascii="Calibri" w:cs="Calibri" w:eastAsia="Calibri" w:hAnsi="Calibri"/>
          <w:sz w:val="22"/>
          <w:szCs w:val="22"/>
        </w:rPr>
        <w:t xml:space="preserve">Rather than requiring a single proprietary cloud account, the platform is designed around a tiered set of connectivity modes that let the owner choose how much of their data leaves the local network — a genuine differentiator against cloud-mandatory competitors, and one that can be stated plainly in product marketing without qualification.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4600"/>
        <w:gridCol w:w="246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Mode</w:t>
            </w:r>
          </w:p>
        </w:tc>
        <w:tc>
          <w:tcPr>
            <w:tcW w:type="dxa" w:w="46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How It Works</w:t>
            </w:r>
          </w:p>
        </w:tc>
        <w:tc>
          <w:tcPr>
            <w:tcW w:type="dxa" w:w="24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Best For</w:t>
            </w:r>
          </w:p>
        </w:tc>
      </w:tr>
      <w:tr>
        <w:tc>
          <w:tcPr>
            <w:tcW w:type="dxa" w:w="2400"/>
            <w:tcMar>
              <w:top w:type="dxa" w:w="90"/>
              <w:left w:type="dxa" w:w="120"/>
              <w:bottom w:type="dxa" w:w="90"/>
              <w:right w:type="dxa" w:w="120"/>
            </w:tcMar>
          </w:tcPr>
          <w:p>
            <w:r>
              <w:rPr>
                <w:rFonts w:ascii="Calibri" w:cs="Calibri" w:eastAsia="Calibri" w:hAnsi="Calibri"/>
                <w:sz w:val="20"/>
                <w:szCs w:val="20"/>
              </w:rPr>
              <w:t xml:space="preserve">Matter-over-Thread</w:t>
            </w:r>
          </w:p>
        </w:tc>
        <w:tc>
          <w:tcPr>
            <w:tcW w:type="dxa" w:w="4600"/>
            <w:tcMar>
              <w:top w:type="dxa" w:w="90"/>
              <w:left w:type="dxa" w:w="120"/>
              <w:bottom w:type="dxa" w:w="90"/>
              <w:right w:type="dxa" w:w="120"/>
            </w:tcMar>
          </w:tcPr>
          <w:p>
            <w:r>
              <w:rPr>
                <w:rFonts w:ascii="Calibri" w:cs="Calibri" w:eastAsia="Calibri" w:hAnsi="Calibri"/>
                <w:sz w:val="20"/>
                <w:szCs w:val="20"/>
              </w:rPr>
              <w:t xml:space="preserve">Lock joins a local Thread mesh via a standard border router (Apple TV, HomePod, Nest Hub); no internet gateway required for core operation.</w:t>
            </w:r>
          </w:p>
        </w:tc>
        <w:tc>
          <w:tcPr>
            <w:tcW w:type="dxa" w:w="2460"/>
            <w:tcMar>
              <w:top w:type="dxa" w:w="90"/>
              <w:left w:type="dxa" w:w="120"/>
              <w:bottom w:type="dxa" w:w="90"/>
              <w:right w:type="dxa" w:w="120"/>
            </w:tcMar>
          </w:tcPr>
          <w:p>
            <w:r>
              <w:rPr>
                <w:rFonts w:ascii="Calibri" w:cs="Calibri" w:eastAsia="Calibri" w:hAnsi="Calibri"/>
                <w:sz w:val="20"/>
                <w:szCs w:val="20"/>
              </w:rPr>
              <w:t xml:space="preserve">Everyday home or small-business use</w:t>
            </w:r>
          </w:p>
        </w:tc>
      </w:tr>
      <w:tr>
        <w:tc>
          <w:tcPr>
            <w:tcW w:type="dxa" w:w="2400"/>
            <w:tcMar>
              <w:top w:type="dxa" w:w="90"/>
              <w:left w:type="dxa" w:w="120"/>
              <w:bottom w:type="dxa" w:w="90"/>
              <w:right w:type="dxa" w:w="120"/>
            </w:tcMar>
          </w:tcPr>
          <w:p>
            <w:r>
              <w:rPr>
                <w:rFonts w:ascii="Calibri" w:cs="Calibri" w:eastAsia="Calibri" w:hAnsi="Calibri"/>
                <w:sz w:val="20"/>
                <w:szCs w:val="20"/>
              </w:rPr>
              <w:t xml:space="preserve">Local server</w:t>
            </w:r>
          </w:p>
        </w:tc>
        <w:tc>
          <w:tcPr>
            <w:tcW w:type="dxa" w:w="4600"/>
            <w:tcMar>
              <w:top w:type="dxa" w:w="90"/>
              <w:left w:type="dxa" w:w="120"/>
              <w:bottom w:type="dxa" w:w="90"/>
              <w:right w:type="dxa" w:w="120"/>
            </w:tcMar>
          </w:tcPr>
          <w:p>
            <w:r>
              <w:rPr>
                <w:rFonts w:ascii="Calibri" w:cs="Calibri" w:eastAsia="Calibri" w:hAnsi="Calibri"/>
                <w:sz w:val="20"/>
                <w:szCs w:val="20"/>
              </w:rPr>
              <w:t xml:space="preserve">Lock pairs with an on-premises hub (e.g., a local Home Assistant instance) that stores access logs on-site.</w:t>
            </w:r>
          </w:p>
        </w:tc>
        <w:tc>
          <w:tcPr>
            <w:tcW w:type="dxa" w:w="2460"/>
            <w:tcMar>
              <w:top w:type="dxa" w:w="90"/>
              <w:left w:type="dxa" w:w="120"/>
              <w:bottom w:type="dxa" w:w="90"/>
              <w:right w:type="dxa" w:w="120"/>
            </w:tcMar>
          </w:tcPr>
          <w:p>
            <w:r>
              <w:rPr>
                <w:rFonts w:ascii="Calibri" w:cs="Calibri" w:eastAsia="Calibri" w:hAnsi="Calibri"/>
                <w:sz w:val="20"/>
                <w:szCs w:val="20"/>
              </w:rPr>
              <w:t xml:space="preserve">Users who want zero reliance on any external service</w:t>
            </w:r>
          </w:p>
        </w:tc>
      </w:tr>
      <w:tr>
        <w:tc>
          <w:tcPr>
            <w:tcW w:type="dxa" w:w="2400"/>
            <w:tcMar>
              <w:top w:type="dxa" w:w="90"/>
              <w:left w:type="dxa" w:w="120"/>
              <w:bottom w:type="dxa" w:w="90"/>
              <w:right w:type="dxa" w:w="120"/>
            </w:tcMar>
          </w:tcPr>
          <w:p>
            <w:r>
              <w:rPr>
                <w:rFonts w:ascii="Calibri" w:cs="Calibri" w:eastAsia="Calibri" w:hAnsi="Calibri"/>
                <w:sz w:val="20"/>
                <w:szCs w:val="20"/>
              </w:rPr>
              <w:t xml:space="preserve">Encrypted P2P via STUN</w:t>
            </w:r>
          </w:p>
        </w:tc>
        <w:tc>
          <w:tcPr>
            <w:tcW w:type="dxa" w:w="4600"/>
            <w:tcMar>
              <w:top w:type="dxa" w:w="90"/>
              <w:left w:type="dxa" w:w="120"/>
              <w:bottom w:type="dxa" w:w="90"/>
              <w:right w:type="dxa" w:w="120"/>
            </w:tcMar>
          </w:tcPr>
          <w:p>
            <w:r>
              <w:rPr>
                <w:rFonts w:ascii="Calibri" w:cs="Calibri" w:eastAsia="Calibri" w:hAnsi="Calibri"/>
                <w:sz w:val="20"/>
                <w:szCs w:val="20"/>
              </w:rPr>
              <w:t xml:space="preserve">A lightweight STUN server helps the owner's phone and the lock establish a direct encrypted tunnel for remote access; the STUN node never reads or stores the data it relays.</w:t>
            </w:r>
          </w:p>
        </w:tc>
        <w:tc>
          <w:tcPr>
            <w:tcW w:type="dxa" w:w="2460"/>
            <w:tcMar>
              <w:top w:type="dxa" w:w="90"/>
              <w:left w:type="dxa" w:w="120"/>
              <w:bottom w:type="dxa" w:w="90"/>
              <w:right w:type="dxa" w:w="120"/>
            </w:tcMar>
          </w:tcPr>
          <w:p>
            <w:r>
              <w:rPr>
                <w:rFonts w:ascii="Calibri" w:cs="Calibri" w:eastAsia="Calibri" w:hAnsi="Calibri"/>
                <w:sz w:val="20"/>
                <w:szCs w:val="20"/>
              </w:rPr>
              <w:t xml:space="preserve">Remote access without a vendor cloud database</w:t>
            </w:r>
          </w:p>
        </w:tc>
      </w:tr>
      <w:tr>
        <w:tc>
          <w:tcPr>
            <w:tcW w:type="dxa" w:w="2400"/>
            <w:tcMar>
              <w:top w:type="dxa" w:w="90"/>
              <w:left w:type="dxa" w:w="120"/>
              <w:bottom w:type="dxa" w:w="90"/>
              <w:right w:type="dxa" w:w="120"/>
            </w:tcMar>
          </w:tcPr>
          <w:p>
            <w:r>
              <w:rPr>
                <w:rFonts w:ascii="Calibri" w:cs="Calibri" w:eastAsia="Calibri" w:hAnsi="Calibri"/>
                <w:sz w:val="20"/>
                <w:szCs w:val="20"/>
              </w:rPr>
              <w:t xml:space="preserve">Private VPS</w:t>
            </w:r>
          </w:p>
        </w:tc>
        <w:tc>
          <w:tcPr>
            <w:tcW w:type="dxa" w:w="4600"/>
            <w:tcMar>
              <w:top w:type="dxa" w:w="90"/>
              <w:left w:type="dxa" w:w="120"/>
              <w:bottom w:type="dxa" w:w="90"/>
              <w:right w:type="dxa" w:w="120"/>
            </w:tcMar>
          </w:tcPr>
          <w:p>
            <w:r>
              <w:rPr>
                <w:rFonts w:ascii="Calibri" w:cs="Calibri" w:eastAsia="Calibri" w:hAnsi="Calibri"/>
                <w:sz w:val="20"/>
                <w:szCs w:val="20"/>
              </w:rPr>
              <w:t xml:space="preserve">Owner-controlled VPN tunnel to a private virtual server of their choosing.</w:t>
            </w:r>
          </w:p>
        </w:tc>
        <w:tc>
          <w:tcPr>
            <w:tcW w:type="dxa" w:w="2460"/>
            <w:tcMar>
              <w:top w:type="dxa" w:w="90"/>
              <w:left w:type="dxa" w:w="120"/>
              <w:bottom w:type="dxa" w:w="90"/>
              <w:right w:type="dxa" w:w="120"/>
            </w:tcMar>
          </w:tcPr>
          <w:p>
            <w:r>
              <w:rPr>
                <w:rFonts w:ascii="Calibri" w:cs="Calibri" w:eastAsia="Calibri" w:hAnsi="Calibri"/>
                <w:sz w:val="20"/>
                <w:szCs w:val="20"/>
              </w:rPr>
              <w:t xml:space="preserve">Users or organisations with existing private infrastructure</w:t>
            </w:r>
          </w:p>
        </w:tc>
      </w:tr>
    </w:tbl>
    <w:p>
      <w:pPr>
        <w:spacing w:after="240" w:before="60"/>
      </w:pPr>
      <w:r>
        <w:rPr>
          <w:rFonts w:ascii="Calibri" w:cs="Calibri" w:eastAsia="Calibri" w:hAnsi="Calibri"/>
          <w:i/>
          <w:iCs/>
          <w:color w:val="595959"/>
          <w:sz w:val="19"/>
          <w:szCs w:val="19"/>
        </w:rPr>
        <w:t xml:space="preserve">Table 2. Connectivity modes, in order of increasing owner control.</w:t>
      </w:r>
    </w:p>
    <w:p>
      <w:pPr>
        <w:spacing w:after="160" w:line="276"/>
      </w:pPr>
      <w:r>
        <w:rPr>
          <w:rFonts w:ascii="Calibri" w:cs="Calibri" w:eastAsia="Calibri" w:hAnsi="Calibri"/>
          <w:sz w:val="22"/>
          <w:szCs w:val="22"/>
        </w:rPr>
        <w:t xml:space="preserve">These modes are offered as consumer privacy options, consistent with how any responsible IoT vendor should treat customer data: minimise what is collected, store it close to the owner by default, and never make cloud registration a precondition of basic functionality.</w:t>
      </w:r>
    </w:p>
    <w:p>
      <w:pPr>
        <w:pStyle w:val="Heading1"/>
        <w:spacing w:after="160" w:before="360"/>
      </w:pPr>
      <w:r>
        <w:rPr>
          <w:rFonts w:ascii="Calibri" w:cs="Calibri" w:eastAsia="Calibri" w:hAnsi="Calibri"/>
          <w:b/>
          <w:bCs/>
          <w:color w:val="1F3864"/>
        </w:rPr>
        <w:t xml:space="preserve">6. On-Device Voice Assistant</w:t>
      </w:r>
    </w:p>
    <w:p>
      <w:pPr>
        <w:spacing w:after="160" w:line="276"/>
      </w:pPr>
      <w:r>
        <w:rPr>
          <w:rFonts w:ascii="Calibri" w:cs="Calibri" w:eastAsia="Calibri" w:hAnsi="Calibri"/>
          <w:sz w:val="22"/>
          <w:szCs w:val="22"/>
        </w:rPr>
        <w:t xml:space="preserve">A secondary product feature — aimed at users who find app-based interfaces cumbersome, including elderly users and anyone the target market's usability research identified as underserved by touchscreen-first design — is a lightweight, fully on-device voice interface for basic tasks (adding a temporary guest code, checking recent access history). Voice audio is processed locally using a compact on-device model; the raw audio is held in volatile memory for the duration of inference and is never written to persistent storage or transmitted off-device. This is standard on-device privacy engineering, of the kind increasingly common in mainstream consumer electronics, and is marketed as such rather than as a compliance-avoidance feature.</w:t>
      </w:r>
    </w:p>
    <w:p>
      <w:pPr>
        <w:pStyle w:val="Heading1"/>
        <w:spacing w:after="160" w:before="360"/>
      </w:pPr>
      <w:r>
        <w:rPr>
          <w:rFonts w:ascii="Calibri" w:cs="Calibri" w:eastAsia="Calibri" w:hAnsi="Calibri"/>
          <w:b/>
          <w:bCs/>
          <w:color w:val="1F3864"/>
        </w:rPr>
        <w:t xml:space="preserve">7. Ethical Manufacturing: The Sanctuary Enterprise Model</w:t>
      </w:r>
    </w:p>
    <w:p>
      <w:pPr>
        <w:spacing w:after="160" w:line="276"/>
      </w:pPr>
      <w:r>
        <w:rPr>
          <w:rFonts w:ascii="Calibri" w:cs="Calibri" w:eastAsia="Calibri" w:hAnsi="Calibri"/>
          <w:sz w:val="22"/>
          <w:szCs w:val="22"/>
        </w:rPr>
        <w:t xml:space="preserve">Final assembly and firmware provisioning are carried out through a training-and-employment partnership based inside a managed technology park in Vietnam, operating as a straightforward international B2B services arrangement: the Australian parent company contracts and pays the Vietnamese facility for engineering and assembly labour, with all payments made through standard, fully invoiced international bank transfers.</w:t>
      </w:r>
    </w:p>
    <w:p>
      <w:pPr>
        <w:spacing w:after="160" w:line="276"/>
      </w:pPr>
      <w:r>
        <w:rPr>
          <w:rFonts w:ascii="Calibri" w:cs="Calibri" w:eastAsia="Calibri" w:hAnsi="Calibri"/>
          <w:sz w:val="22"/>
          <w:szCs w:val="22"/>
        </w:rPr>
        <w:t xml:space="preserve">The facility doubles as a technical training academy. Recruitment deliberately does not filter on university credentials, instead using aptitude testing for logical reasoning and precision manual work, and draws candidates from underemployed young workers and gig-economy drivers. Trainees are taught surface-mount assembly, precision rework, and hardware debugging to an internationally benchmarked standard, and are paid competitively above the typical local factory-floor wage, with full health coverage.</w:t>
      </w:r>
    </w:p>
    <w:p>
      <w:pPr>
        <w:spacing w:after="160" w:line="276"/>
      </w:pPr>
      <w:r>
        <w:rPr>
          <w:rFonts w:ascii="Calibri" w:cs="Calibri" w:eastAsia="Calibri" w:hAnsi="Calibri"/>
          <w:sz w:val="22"/>
          <w:szCs w:val="22"/>
        </w:rPr>
        <w:t xml:space="preserve">Two design choices reflect this ethical-manufacturing commitment directly: locating assembly inside a professionally managed technology zone (which provides consistent, predictable facility standards rather than ad hoc industrial premises), and firmware provisioning that permanently disables hardware debug ports after flashing — a standard security-hardening step (comparable to practice across the consumer-electronics industry) that also means finished units carry no extractable proprietary firmware, protecting both the company's IP and, incidentally, the training academy's commercial relationships.</w:t>
      </w:r>
    </w:p>
    <w:p>
      <w:pPr>
        <w:pStyle w:val="Heading1"/>
        <w:spacing w:after="160" w:before="360"/>
      </w:pPr>
      <w:r>
        <w:rPr>
          <w:rFonts w:ascii="Calibri" w:cs="Calibri" w:eastAsia="Calibri" w:hAnsi="Calibri"/>
          <w:b/>
          <w:bCs/>
          <w:color w:val="1F3864"/>
        </w:rPr>
        <w:t xml:space="preserve">8. Go-to-Market: The Australian Consumer and Enterprise Launch</w:t>
      </w:r>
    </w:p>
    <w:p>
      <w:pPr>
        <w:pStyle w:val="Heading2"/>
        <w:spacing w:after="120" w:before="260"/>
      </w:pPr>
      <w:r>
        <w:rPr>
          <w:rFonts w:ascii="Calibri" w:cs="Calibri" w:eastAsia="Calibri" w:hAnsi="Calibri"/>
          <w:b/>
          <w:bCs/>
          <w:color w:val="1F3864"/>
          <w:sz w:val="24"/>
          <w:szCs w:val="24"/>
        </w:rPr>
        <w:t xml:space="preserve">8.1 The $59 AUD "Viral Entry" Timber Lock — Consumer Tier</w:t>
      </w:r>
    </w:p>
    <w:p>
      <w:pPr>
        <w:spacing w:after="160" w:line="276"/>
      </w:pPr>
      <w:r>
        <w:rPr>
          <w:rFonts w:ascii="Calibri" w:cs="Calibri" w:eastAsia="Calibri" w:hAnsi="Calibri"/>
          <w:sz w:val="22"/>
          <w:szCs w:val="22"/>
        </w:rPr>
        <w:t xml:space="preserve">Powered by the cost-optimised Espressif daughterboard, this configuration targets DIY homeowners, suburban households, and residential renters. At $59 AUD, the device shifts smart-lock ownership from a discretionary luxury purchase to an accessible impulse purchase. It mounts into standard timber door cutouts, requires no separate gateway because it uses Matter border routers the customer is likely to already own, and removes battery-anxiety as a purchase objection through its multi-year design life.</w:t>
      </w:r>
    </w:p>
    <w:p>
      <w:pPr>
        <w:pStyle w:val="Heading2"/>
        <w:spacing w:after="120" w:before="260"/>
      </w:pPr>
      <w:r>
        <w:rPr>
          <w:rFonts w:ascii="Calibri" w:cs="Calibri" w:eastAsia="Calibri" w:hAnsi="Calibri"/>
          <w:b/>
          <w:bCs/>
          <w:color w:val="1F3864"/>
          <w:sz w:val="24"/>
          <w:szCs w:val="24"/>
        </w:rPr>
        <w:t xml:space="preserve">8.2 The $299–$450 AUD "Premium Enterprise" Glass-Slide Lock — Strata &amp; Government Tier</w:t>
      </w:r>
    </w:p>
    <w:p>
      <w:pPr>
        <w:spacing w:after="160" w:line="276"/>
      </w:pPr>
      <w:r>
        <w:rPr>
          <w:rFonts w:ascii="Calibri" w:cs="Calibri" w:eastAsia="Calibri" w:hAnsi="Calibri"/>
          <w:sz w:val="22"/>
          <w:szCs w:val="22"/>
        </w:rPr>
        <w:t xml:space="preserve">The upper tier targets body corporates, strata management firms, commercial property managers, and government procurement. Purchasing at this tier is driven by audit criteria rather than price: this configuration is populated with the Silicon Labs SiWx917 daughterboard, whose PSA-certified secure element and non-Chinese silicon origin let sales material answer procurement security questionnaires directly, shortening review cycles that would otherwise stall. The housing is a glass-and-brushed-metal slide mechanism positioned alongside existing premium Australian smart-lock brands.</w:t>
      </w:r>
    </w:p>
    <w:p>
      <w:pPr>
        <w:pStyle w:val="Heading2"/>
        <w:spacing w:after="120" w:before="260"/>
      </w:pPr>
      <w:r>
        <w:rPr>
          <w:rFonts w:ascii="Calibri" w:cs="Calibri" w:eastAsia="Calibri" w:hAnsi="Calibri"/>
          <w:b/>
          <w:bCs/>
          <w:color w:val="1F3864"/>
          <w:sz w:val="24"/>
          <w:szCs w:val="24"/>
        </w:rPr>
        <w:t xml:space="preserve">8.3 Channel Strategy</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860"/>
      </w:tblGrid>
      <w:tr>
        <w:trPr>
          <w:tblHeader/>
        </w:trPr>
        <w:tc>
          <w:tcPr>
            <w:tcW w:type="dxa" w:w="24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Tier</w:t>
            </w:r>
          </w:p>
        </w:tc>
        <w:tc>
          <w:tcPr>
            <w:tcW w:type="dxa" w:w="420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Primary Channel</w:t>
            </w:r>
          </w:p>
        </w:tc>
        <w:tc>
          <w:tcPr>
            <w:tcW w:type="dxa" w:w="2860"/>
            <w:shd w:fill="1F3864" w:val="clear"/>
            <w:tcMar>
              <w:top w:type="dxa" w:w="100"/>
              <w:left w:type="dxa" w:w="120"/>
              <w:bottom w:type="dxa" w:w="100"/>
              <w:right w:type="dxa" w:w="120"/>
            </w:tcMar>
          </w:tcPr>
          <w:p>
            <w:r>
              <w:rPr>
                <w:rFonts w:ascii="Calibri" w:cs="Calibri" w:eastAsia="Calibri" w:hAnsi="Calibri"/>
                <w:b/>
                <w:bCs/>
                <w:color w:val="FFFFFF"/>
                <w:sz w:val="20"/>
                <w:szCs w:val="20"/>
              </w:rPr>
              <w:t xml:space="preserve">Sales Motion</w:t>
            </w:r>
          </w:p>
        </w:tc>
      </w:tr>
      <w:tr>
        <w:tc>
          <w:tcPr>
            <w:tcW w:type="dxa" w:w="2400"/>
            <w:tcMar>
              <w:top w:type="dxa" w:w="90"/>
              <w:left w:type="dxa" w:w="120"/>
              <w:bottom w:type="dxa" w:w="90"/>
              <w:right w:type="dxa" w:w="120"/>
            </w:tcMar>
          </w:tcPr>
          <w:p>
            <w:r>
              <w:rPr>
                <w:rFonts w:ascii="Calibri" w:cs="Calibri" w:eastAsia="Calibri" w:hAnsi="Calibri"/>
                <w:sz w:val="20"/>
                <w:szCs w:val="20"/>
              </w:rPr>
              <w:t xml:space="preserve">$59 Viral Entry</w:t>
            </w:r>
          </w:p>
        </w:tc>
        <w:tc>
          <w:tcPr>
            <w:tcW w:type="dxa" w:w="4200"/>
            <w:tcMar>
              <w:top w:type="dxa" w:w="90"/>
              <w:left w:type="dxa" w:w="120"/>
              <w:bottom w:type="dxa" w:w="90"/>
              <w:right w:type="dxa" w:w="120"/>
            </w:tcMar>
          </w:tcPr>
          <w:p>
            <w:r>
              <w:rPr>
                <w:rFonts w:ascii="Calibri" w:cs="Calibri" w:eastAsia="Calibri" w:hAnsi="Calibri"/>
                <w:sz w:val="20"/>
                <w:szCs w:val="20"/>
              </w:rPr>
              <w:t xml:space="preserve">Direct-to-consumer e-commerce, DIY hardware retail, Amazon AU</w:t>
            </w:r>
          </w:p>
        </w:tc>
        <w:tc>
          <w:tcPr>
            <w:tcW w:type="dxa" w:w="2860"/>
            <w:tcMar>
              <w:top w:type="dxa" w:w="90"/>
              <w:left w:type="dxa" w:w="120"/>
              <w:bottom w:type="dxa" w:w="90"/>
              <w:right w:type="dxa" w:w="120"/>
            </w:tcMar>
          </w:tcPr>
          <w:p>
            <w:r>
              <w:rPr>
                <w:rFonts w:ascii="Calibri" w:cs="Calibri" w:eastAsia="Calibri" w:hAnsi="Calibri"/>
                <w:sz w:val="20"/>
                <w:szCs w:val="20"/>
              </w:rPr>
              <w:t xml:space="preserve">Self-serve; driven by price and the "no hub required" claim</w:t>
            </w:r>
          </w:p>
        </w:tc>
      </w:tr>
      <w:tr>
        <w:tc>
          <w:tcPr>
            <w:tcW w:type="dxa" w:w="2400"/>
            <w:tcMar>
              <w:top w:type="dxa" w:w="90"/>
              <w:left w:type="dxa" w:w="120"/>
              <w:bottom w:type="dxa" w:w="90"/>
              <w:right w:type="dxa" w:w="120"/>
            </w:tcMar>
          </w:tcPr>
          <w:p>
            <w:r>
              <w:rPr>
                <w:rFonts w:ascii="Calibri" w:cs="Calibri" w:eastAsia="Calibri" w:hAnsi="Calibri"/>
                <w:sz w:val="20"/>
                <w:szCs w:val="20"/>
              </w:rPr>
              <w:t xml:space="preserve">$299–$450 Enterprise</w:t>
            </w:r>
          </w:p>
        </w:tc>
        <w:tc>
          <w:tcPr>
            <w:tcW w:type="dxa" w:w="4200"/>
            <w:tcMar>
              <w:top w:type="dxa" w:w="90"/>
              <w:left w:type="dxa" w:w="120"/>
              <w:bottom w:type="dxa" w:w="90"/>
              <w:right w:type="dxa" w:w="120"/>
            </w:tcMar>
          </w:tcPr>
          <w:p>
            <w:r>
              <w:rPr>
                <w:rFonts w:ascii="Calibri" w:cs="Calibri" w:eastAsia="Calibri" w:hAnsi="Calibri"/>
                <w:sz w:val="20"/>
                <w:szCs w:val="20"/>
              </w:rPr>
              <w:t xml:space="preserve">Direct B2B outreach to strata firms and government facilities panels; security-integrator partnerships</w:t>
            </w:r>
          </w:p>
        </w:tc>
        <w:tc>
          <w:tcPr>
            <w:tcW w:type="dxa" w:w="2860"/>
            <w:tcMar>
              <w:top w:type="dxa" w:w="90"/>
              <w:left w:type="dxa" w:w="120"/>
              <w:bottom w:type="dxa" w:w="90"/>
              <w:right w:type="dxa" w:w="120"/>
            </w:tcMar>
          </w:tcPr>
          <w:p>
            <w:r>
              <w:rPr>
                <w:rFonts w:ascii="Calibri" w:cs="Calibri" w:eastAsia="Calibri" w:hAnsi="Calibri"/>
                <w:sz w:val="20"/>
                <w:szCs w:val="20"/>
              </w:rPr>
              <w:t xml:space="preserve">Consultative; driven by compliance documentation and pilot deployments</w:t>
            </w:r>
          </w:p>
        </w:tc>
      </w:tr>
    </w:tbl>
    <w:p>
      <w:pPr>
        <w:spacing w:after="240" w:before="60"/>
      </w:pPr>
      <w:r>
        <w:rPr>
          <w:rFonts w:ascii="Calibri" w:cs="Calibri" w:eastAsia="Calibri" w:hAnsi="Calibri"/>
          <w:i/>
          <w:iCs/>
          <w:color w:val="595959"/>
          <w:sz w:val="19"/>
          <w:szCs w:val="19"/>
        </w:rPr>
        <w:t xml:space="preserve">Table 3. Channel strategy by pricing tier.</w:t>
      </w:r>
    </w:p>
    <w:p>
      <w:pPr>
        <w:spacing w:after="160" w:line="276"/>
      </w:pPr>
      <w:r>
        <w:rPr>
          <w:rFonts w:ascii="Calibri" w:cs="Calibri" w:eastAsia="Calibri" w:hAnsi="Calibri"/>
          <w:sz w:val="22"/>
          <w:szCs w:val="22"/>
        </w:rPr>
        <w:t xml:space="preserve">The consumer tier functions as the volume and cash-flow engine, priced to convert without a sales conversation. The enterprise tier functions as the margin and credibility engine: a single strata portfolio contract can generate more revenue per sales-hour than the entire consumer funnel, and public-sector reference deployments materially de-risk subsequent tenders.</w:t>
      </w:r>
    </w:p>
    <w:p>
      <w:pPr>
        <w:pStyle w:val="Heading2"/>
        <w:spacing w:after="120" w:before="260"/>
      </w:pPr>
      <w:r>
        <w:rPr>
          <w:rFonts w:ascii="Calibri" w:cs="Calibri" w:eastAsia="Calibri" w:hAnsi="Calibri"/>
          <w:b/>
          <w:bCs/>
          <w:color w:val="1F3864"/>
          <w:sz w:val="24"/>
          <w:szCs w:val="24"/>
        </w:rPr>
        <w:t xml:space="preserve">8.4 The Core Disruptive Claim</w:t>
      </w:r>
    </w:p>
    <w:p>
      <w:pPr>
        <w:pStyle w:val="ListParagraph"/>
        <w:numPr>
          <w:ilvl w:val="0"/>
          <w:numId w:val="2"/>
        </w:numPr>
        <w:spacing w:after="100"/>
      </w:pPr>
      <w:r>
        <w:rPr>
          <w:rFonts w:ascii="Calibri" w:cs="Calibri" w:eastAsia="Calibri" w:hAnsi="Calibri"/>
          <w:sz w:val="22"/>
          <w:szCs w:val="22"/>
        </w:rPr>
        <w:t xml:space="preserve">No proprietary hub tax — native Matter-over-Thread support means the effective landed cost is the sticker price, not the sticker price plus a mandatory $80–150 AUD bridge accessory.</w:t>
      </w:r>
    </w:p>
    <w:p>
      <w:pPr>
        <w:pStyle w:val="ListParagraph"/>
        <w:numPr>
          <w:ilvl w:val="0"/>
          <w:numId w:val="2"/>
        </w:numPr>
        <w:spacing w:after="100"/>
      </w:pPr>
      <w:r>
        <w:rPr>
          <w:rFonts w:ascii="Calibri" w:cs="Calibri" w:eastAsia="Calibri" w:hAnsi="Calibri"/>
          <w:sz w:val="22"/>
          <w:szCs w:val="22"/>
        </w:rPr>
        <w:t xml:space="preserve">Multi-year, not multi-month, battery life — the 7μA deep-sleep architecture plus solar trickle charging directly targets the most common one-star review complaint on incumbent products: battery anxiety and unexpected lockouts.</w:t>
      </w:r>
    </w:p>
    <w:p>
      <w:pPr>
        <w:pStyle w:val="ListParagraph"/>
        <w:numPr>
          <w:ilvl w:val="0"/>
          <w:numId w:val="2"/>
        </w:numPr>
        <w:spacing w:after="100"/>
      </w:pPr>
      <w:r>
        <w:rPr>
          <w:rFonts w:ascii="Calibri" w:cs="Calibri" w:eastAsia="Calibri" w:hAnsi="Calibri"/>
          <w:sz w:val="22"/>
          <w:szCs w:val="22"/>
        </w:rPr>
        <w:t xml:space="preserve">No mandatory cloud account — core functionality does not require creating a third-party cloud account, a genuine and honestly-marketable differentiator in a market increasingly attentive to smart-home data practices.</w:t>
      </w:r>
    </w:p>
    <w:p>
      <w:pPr>
        <w:pStyle w:val="Heading2"/>
        <w:spacing w:after="120" w:before="260"/>
      </w:pPr>
      <w:r>
        <w:rPr>
          <w:rFonts w:ascii="Calibri" w:cs="Calibri" w:eastAsia="Calibri" w:hAnsi="Calibri"/>
          <w:b/>
          <w:bCs/>
          <w:color w:val="1F3864"/>
          <w:sz w:val="24"/>
          <w:szCs w:val="24"/>
        </w:rPr>
        <w:t xml:space="preserve">8.5 Initial Deployment Economics</w:t>
      </w:r>
    </w:p>
    <w:p>
      <w:pPr>
        <w:spacing w:after="160" w:line="276"/>
      </w:pPr>
      <w:r>
        <w:rPr>
          <w:rFonts w:ascii="Calibri" w:cs="Calibri" w:eastAsia="Calibri" w:hAnsi="Calibri"/>
          <w:sz w:val="22"/>
          <w:szCs w:val="22"/>
        </w:rPr>
        <w:t xml:space="preserve">A 1,000-unit initial production run, split roughly 800 consumer-tier to 200 enterprise-tier, validates both channels before committing to larger volumes. Consumer-tier revenue funds iterative hardware refinement; enterprise-tier revenue funds the credibility assets — case studies, security audit documentation, integrator relationships — needed to scale the higher-margin channel in year two.</w:t>
      </w:r>
    </w:p>
    <w:p>
      <w:pPr>
        <w:pStyle w:val="Heading1"/>
        <w:spacing w:after="160" w:before="360"/>
      </w:pPr>
      <w:r>
        <w:rPr>
          <w:rFonts w:ascii="Calibri" w:cs="Calibri" w:eastAsia="Calibri" w:hAnsi="Calibri"/>
          <w:b/>
          <w:bCs/>
          <w:color w:val="1F3864"/>
        </w:rPr>
        <w:t xml:space="preserve">9. Conclusion</w:t>
      </w:r>
    </w:p>
    <w:p>
      <w:pPr>
        <w:spacing w:after="160" w:line="276"/>
      </w:pPr>
      <w:r>
        <w:rPr>
          <w:rFonts w:ascii="Calibri" w:cs="Calibri" w:eastAsia="Calibri" w:hAnsi="Calibri"/>
          <w:sz w:val="22"/>
          <w:szCs w:val="22"/>
        </w:rPr>
        <w:t xml:space="preserve">Sovereign Edge is, at its core, a straightforward proposition: smart-lock hardware that respects a customer's battery life, wallet, and data by default, manufactured through a labour model that pays and trains workers well above the regional norm. The modular daughterboard architecture lets one physical product serve both a price-sensitive consumer market and a compliance-sensitive enterprise market without maintaining two separate hardware lines. Commercial revenue from the Australian launch is intended, in part, to sustain the ongoing training academy in Vietnam — making ethical manufacturing not a marketing claim layered on afterward, but the funding mechanism the business model is actually built around.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2026-07-13T07:21:23.626Z</dcterms:created>
  <dcterms:modified xsi:type="dcterms:W3CDTF">2026-07-13T07:21:23.640Z</dcterms:modified>
</cp:coreProperties>
</file>

<file path=docProps/custom.xml><?xml version="1.0" encoding="utf-8"?>
<Properties xmlns="http://schemas.openxmlformats.org/officeDocument/2006/custom-properties" xmlns:vt="http://schemas.openxmlformats.org/officeDocument/2006/docPropsVTypes"/>
</file>