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Designing Against Hold-Up: A Two-Axis Sovereignty Framework for Open-Source Business Models in Connected Hardware</w:t>
      </w:r>
    </w:p>
    <w:p>
      <w:pPr>
        <w:spacing w:after="240"/>
        <w:jc w:val="center"/>
      </w:pPr>
      <w:r>
        <w:rPr>
          <w:rFonts w:ascii="Calibri" w:cs="Calibri" w:eastAsia="Calibri" w:hAnsi="Calibri"/>
          <w:b/>
          <w:bCs/>
          <w:i/>
          <w:iCs/>
          <w:sz w:val="24"/>
          <w:szCs w:val="24"/>
        </w:rPr>
        <w:t xml:space="preserve">An Embedded Case Study of a Smart-Lock Venture — Version 4.4</w:t>
      </w:r>
    </w:p>
    <w:p>
      <w:pPr>
        <w:spacing w:after="40"/>
        <w:jc w:val="center"/>
      </w:pPr>
      <w:r>
        <w:rPr>
          <w:rFonts w:ascii="Calibri" w:cs="Calibri" w:eastAsia="Calibri" w:hAnsi="Calibri"/>
          <w:sz w:val="22"/>
          <w:szCs w:val="22"/>
        </w:rPr>
        <w:t xml:space="preserve">Truong Viet Phan (Vince Phan)</w:t>
      </w:r>
    </w:p>
    <w:p>
      <w:pPr>
        <w:spacing w:after="200"/>
        <w:jc w:val="center"/>
      </w:pPr>
      <w:r>
        <w:rPr>
          <w:rFonts w:ascii="Calibri" w:cs="Calibri" w:eastAsia="Calibri" w:hAnsi="Calibri"/>
          <w:i/>
          <w:iCs/>
          <w:sz w:val="20"/>
          <w:szCs w:val="20"/>
        </w:rPr>
        <w:t xml:space="preserve">eBizco Australia Pty Ltd — University of Canberra — August 2026</w:t>
      </w:r>
    </w:p>
    <w:p>
      <w:pPr>
        <w:spacing w:after="320"/>
        <w:jc w:val="center"/>
      </w:pPr>
      <w:r>
        <w:rPr>
          <w:rFonts w:ascii="Calibri" w:cs="Calibri" w:eastAsia="Calibri" w:hAnsi="Calibri"/>
          <w:i/>
          <w:iCs/>
          <w:sz w:val="19"/>
          <w:szCs w:val="19"/>
        </w:rPr>
        <w:t xml:space="preserve">Version 4.4 — With Architecture Figures, Implementation-Status Appendix, Refined CRA Alignment (Annex III Classification), License Architecture, and Design-Science Framing of Pre-Market Status</w:t>
      </w:r>
    </w:p>
    <w:p>
      <w:pPr>
        <w:pStyle w:val="Heading2"/>
        <w:spacing w:after="120" w:before="240"/>
      </w:pPr>
      <w:r>
        <w:rPr>
          <w:rFonts w:ascii="Calibri" w:cs="Calibri" w:eastAsia="Calibri" w:hAnsi="Calibri"/>
          <w:b/>
          <w:bCs/>
          <w:sz w:val="24"/>
          <w:szCs w:val="24"/>
        </w:rPr>
        <w:t xml:space="preserve">Abstract</w:t>
      </w:r>
    </w:p>
    <w:p>
      <w:pPr>
        <w:spacing w:after="160" w:line="276"/>
        <w:jc w:val="both"/>
      </w:pPr>
      <w:r>
        <w:rPr>
          <w:rFonts w:ascii="Calibri" w:cs="Calibri" w:eastAsia="Calibri" w:hAnsi="Calibri"/>
          <w:b w:val="false"/>
          <w:bCs w:val="false"/>
          <w:i w:val="false"/>
          <w:iCs w:val="false"/>
          <w:sz w:val="21"/>
          <w:szCs w:val="21"/>
        </w:rPr>
        <w:t xml:space="preserve">Connected hardware products routinely place owners in a position transaction cost economics calls hold-up: once a consumer has made a relationship-specific investment — installing a lock, wiring a hub — the vendor who controls the supporting cloud can unilaterally alter terms, degrade functionality, or withdraw support altogether. This paper develops a two-axis framework — runtime sovereignty (control over data and functionality while a device operates) and admission sovereignty (control over which manufacturers may build for a given ecosystem) — to explain why the two dominant governance models each solve one axis by sacrificing the other, and proposes that combining open software with a services-based revenue model offers a structural, rather than contractual, defence. The framework is evaluated through an embedded single-case study of a smart-lock venture in late-stage development, where several mechanisms central to runtime-sovereignty claims — specifically the cryptographic key-exchange ceremony and removal of a current plaintext credential fallback — remain design specifications rather than shipped code at the time of writing. Version 4.2 added (i) Figure 1: two-axis positioning, (ii) Figure 2: runtime architecture showing E2E payload, root-key non-custodial design, and current-vs-target state, (iii) Appendix A: component-level implementation-status register, (iv) EU Cyber Resilience Act alignment analysis, and (v) an explicit license architecture (MIT for protocol/SDK, GPLv3 for server/bridge/app, CERN-OHL-S for hardware) analyzed as varying-strength Williamson hostages. Version 4.3 refines the Cyber Resilience Act analysis in Section 7.1 following independent review: it corrects the product-classification claim against Annex III of Regulation (EU) 2024/2847, sharpens the mapping between the zero-knowledge broker and the Regulation's data-minimisation and attack-surface requirements, and states explicitly why the self-hosted broker option is the mechanism that satisfies the continuity requirement rather than an incidental convenience feature. Version 4.4 updates the framework by employing a Design Science methodological framing to justify the pre-market status, and refines the generalisability boundary conditions using medical and mining sectors as examples of extreme closed-admission ecosystems.</w:t>
      </w:r>
    </w:p>
    <w:p>
      <w:pPr>
        <w:spacing w:after="160" w:line="276"/>
        <w:jc w:val="both"/>
      </w:pPr>
      <w:r>
        <w:rPr>
          <w:rFonts w:ascii="Calibri" w:cs="Calibri" w:eastAsia="Calibri" w:hAnsi="Calibri"/>
          <w:b w:val="false"/>
          <w:bCs w:val="false"/>
          <w:i/>
          <w:iCs/>
          <w:sz w:val="21"/>
          <w:szCs w:val="21"/>
        </w:rPr>
        <w:t xml:space="preserve">Keywords: hold-up problem; transaction cost economics; platform governance; open-source business models; Internet of Things; EU Cyber Resilience Act; credible commitments</w:t>
      </w:r>
    </w:p>
    <w:p>
      <w:pPr>
        <w:pStyle w:val="Heading2"/>
        <w:spacing w:after="120" w:before="240"/>
      </w:pPr>
      <w:r>
        <w:rPr>
          <w:rFonts w:ascii="Calibri" w:cs="Calibri" w:eastAsia="Calibri" w:hAnsi="Calibri"/>
          <w:b/>
          <w:bCs/>
          <w:sz w:val="24"/>
          <w:szCs w:val="24"/>
        </w:rPr>
        <w:t xml:space="preserve">Version History</w:t>
      </w:r>
    </w:p>
    <w:p>
      <w:pPr>
        <w:spacing w:after="160" w:line="276"/>
        <w:jc w:val="both"/>
      </w:pPr>
      <w:r>
        <w:rPr>
          <w:rFonts w:ascii="Calibri" w:cs="Calibri" w:eastAsia="Calibri" w:hAnsi="Calibri"/>
          <w:b w:val="false"/>
          <w:bCs w:val="false"/>
          <w:i w:val="false"/>
          <w:iCs w:val="false"/>
          <w:sz w:val="21"/>
          <w:szCs w:val="21"/>
        </w:rPr>
        <w:t xml:space="preserve">This section is included for transparency and reviewer traceability. It records what changed at each revision and why, so any revision can be checked against the prior version rather than taken on faith.</w:t>
      </w:r>
    </w:p>
    <w:p>
      <w:pPr>
        <w:spacing w:after="160" w:line="276"/>
        <w:jc w:val="both"/>
      </w:pPr>
      <w:r>
        <w:rPr>
          <w:rFonts w:ascii="Calibri" w:cs="Calibri" w:eastAsia="Calibri" w:hAnsi="Calibri"/>
          <w:b/>
          <w:bCs/>
          <w:sz w:val="21"/>
          <w:szCs w:val="21"/>
        </w:rPr>
        <w:t xml:space="preserve">v4.3 (Refined CRA Alignment):</w:t>
      </w:r>
    </w:p>
    <w:p>
      <w:pPr>
        <w:pStyle w:val="ListParagraph"/>
        <w:numPr>
          <w:ilvl w:val="0"/>
          <w:numId w:val="1"/>
        </w:numPr>
        <w:spacing w:after="100" w:line="264"/>
      </w:pPr>
      <w:r>
        <w:rPr>
          <w:rFonts w:ascii="Calibri" w:cs="Calibri" w:eastAsia="Calibri" w:hAnsi="Calibri"/>
          <w:sz w:val="21"/>
          <w:szCs w:val="21"/>
        </w:rPr>
        <w:t xml:space="preserve">Section 7.1(1) — Data minimisation: the claim is now tied explicitly to the Regulation's attack-surface-reduction language rather than framed only as a transparency/privacy point. The zero-knowledge broker is reframed as removing an aggregation point, not merely as a policy improvement over vendors who promise not to look.</w:t>
      </w:r>
    </w:p>
    <w:p>
      <w:pPr>
        <w:pStyle w:val="ListParagraph"/>
        <w:numPr>
          <w:ilvl w:val="0"/>
          <w:numId w:val="1"/>
        </w:numPr>
        <w:spacing w:after="100" w:line="264"/>
      </w:pPr>
      <w:r>
        <w:rPr>
          <w:rFonts w:ascii="Calibri" w:cs="Calibri" w:eastAsia="Calibri" w:hAnsi="Calibri"/>
          <w:sz w:val="21"/>
          <w:szCs w:val="21"/>
        </w:rPr>
        <w:t xml:space="preserve">Section 7.1(2) — Continuity: the self-hosted broker option and offline local verification are now named directly as the mechanisms that satisfy the continuity requirement, rather than left as a general architectural description the reader had to connect to the regulatory claim themselves.</w:t>
      </w:r>
    </w:p>
    <w:p>
      <w:pPr>
        <w:pStyle w:val="ListParagraph"/>
        <w:numPr>
          <w:ilvl w:val="0"/>
          <w:numId w:val="1"/>
        </w:numPr>
        <w:spacing w:after="100" w:line="264"/>
      </w:pPr>
      <w:r>
        <w:rPr>
          <w:rFonts w:ascii="Calibri" w:cs="Calibri" w:eastAsia="Calibri" w:hAnsi="Calibri"/>
          <w:sz w:val="21"/>
          <w:szCs w:val="21"/>
        </w:rPr>
        <w:t xml:space="preserve">Section 7.1(3) — Admission barrier: corrected. Verification against the published Annex III text and current legal commentary places smart door locks in Class I of the Regulation's “important products” tier, not Class II. This matters because Class II carries a mandatory third-party conformity-assessment route regardless of licensing model, whereas Class I permits self-assessment where harmonised standards are fully applied. The paper's claim is revised accordingly: open licensing reduces the cost of reaching whichever conformity route applies to this product; it does not exempt the product from the CRA's conformity-assessment gate, and the two should not be conflated. This is a narrower and more defensible claim than the one in v4.2.</w:t>
      </w:r>
    </w:p>
    <w:p>
      <w:pPr>
        <w:pStyle w:val="ListParagraph"/>
        <w:numPr>
          <w:ilvl w:val="0"/>
          <w:numId w:val="1"/>
        </w:numPr>
        <w:spacing w:after="100" w:line="264"/>
      </w:pPr>
      <w:r>
        <w:rPr>
          <w:rFonts w:ascii="Calibri" w:cs="Calibri" w:eastAsia="Calibri" w:hAnsi="Calibri"/>
          <w:sz w:val="21"/>
          <w:szCs w:val="21"/>
        </w:rPr>
        <w:t xml:space="preserve">Two references added (European Commission CRA summary; Pillsbury Winthrop Shaw Pittman LLP client alert) supporting the corrected classification claim.</w:t>
      </w:r>
    </w:p>
    <w:p>
      <w:pPr>
        <w:pStyle w:val="ListParagraph"/>
        <w:numPr>
          <w:ilvl w:val="0"/>
          <w:numId w:val="1"/>
        </w:numPr>
        <w:spacing w:after="100" w:line="264"/>
      </w:pPr>
      <w:r>
        <w:rPr>
          <w:rFonts w:ascii="Calibri" w:cs="Calibri" w:eastAsia="Calibri" w:hAnsi="Calibri"/>
          <w:sz w:val="21"/>
          <w:szCs w:val="21"/>
        </w:rPr>
        <w:t xml:space="preserve">No changes were made to Sections 1–6, 8, 9, or Appendix A in v4.3; those sections' claims were not in scope of the reviewer comments that revision addressed.</w:t>
      </w:r>
    </w:p>
    <w:p>
      <w:pPr>
        <w:spacing w:after="160" w:line="276"/>
        <w:jc w:val="both"/>
      </w:pPr>
      <w:r>
        <w:rPr>
          <w:rFonts w:ascii="Calibri" w:cs="Calibri" w:eastAsia="Calibri" w:hAnsi="Calibri"/>
          <w:b/>
          <w:bCs/>
          <w:sz w:val="21"/>
          <w:szCs w:val="21"/>
        </w:rPr>
        <w:t xml:space="preserve">v4.4 (Design Science Framing and Boundary Conditions) — this revision:</w:t>
      </w:r>
    </w:p>
    <w:p>
      <w:pPr>
        <w:pStyle w:val="ListParagraph"/>
        <w:numPr>
          <w:ilvl w:val="0"/>
          <w:numId w:val="1"/>
        </w:numPr>
        <w:spacing w:after="100" w:line="264"/>
      </w:pPr>
      <w:r>
        <w:rPr>
          <w:rFonts w:ascii="Calibri" w:cs="Calibri" w:eastAsia="Calibri" w:hAnsi="Calibri"/>
          <w:sz w:val="21"/>
          <w:szCs w:val="21"/>
        </w:rPr>
        <w:t xml:space="preserve">Section 8 (Limitations and Future Research) — reframed. The venture's pre-market status and the burden of building a full hardware/firmware/server/app/community stack from scratch, rather than licensing an existing one, is now explicitly argued as a methodological strength under a Design Science research paradigm, not only disclosed as a limitation. The argument: because the venture is a forerunner rather than an established incumbent, the case captures architectural design choices contemporaneously, avoiding the survival bias that affects most platform-governance research, which necessarily observes companies that have already survived market entry and adjusted accordingly. The original disclosures about positionality, unresolved design questions (key recovery; admission-side comparative evidence), and the limits of a single pre-launch case are retained unchanged beneath this reframing.</w:t>
      </w:r>
    </w:p>
    <w:p>
      <w:pPr>
        <w:pStyle w:val="ListParagraph"/>
        <w:numPr>
          <w:ilvl w:val="0"/>
          <w:numId w:val="1"/>
        </w:numPr>
        <w:spacing w:after="100" w:line="264"/>
      </w:pPr>
      <w:r>
        <w:rPr>
          <w:rFonts w:ascii="Calibri" w:cs="Calibri" w:eastAsia="Calibri" w:hAnsi="Calibri"/>
          <w:sz w:val="21"/>
          <w:szCs w:val="21"/>
        </w:rPr>
        <w:t xml:space="preserve">Section 7 (Generalisability) — rewritten. Mining and medical devices are added as comparative evidence of extreme closed-admission ecosystems, where incumbent suppliers gate market share through closed-loop procurement (group-purchasing arrangements, accreditation tied to incumbent track record) and conservative safety regulation functions as an artificial barrier to entry rather than merely a safety measure. The smart-lock case is repositioned against this comparison as a deliberate “Goldilocks” case: high-stakes enough for a structural commitment device to have monetisable value, but not so captured by procurement politics that the open-open quadrant is foreclosed before the architecture can be evaluated on its merits. The framework's near-term generalisation candidates are narrowed accordingly.</w:t>
      </w:r>
    </w:p>
    <w:p>
      <w:pPr>
        <w:pStyle w:val="ListParagraph"/>
        <w:numPr>
          <w:ilvl w:val="0"/>
          <w:numId w:val="1"/>
        </w:numPr>
        <w:spacing w:after="100" w:line="264"/>
      </w:pPr>
      <w:r>
        <w:rPr>
          <w:rFonts w:ascii="Calibri" w:cs="Calibri" w:eastAsia="Calibri" w:hAnsi="Calibri"/>
          <w:sz w:val="21"/>
          <w:szCs w:val="21"/>
        </w:rPr>
        <w:t xml:space="preserve">One reference added (Hevner, March, Park, &amp; Ram, 2004) grounding the Design Science framing introduced in Section 8.</w:t>
      </w:r>
    </w:p>
    <w:p>
      <w:pPr>
        <w:pStyle w:val="ListParagraph"/>
        <w:numPr>
          <w:ilvl w:val="0"/>
          <w:numId w:val="1"/>
        </w:numPr>
        <w:spacing w:after="100" w:line="264"/>
      </w:pPr>
      <w:r>
        <w:rPr>
          <w:rFonts w:ascii="Calibri" w:cs="Calibri" w:eastAsia="Calibri" w:hAnsi="Calibri"/>
          <w:sz w:val="21"/>
          <w:szCs w:val="21"/>
        </w:rPr>
        <w:t xml:space="preserve">No changes were made to Sections 1–6, 7.1, 9, References (beyond the one addition noted above), or Appendix A in v4.4.</w:t>
      </w:r>
    </w:p>
    <w:p>
      <w:pPr>
        <w:pStyle w:val="Heading1"/>
        <w:spacing w:after="160" w:before="320"/>
      </w:pPr>
      <w:r>
        <w:rPr>
          <w:rFonts w:ascii="Calibri" w:cs="Calibri" w:eastAsia="Calibri" w:hAnsi="Calibri"/>
          <w:b/>
          <w:bCs/>
          <w:sz w:val="28"/>
          <w:szCs w:val="28"/>
        </w:rPr>
        <w:t xml:space="preserve">1. Introduction</w:t>
      </w:r>
    </w:p>
    <w:p>
      <w:pPr>
        <w:spacing w:after="160" w:line="276"/>
        <w:jc w:val="both"/>
      </w:pPr>
      <w:r>
        <w:rPr>
          <w:rFonts w:ascii="Calibri" w:cs="Calibri" w:eastAsia="Calibri" w:hAnsi="Calibri"/>
          <w:b w:val="false"/>
          <w:bCs w:val="false"/>
          <w:i w:val="false"/>
          <w:iCs w:val="false"/>
          <w:sz w:val="21"/>
          <w:szCs w:val="21"/>
        </w:rPr>
        <w:t xml:space="preserve">Consumer hardware increasingly functions as a subscription relationship wearing the appearance of a one-time purchase. A smart lock or hub depends on an ongoing, vendor-controlled cloud relationship that can be altered unilaterally after sale — the textbook conditions for what transaction cost economics calls the hold-up problem (Klein et al., 1978; Williamson, 1979): once a customer's investment in installation and habituation is sunk, the vendor holding the complementary asset can appropriate value from it. This is documented, not hypothetical; Section 6.4 examines three cases in detail.</w:t>
      </w:r>
    </w:p>
    <w:p>
      <w:pPr>
        <w:spacing w:after="160" w:line="276"/>
        <w:jc w:val="both"/>
      </w:pPr>
      <w:r>
        <w:rPr>
          <w:rFonts w:ascii="Calibri" w:cs="Calibri" w:eastAsia="Calibri" w:hAnsi="Calibri"/>
          <w:b w:val="false"/>
          <w:bCs w:val="false"/>
          <w:i w:val="false"/>
          <w:iCs w:val="false"/>
          <w:sz w:val="21"/>
          <w:szCs w:val="21"/>
        </w:rPr>
        <w:t xml:space="preserve">The smart-home industry's two dominant governance responses each solve half the problem. White-label ecosystems built on suppliers such as Tuya impose no barrier to market entry but route device traffic through vendor-controlled cloud infrastructure the customer cannot inspect: open admission, closed runtime. Matter, the interoperability standard backed by Apple, Google, Amazon, and the Connectivity Standards Alliance (CSA) they govern, takes the opposite position. It is a genuine engineering achievement: devices are commissioned and controlled locally, with no mandatory cloud round-trip. But market entry is gated behind CSA membership and certification fees priced in the low five figures annually per manufacturer (CSA, n.d.), governed by the same handful of incumbent firms whose own products the standard exists partly to interconnect. Matter does not remove the gatekeeper; it relocates the gatekeeper from the runtime layer to the market-entry layer.</w:t>
      </w:r>
    </w:p>
    <w:p>
      <w:pPr>
        <w:spacing w:after="160" w:line="276"/>
        <w:jc w:val="both"/>
      </w:pPr>
      <w:r>
        <w:rPr>
          <w:rFonts w:ascii="Calibri" w:cs="Calibri" w:eastAsia="Calibri" w:hAnsi="Calibri"/>
          <w:b w:val="false"/>
          <w:bCs w:val="false"/>
          <w:i w:val="false"/>
          <w:iCs w:val="false"/>
          <w:sz w:val="21"/>
          <w:szCs w:val="21"/>
        </w:rPr>
        <w:t xml:space="preserve">This paper develops a two-axis framework — runtime sovereignty and admission sovereignty — and asks whether a business model can occupy both open positions simultaneously: full local control with no cloud dependency, and no consortium gatekeeping. If such a position is achievable and commercially sustainable, it represents a genuinely new trend where a device can operate locally and securely without requiring its owner to trust, or a manufacturer to pay, a gatekeeper. The security guarantee this paper is concerned with is specifically a data-sovereignty one: whether the owner's data remains in the owner's own hands, at their own disposal, under their own control, rather than passing through and being held by a party the owner cannot verify or exit. That is a narrower and more precise claim than “as secure as,” and it needs to be earned rather than asserted.</w:t>
      </w:r>
    </w:p>
    <w:p>
      <w:pPr>
        <w:spacing w:after="160" w:line="276"/>
        <w:jc w:val="both"/>
      </w:pPr>
      <w:r>
        <w:rPr>
          <w:rFonts w:ascii="Calibri" w:cs="Calibri" w:eastAsia="Calibri" w:hAnsi="Calibri"/>
          <w:b w:val="false"/>
          <w:bCs w:val="false"/>
          <w:i w:val="false"/>
          <w:iCs w:val="false"/>
          <w:sz w:val="21"/>
          <w:szCs w:val="21"/>
        </w:rPr>
        <w:t xml:space="preserve">A smart lock, unlike a smart speaker, mediates physical access; an unexpected loss of function is not merely inconvenient but an access or safety failure. This is precisely the category in which the cost of getting governance wrong is highest, and in which a credible, structural defence against hold-up has monetisable value (Section 3.4, Section 7).</w:t>
      </w:r>
    </w:p>
    <w:p>
      <w:pPr>
        <w:spacing w:after="160" w:line="276"/>
        <w:jc w:val="both"/>
      </w:pPr>
      <w:r>
        <w:rPr>
          <w:rFonts w:ascii="Calibri" w:cs="Calibri" w:eastAsia="Calibri" w:hAnsi="Calibri"/>
          <w:b w:val="false"/>
          <w:bCs w:val="false"/>
          <w:i w:val="false"/>
          <w:iCs w:val="false"/>
          <w:sz w:val="21"/>
          <w:szCs w:val="21"/>
        </w:rPr>
        <w:t xml:space="preserve">The contribution is threefold: conceptually, connecting platform-openness research (Boudreau, 2010) to hold-up theory at the level of an individual consumer's device; empirically, tracing how the case's design choices operationalise the framework and situating three documented failures as evidence; practically, giving hardware entrepreneurs and policy audiences a more granular vocabulary than “open.” Version 4.2 added verifiable artifacts (Figures 1–2, Appendix A) to move claims from conceptual to checkable; version 4.3 sharpens the regulatory argument in Section 7.1 in the same spirit.</w:t>
      </w:r>
    </w:p>
    <w:p>
      <w:pPr>
        <w:pStyle w:val="Heading1"/>
        <w:spacing w:after="160" w:before="320"/>
      </w:pPr>
      <w:r>
        <w:rPr>
          <w:rFonts w:ascii="Calibri" w:cs="Calibri" w:eastAsia="Calibri" w:hAnsi="Calibri"/>
          <w:b/>
          <w:bCs/>
          <w:sz w:val="28"/>
          <w:szCs w:val="28"/>
        </w:rPr>
        <w:t xml:space="preserve">2. Literature Review</w:t>
      </w:r>
    </w:p>
    <w:p>
      <w:pPr>
        <w:pStyle w:val="Heading2"/>
        <w:spacing w:after="120" w:before="240"/>
      </w:pPr>
      <w:r>
        <w:rPr>
          <w:rFonts w:ascii="Calibri" w:cs="Calibri" w:eastAsia="Calibri" w:hAnsi="Calibri"/>
          <w:b/>
          <w:bCs/>
          <w:sz w:val="24"/>
          <w:szCs w:val="24"/>
        </w:rPr>
        <w:t xml:space="preserve">2.1 The hold-up problem and transaction cost economics</w:t>
      </w:r>
    </w:p>
    <w:p>
      <w:pPr>
        <w:spacing w:after="160" w:line="276"/>
        <w:jc w:val="both"/>
      </w:pPr>
      <w:r>
        <w:rPr>
          <w:rFonts w:ascii="Calibri" w:cs="Calibri" w:eastAsia="Calibri" w:hAnsi="Calibri"/>
          <w:b w:val="false"/>
          <w:bCs w:val="false"/>
          <w:i w:val="false"/>
          <w:iCs w:val="false"/>
          <w:sz w:val="21"/>
          <w:szCs w:val="21"/>
        </w:rPr>
        <w:t xml:space="preserve">Transaction cost economics treats firms and markets as alternative governance structures for organising exchange, with the choice driven by cost of preventing opportunism. Klein, Crawford, and Alchian (1978) formalised hold-up: when a party invests in a durable, relationship-specific asset worth substantially less in any alternative use, that investment creates an appropriable quasi-rent a counterparty controlling a complementary asset can attempt to capture once investment is sunk. Williamson (1979) generalised this into governance theory. Williamson (1983) introduced credible commitments: because contracts are incomplete, parties post hostages — costly, hard-to-reverse commitments forfeited if the posting party behaves opportunistically. A hostage is credible because it is structural, not a promise. The theory was developed for interfirm B2B relationships; extending it to firm-consumer relationships where the exposed party has none of the contracting options is this paper's central theoretical move (Section 7).</w:t>
      </w:r>
    </w:p>
    <w:p>
      <w:pPr>
        <w:pStyle w:val="Heading2"/>
        <w:spacing w:after="120" w:before="240"/>
      </w:pPr>
      <w:r>
        <w:rPr>
          <w:rFonts w:ascii="Calibri" w:cs="Calibri" w:eastAsia="Calibri" w:hAnsi="Calibri"/>
          <w:b/>
          <w:bCs/>
          <w:sz w:val="24"/>
          <w:szCs w:val="24"/>
        </w:rPr>
        <w:t xml:space="preserve">2.2 Hold-up in connected and IoT hardware</w:t>
      </w:r>
    </w:p>
    <w:p>
      <w:pPr>
        <w:spacing w:after="160" w:line="276"/>
        <w:jc w:val="both"/>
      </w:pPr>
      <w:r>
        <w:rPr>
          <w:rFonts w:ascii="Calibri" w:cs="Calibri" w:eastAsia="Calibri" w:hAnsi="Calibri"/>
          <w:b w:val="false"/>
          <w:bCs w:val="false"/>
          <w:i w:val="false"/>
          <w:iCs w:val="false"/>
          <w:sz w:val="21"/>
          <w:szCs w:val="21"/>
        </w:rPr>
        <w:t xml:space="preserve">Right-to-repair research addresses a related symptom. Svensson-Höglund et al. (2021) catalogued legal and market barriers restricting a consumer's ability to extend a device's useful life. This literature targets physical durability; it says little about runtime dimension where a physically intact device depends on a vendor-controlled cloud service that can be withdrawn unilaterally. Local-first software (Kleppmann et al., 2019) supplies architectural vocabulary for that runtime dimension, proposing design principles to restore data ownership and offline operability. That work was for productivity software where centralisation failure is inconvenience; this paper extends the logic to access-controlling hardware where failure is a safety issue.</w:t>
      </w:r>
    </w:p>
    <w:p>
      <w:pPr>
        <w:pStyle w:val="Heading2"/>
        <w:spacing w:after="120" w:before="240"/>
      </w:pPr>
      <w:r>
        <w:rPr>
          <w:rFonts w:ascii="Calibri" w:cs="Calibri" w:eastAsia="Calibri" w:hAnsi="Calibri"/>
          <w:b/>
          <w:bCs/>
          <w:sz w:val="24"/>
          <w:szCs w:val="24"/>
        </w:rPr>
        <w:t xml:space="preserve">2.3 Platform governance and admission control</w:t>
      </w:r>
    </w:p>
    <w:p>
      <w:pPr>
        <w:spacing w:after="160" w:line="276"/>
        <w:jc w:val="both"/>
      </w:pPr>
      <w:r>
        <w:rPr>
          <w:rFonts w:ascii="Calibri" w:cs="Calibri" w:eastAsia="Calibri" w:hAnsi="Calibri"/>
          <w:b w:val="false"/>
          <w:bCs w:val="false"/>
          <w:i w:val="false"/>
          <w:iCs w:val="false"/>
          <w:sz w:val="21"/>
          <w:szCs w:val="21"/>
        </w:rPr>
        <w:t xml:space="preserve">Boudreau (2010) distinguished granting access (opening markets for outside-built complements) and devolving control (relinquishing authority over platform design). Standards consortia extend this into a monetised, governed register: CSA's tiered membership prices market entry for Matter at roughly USD 7,000 per year plus several thousand per product in certification and lab testing (CSA, n.d.), with governing influence held by large incumbents. The gap this paper identifies is unit of analysis: Boudreau characterises openness from the platform owner's perspective on complementors, not from a downstream hardware vendor choosing which upstream standard to build into, nor connected to hold-up outcomes for the vendor's own end customers. Section 3 reframes this as admission sovereignty.</w:t>
      </w:r>
    </w:p>
    <w:p>
      <w:pPr>
        <w:pStyle w:val="Heading2"/>
        <w:spacing w:after="120" w:before="240"/>
      </w:pPr>
      <w:r>
        <w:rPr>
          <w:rFonts w:ascii="Calibri" w:cs="Calibri" w:eastAsia="Calibri" w:hAnsi="Calibri"/>
          <w:b/>
          <w:bCs/>
          <w:sz w:val="24"/>
          <w:szCs w:val="24"/>
        </w:rPr>
        <w:t xml:space="preserve">2.4 Open-source and commercial-open-source business models</w:t>
      </w:r>
    </w:p>
    <w:p>
      <w:pPr>
        <w:spacing w:after="160" w:line="276"/>
        <w:jc w:val="both"/>
      </w:pPr>
      <w:r>
        <w:rPr>
          <w:rFonts w:ascii="Calibri" w:cs="Calibri" w:eastAsia="Calibri" w:hAnsi="Calibri"/>
          <w:b w:val="false"/>
          <w:bCs w:val="false"/>
          <w:i w:val="false"/>
          <w:iCs w:val="false"/>
          <w:sz w:val="21"/>
          <w:szCs w:val="21"/>
        </w:rPr>
        <w:t xml:space="preserve">If a firm forgoes both admission gatekeeping and runtime data lock-in, it forfeits the two most common monetisation mechanisms, raising the question of what remains to sell. West and Gallagher (2006) identified four strategies: pooled R&amp;D, spinouts, selling complements, and attracting donated complements. Selling complements — publishing core technology openly while capturing revenue from an adjacent, harder-to-commoditise asset such as support — is most relevant. This paper connects that strategy to Williamson (1983) directly: publishing source under an open licence and structurally forgoing the ability to hold customer credentials hostage function as literal hostages, verifiable by any technically capable observer. Where classical literature treats the weaker party as posting a hostage to reassure the stronger counterparty, a vendor adopting this model inverts the direction: the structurally stronger party posts a hostage to reassure the weaker consumer.</w:t>
      </w:r>
    </w:p>
    <w:p>
      <w:pPr>
        <w:pStyle w:val="Heading1"/>
        <w:spacing w:after="160" w:before="320"/>
      </w:pPr>
      <w:r>
        <w:rPr>
          <w:rFonts w:ascii="Calibri" w:cs="Calibri" w:eastAsia="Calibri" w:hAnsi="Calibri"/>
          <w:b/>
          <w:bCs/>
          <w:sz w:val="28"/>
          <w:szCs w:val="28"/>
        </w:rPr>
        <w:t xml:space="preserve">3. Conceptual Framework</w:t>
      </w:r>
    </w:p>
    <w:p>
      <w:pPr>
        <w:pStyle w:val="Heading2"/>
        <w:spacing w:after="120" w:before="240"/>
      </w:pPr>
      <w:r>
        <w:rPr>
          <w:rFonts w:ascii="Calibri" w:cs="Calibri" w:eastAsia="Calibri" w:hAnsi="Calibri"/>
          <w:b/>
          <w:bCs/>
          <w:sz w:val="24"/>
          <w:szCs w:val="24"/>
        </w:rPr>
        <w:t xml:space="preserve">3.1 Two axes of platform sovereignty</w:t>
      </w:r>
    </w:p>
    <w:p>
      <w:pPr>
        <w:spacing w:after="160" w:line="276"/>
        <w:jc w:val="both"/>
      </w:pPr>
      <w:r>
        <w:rPr>
          <w:rFonts w:ascii="Calibri" w:cs="Calibri" w:eastAsia="Calibri" w:hAnsi="Calibri"/>
          <w:b w:val="false"/>
          <w:bCs w:val="false"/>
          <w:i w:val="false"/>
          <w:iCs w:val="false"/>
          <w:sz w:val="21"/>
          <w:szCs w:val="21"/>
        </w:rPr>
        <w:t xml:space="preserve">Runtime sovereignty concerns who sees, stores, and controls data and functionality while a device is in ordinary use: does routine operation require reaching the vendor's servers, can the vendor read what passes through infrastructure it operates, and can the vendor unilaterally alter or withdraw access already sold? Admission sovereignty concerns who decides whether a device — and by extension its manufacturer — may exist and interoperate within an ecosystem at all: is there a membership body or certification gate, and is it administered by a market mechanism or by a consortium where incumbent competitors hold governing votes? The two are logically independent: a platform's position on one predicts nothing about the other, and the practical consequence of each is a specific, nameable form of exposure to hold-up.</w:t>
      </w:r>
    </w:p>
    <w:p>
      <w:pPr>
        <w:pStyle w:val="Heading2"/>
        <w:spacing w:after="120" w:before="240"/>
      </w:pPr>
      <w:r>
        <w:rPr>
          <w:rFonts w:ascii="Calibri" w:cs="Calibri" w:eastAsia="Calibri" w:hAnsi="Calibri"/>
          <w:b/>
          <w:bCs/>
          <w:sz w:val="24"/>
          <w:szCs w:val="24"/>
        </w:rPr>
        <w:t xml:space="preserve">3.2 Positioning existing governance models</w:t>
      </w:r>
    </w:p>
    <w:p>
      <w:pPr>
        <w:spacing w:after="160" w:line="276"/>
        <w:jc w:val="both"/>
      </w:pPr>
      <w:r>
        <w:rPr>
          <w:rFonts w:ascii="Calibri" w:cs="Calibri" w:eastAsia="Calibri" w:hAnsi="Calibri"/>
          <w:b w:val="false"/>
          <w:bCs w:val="false"/>
          <w:i w:val="false"/>
          <w:iCs w:val="false"/>
          <w:sz w:val="21"/>
          <w:szCs w:val="21"/>
        </w:rPr>
        <w:t xml:space="preserve">Table 1 positions existing governance models on both axes. White-label ecosystems (Tuya-style) are open-admission/closed-runtime; interoperability standards (Matter) are closed-admission/open-runtime; vertically integrated proprietary platforms close both. The fourth quadrant — open on both axes — is largely vacant, which is itself informative. Opening both removes mechanisms (admission rents, runtime data control) that would ordinarily fund the coordination costs of maintaining an open standard; Boudreau (2010) finds granting access accelerates device development but flags coordination costs. How a single small firm can occupy the doubly open quadrant without external subsidy or platform-scale dominance is the puzzle Sections 5–6 address.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Governance Model</w:t>
            </w:r>
          </w:p>
        </w:tc>
        <w:tc>
          <w:tcPr>
            <w:tcW w:type="dxa" w:w="30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Admission Sovereignty</w:t>
            </w:r>
          </w:p>
        </w:tc>
        <w:tc>
          <w:tcPr>
            <w:tcW w:type="dxa" w:w="30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Runtime Sovereignty</w:t>
            </w:r>
          </w:p>
        </w:tc>
      </w:tr>
      <w:tr>
        <w:tc>
          <w:tcPr>
            <w:tcW w:type="dxa" w:w="33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White-label ecosystems (Tuya-style)</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Open</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Closed</w:t>
            </w:r>
          </w:p>
        </w:tc>
      </w:tr>
      <w:tr>
        <w:tc>
          <w:tcPr>
            <w:tcW w:type="dxa" w:w="33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Interoperability standards (Matter)</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Closed</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Open</w:t>
            </w:r>
          </w:p>
        </w:tc>
      </w:tr>
      <w:tr>
        <w:tc>
          <w:tcPr>
            <w:tcW w:type="dxa" w:w="33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Vertically integrated proprietary platforms</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Closed</w:t>
            </w:r>
          </w:p>
        </w:tc>
        <w:tc>
          <w:tcPr>
            <w:tcW w:type="dxa" w:w="30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Closed</w:t>
            </w:r>
          </w:p>
        </w:tc>
      </w:tr>
      <w:tr>
        <w:tc>
          <w:tcPr>
            <w:tcW w:type="dxa" w:w="3350"/>
            <w:shd w:fill="D9E8D8" w:val="clear"/>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Open/Open — this case (“Sovereign Edge”)</w:t>
            </w:r>
          </w:p>
        </w:tc>
        <w:tc>
          <w:tcPr>
            <w:tcW w:type="dxa" w:w="3000"/>
            <w:shd w:fill="D9E8D8" w:val="clear"/>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Open</w:t>
            </w:r>
          </w:p>
        </w:tc>
        <w:tc>
          <w:tcPr>
            <w:tcW w:type="dxa" w:w="3000"/>
            <w:shd w:fill="D9E8D8" w:val="clear"/>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Open</w:t>
            </w:r>
          </w:p>
        </w:tc>
      </w:tr>
    </w:tbl>
    <w:p>
      <w:pPr>
        <w:spacing w:after="240" w:before="80"/>
        <w:jc w:val="left"/>
      </w:pPr>
      <w:r>
        <w:rPr>
          <w:rFonts w:ascii="Calibri" w:cs="Calibri" w:eastAsia="Calibri" w:hAnsi="Calibri"/>
          <w:i/>
          <w:iCs/>
          <w:sz w:val="19"/>
          <w:szCs w:val="19"/>
        </w:rPr>
        <w:t xml:space="preserve">Table 1. Governance positions on the two axes of sovereignty.</w:t>
      </w:r>
    </w:p>
    <w:p>
      <w:pPr>
        <w:spacing w:after="8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before="80"/>
        <w:jc w:val="left"/>
      </w:pPr>
      <w:r>
        <w:rPr>
          <w:rFonts w:ascii="Calibri" w:cs="Calibri" w:eastAsia="Calibri" w:hAnsi="Calibri"/>
          <w:i/>
          <w:iCs/>
          <w:sz w:val="19"/>
          <w:szCs w:val="19"/>
        </w:rPr>
        <w:t xml:space="preserve">Figure 1: Two-Axis Sovereignty Framework positioning existing governance models. The vacant open-open quadrant is the target of this case.</w:t>
      </w:r>
    </w:p>
    <w:p>
      <w:pPr>
        <w:pStyle w:val="Heading2"/>
        <w:spacing w:after="120" w:before="240"/>
      </w:pPr>
      <w:r>
        <w:rPr>
          <w:rFonts w:ascii="Calibri" w:cs="Calibri" w:eastAsia="Calibri" w:hAnsi="Calibri"/>
          <w:b/>
          <w:bCs/>
          <w:sz w:val="24"/>
          <w:szCs w:val="24"/>
        </w:rPr>
        <w:t xml:space="preserve">3.3 Hold-up avoidance as unifying logic</w:t>
      </w:r>
    </w:p>
    <w:p>
      <w:pPr>
        <w:spacing w:after="160" w:line="276"/>
        <w:jc w:val="both"/>
      </w:pPr>
      <w:r>
        <w:rPr>
          <w:rFonts w:ascii="Calibri" w:cs="Calibri" w:eastAsia="Calibri" w:hAnsi="Calibri"/>
          <w:b w:val="false"/>
          <w:bCs w:val="false"/>
          <w:i w:val="false"/>
          <w:iCs w:val="false"/>
          <w:sz w:val="21"/>
          <w:szCs w:val="21"/>
        </w:rPr>
        <w:t xml:space="preserve">Each axis addresses hold-up at a different moment. Admission sovereignty removes ex-ante risk: no proprietary standard narrows the customer's outside options before a dispute, and no certification gate a competing manufacturer must clear before offering interoperable hardware. Runtime sovereignty removes ex-post risk: no centralised asset gives the vendor leverage to alter terms after sale, because it does not possess the withheld asset opportunism requires. Neither axis is self-enforcing merely because a firm states an intention to keep it open — what converts stated policy into structural defence is the presence of a genuine hostage in Williamson's (1983) sense: a mechanism costly and independently verifiable to renege on. Published protocol and open-licensed source are hostages against admission-side reversal; an owner-generated root key the vendor never holds is a hostage against runtime-side reversal.</w:t>
      </w:r>
    </w:p>
    <w:p>
      <w:pPr>
        <w:pStyle w:val="Heading2"/>
        <w:spacing w:after="120" w:before="240"/>
      </w:pPr>
      <w:r>
        <w:rPr>
          <w:rFonts w:ascii="Calibri" w:cs="Calibri" w:eastAsia="Calibri" w:hAnsi="Calibri"/>
          <w:b/>
          <w:bCs/>
          <w:sz w:val="24"/>
          <w:szCs w:val="24"/>
        </w:rPr>
        <w:t xml:space="preserve">3.4 Propositions</w:t>
      </w:r>
    </w:p>
    <w:p>
      <w:pPr>
        <w:spacing w:after="160" w:line="276"/>
        <w:jc w:val="both"/>
      </w:pPr>
      <w:r>
        <w:rPr>
          <w:rFonts w:ascii="Calibri" w:cs="Calibri" w:eastAsia="Calibri" w:hAnsi="Calibri"/>
          <w:b w:val="false"/>
          <w:bCs w:val="false"/>
          <w:i w:val="false"/>
          <w:iCs w:val="false"/>
          <w:sz w:val="21"/>
          <w:szCs w:val="21"/>
        </w:rPr>
        <w:t xml:space="preserve">P1. Firms combining open admission (no consortium gatekeeping) with open runtime (no mandatory cloud dependency, no vendor-exclusive control of data or credentials) reduce customer switching costs to the point where post-purchase opportunism becomes structurally unprofitable for the vendor, independent of stated policies.</w:t>
      </w:r>
    </w:p>
    <w:p>
      <w:pPr>
        <w:spacing w:after="160" w:line="276"/>
        <w:jc w:val="both"/>
      </w:pPr>
      <w:r>
        <w:rPr>
          <w:rFonts w:ascii="Calibri" w:cs="Calibri" w:eastAsia="Calibri" w:hAnsi="Calibri"/>
          <w:b w:val="false"/>
          <w:bCs w:val="false"/>
          <w:i w:val="false"/>
          <w:iCs w:val="false"/>
          <w:sz w:val="21"/>
          <w:szCs w:val="21"/>
        </w:rPr>
        <w:t xml:space="preserve">P2. Because open-admission/open-runtime positioning forfeits two conventional monetisation levers — admission-fee rent extraction and runtime data or service lock-in — a commercially viable business model in this quadrant must relocate revenue capture to a third, comparatively non-appropriable asset, consistent with West and Gallagher's (2006) selling complements strategy.</w:t>
      </w:r>
    </w:p>
    <w:p>
      <w:pPr>
        <w:spacing w:after="160" w:line="276"/>
        <w:jc w:val="both"/>
      </w:pPr>
      <w:r>
        <w:rPr>
          <w:rFonts w:ascii="Calibri" w:cs="Calibri" w:eastAsia="Calibri" w:hAnsi="Calibri"/>
          <w:b w:val="false"/>
          <w:bCs w:val="false"/>
          <w:i w:val="false"/>
          <w:iCs w:val="false"/>
          <w:sz w:val="21"/>
          <w:szCs w:val="21"/>
        </w:rPr>
        <w:t xml:space="preserve">P3. Credibility of an open-admission/open-runtime commitment is a function of the irreversibility of the specific mechanisms backing it — whether the cryptographic root key is architecturally incapable of vendor possession, rather than merely governed by policy stating the vendor will not access it — and not a function of how the commitment is marketed.</w:t>
      </w:r>
    </w:p>
    <w:p>
      <w:pPr>
        <w:pStyle w:val="Heading1"/>
        <w:spacing w:after="160" w:before="320"/>
      </w:pPr>
      <w:r>
        <w:rPr>
          <w:rFonts w:ascii="Calibri" w:cs="Calibri" w:eastAsia="Calibri" w:hAnsi="Calibri"/>
          <w:b/>
          <w:bCs/>
          <w:sz w:val="28"/>
          <w:szCs w:val="28"/>
        </w:rPr>
        <w:t xml:space="preserve">4. Methodology</w:t>
      </w:r>
    </w:p>
    <w:p>
      <w:pPr>
        <w:spacing w:after="160" w:line="276"/>
        <w:jc w:val="both"/>
      </w:pPr>
      <w:r>
        <w:rPr>
          <w:rFonts w:ascii="Calibri" w:cs="Calibri" w:eastAsia="Calibri" w:hAnsi="Calibri"/>
          <w:b w:val="false"/>
          <w:bCs w:val="false"/>
          <w:i w:val="false"/>
          <w:iCs w:val="false"/>
          <w:sz w:val="21"/>
          <w:szCs w:val="21"/>
        </w:rPr>
        <w:t xml:space="preserve">This paper uses a single embedded case study (Yin, 2018): the unit of analysis is not the firm as a whole but several nested sub-units — firmware and protocol design, credential architecture, and support-based business model — each mapped against the propositions in Section 3.4 before synthesis. This design suits a research question where no single outcome metric captures whether a business model avoids hold-up; the claim rests on whether mechanisms at each sub-unit are individually coherent, mutually reinforcing, and consistent with the propositions.</w:t>
      </w:r>
    </w:p>
    <w:p>
      <w:pPr>
        <w:spacing w:after="160" w:line="276"/>
        <w:jc w:val="both"/>
      </w:pPr>
      <w:r>
        <w:rPr>
          <w:rFonts w:ascii="Calibri" w:cs="Calibri" w:eastAsia="Calibri" w:hAnsi="Calibri"/>
          <w:b w:val="false"/>
          <w:bCs w:val="false"/>
          <w:i w:val="false"/>
          <w:iCs w:val="false"/>
          <w:sz w:val="21"/>
          <w:szCs w:val="21"/>
        </w:rPr>
        <w:t xml:space="preserve">The case was selected purposively as what Yin terms a revelatory case: a venture designed explicitly around avoiding hold-up on both axes, with design reasoning documented contemporaneously rather than reconstructed after the fact — a significant advantage over the three comparative failure cases in Section 6.4, observable only as post-hoc events. That justification requires more caution than Yin's original formulation assumes, however, since the phenomenon studied here was created by the researcher rather than merely accessed.</w:t>
      </w:r>
    </w:p>
    <w:p>
      <w:pPr>
        <w:spacing w:after="160" w:line="276"/>
        <w:jc w:val="both"/>
      </w:pPr>
      <w:r>
        <w:rPr>
          <w:rFonts w:ascii="Calibri" w:cs="Calibri" w:eastAsia="Calibri" w:hAnsi="Calibri"/>
          <w:b w:val="false"/>
          <w:bCs w:val="false"/>
          <w:i w:val="false"/>
          <w:iCs w:val="false"/>
          <w:sz w:val="21"/>
          <w:szCs w:val="21"/>
        </w:rPr>
        <w:t xml:space="preserve">Data are drawn from the venture's internal technical and business documentation, produced and revised across three iterations, including a component-level implementation-status register distinguishing specified, built-but-unverified, and field-verified elements (see Appendix A in v4.2). Comparative cases draw on regulatory records — FTC closing letters and press releases — and contemporaneous technology-press coverage, cross-checked across independent outlets.</w:t>
      </w:r>
    </w:p>
    <w:p>
      <w:pPr>
        <w:spacing w:after="160" w:line="276"/>
        <w:jc w:val="both"/>
      </w:pPr>
      <w:r>
        <w:rPr>
          <w:rFonts w:ascii="Calibri" w:cs="Calibri" w:eastAsia="Calibri" w:hAnsi="Calibri"/>
          <w:b w:val="false"/>
          <w:bCs w:val="false"/>
          <w:i w:val="false"/>
          <w:iCs w:val="false"/>
          <w:sz w:val="21"/>
          <w:szCs w:val="21"/>
        </w:rPr>
        <w:t xml:space="preserve">The author's dual role as researcher and company principal is disclosed. To mitigate motivated reasoning, the analysis relies on the case's own dated implementation-status disclosures rather than promotional material, reports unresolved risks alongside design strengths — including several identified through external technical review during the paper's preparation — and scopes claims to design intent and mechanism-level consistency, not market validation.</w:t>
      </w:r>
    </w:p>
    <w:p>
      <w:pPr>
        <w:pStyle w:val="Heading1"/>
        <w:spacing w:after="160" w:before="320"/>
      </w:pPr>
      <w:r>
        <w:rPr>
          <w:rFonts w:ascii="Calibri" w:cs="Calibri" w:eastAsia="Calibri" w:hAnsi="Calibri"/>
          <w:b/>
          <w:bCs/>
          <w:sz w:val="28"/>
          <w:szCs w:val="28"/>
        </w:rPr>
        <w:t xml:space="preserve">5. Case Description</w:t>
      </w:r>
    </w:p>
    <w:p>
      <w:pPr>
        <w:spacing w:after="160" w:line="276"/>
        <w:jc w:val="both"/>
      </w:pPr>
      <w:r>
        <w:rPr>
          <w:rFonts w:ascii="Calibri" w:cs="Calibri" w:eastAsia="Calibri" w:hAnsi="Calibri"/>
          <w:b w:val="false"/>
          <w:bCs w:val="false"/>
          <w:i w:val="false"/>
          <w:iCs w:val="false"/>
          <w:sz w:val="21"/>
          <w:szCs w:val="21"/>
        </w:rPr>
        <w:t xml:space="preserve">The case is a connected smart-lock platform under development by an Australian hardware and systems-integration firm, targeting residential, hospitality, and — via a distinct hardware tier — defence and government procurement. At the time of writing the product has not shipped and regulatory certification has not yet been obtained; the description below is of the designed system, not a field-validated one.</w:t>
      </w:r>
    </w:p>
    <w:p>
      <w:pPr>
        <w:pStyle w:val="Heading2"/>
        <w:spacing w:after="120" w:before="240"/>
      </w:pPr>
      <w:r>
        <w:rPr>
          <w:rFonts w:ascii="Calibri" w:cs="Calibri" w:eastAsia="Calibri" w:hAnsi="Calibri"/>
          <w:b/>
          <w:bCs/>
          <w:sz w:val="24"/>
          <w:szCs w:val="24"/>
        </w:rPr>
        <w:t xml:space="preserve">5.1 Runtime sovereignty</w:t>
      </w:r>
    </w:p>
    <w:p>
      <w:pPr>
        <w:spacing w:after="160" w:line="276"/>
        <w:jc w:val="both"/>
      </w:pPr>
      <w:r>
        <w:rPr>
          <w:rFonts w:ascii="Calibri" w:cs="Calibri" w:eastAsia="Calibri" w:hAnsi="Calibri"/>
          <w:b w:val="false"/>
          <w:bCs w:val="false"/>
          <w:i w:val="false"/>
          <w:iCs w:val="false"/>
          <w:sz w:val="21"/>
          <w:szCs w:val="21"/>
        </w:rPr>
        <w:t xml:space="preserve">The bridge device relays commands between the lock and a message broker over an end-to-end encrypted payload; the broker stores only the pairing relationship, never a transaction log, and is designed to be unable to read command content. Owners may point the bridge at a broker of their own choosing, with no firmware change required, which addresses vendor continuity risk: an owner who anticipates vendor failure retains a technical exit requiring no cooperation from the vendor to exercise. Core local control — unlocking at the door and control across the local network — does not require reaching the vendor's servers. Secondary-user credentials are tokens signed by the owner's locally generated root key and verified offline against the public key the lock already holds, rather than checked against a server on every use; the private key is generated on, and never transmitted from, the owner's own device.</w:t>
      </w:r>
    </w:p>
    <w:p>
      <w:pPr>
        <w:pStyle w:val="Heading2"/>
        <w:spacing w:after="120" w:before="240"/>
      </w:pPr>
      <w:r>
        <w:rPr>
          <w:rFonts w:ascii="Calibri" w:cs="Calibri" w:eastAsia="Calibri" w:hAnsi="Calibri"/>
          <w:b/>
          <w:bCs/>
          <w:sz w:val="24"/>
          <w:szCs w:val="24"/>
        </w:rPr>
        <w:t xml:space="preserve">5.2 Admission sovereignty</w:t>
      </w:r>
    </w:p>
    <w:p>
      <w:pPr>
        <w:spacing w:after="160" w:line="276"/>
        <w:jc w:val="both"/>
      </w:pPr>
      <w:r>
        <w:rPr>
          <w:rFonts w:ascii="Calibri" w:cs="Calibri" w:eastAsia="Calibri" w:hAnsi="Calibri"/>
          <w:b w:val="false"/>
          <w:bCs w:val="false"/>
          <w:i w:val="false"/>
          <w:iCs w:val="false"/>
          <w:sz w:val="21"/>
          <w:szCs w:val="21"/>
        </w:rPr>
        <w:t xml:space="preserve">Server, application, and protocol are published under an open licence (see 5.3), with no consortium membership or certification fee required for a customer, integrator, or competing manufacturer to build compatible hardware or software. Supply-chain integrity is addressed through per-device cryptographic identity provisioned at production — a cloned board fails to enrol with any server or pair with any application but is not prevented from booting or being reflashed — rather than through a boot restriction that would also bind legitimate owners. On the consumer and hospitality tier, secure boot is deliberately left unconfigured, which is a genuine security trade-off (Section 6.2) rather than a cost-free choice: the defence and government tier, where secure boot is enabled and firmware vendor-signed, exists for buyers whose threat model weighs physical-tampering resistance above rebuild rights. This split also means the open-admission/open-runtime business model does not carry the venture's entire revenue case: the closed tier is sold conventionally, and functions as a commercial hedge rather than a contradiction.</w:t>
      </w:r>
    </w:p>
    <w:p>
      <w:pPr>
        <w:pStyle w:val="Heading2"/>
        <w:spacing w:after="120" w:before="240"/>
      </w:pPr>
      <w:r>
        <w:rPr>
          <w:rFonts w:ascii="Calibri" w:cs="Calibri" w:eastAsia="Calibri" w:hAnsi="Calibri"/>
          <w:b/>
          <w:bCs/>
          <w:sz w:val="24"/>
          <w:szCs w:val="24"/>
        </w:rPr>
        <w:t xml:space="preserve">5.3 License Architecture as Varying-Strength Hostage</w:t>
      </w:r>
    </w:p>
    <w:p>
      <w:pPr>
        <w:spacing w:after="160" w:line="276"/>
        <w:jc w:val="both"/>
      </w:pPr>
      <w:r>
        <w:rPr>
          <w:rFonts w:ascii="Calibri" w:cs="Calibri" w:eastAsia="Calibri" w:hAnsi="Calibri"/>
          <w:b w:val="false"/>
          <w:bCs w:val="false"/>
          <w:i w:val="false"/>
          <w:iCs w:val="false"/>
          <w:sz w:val="21"/>
          <w:szCs w:val="21"/>
        </w:rPr>
        <w:t xml:space="preserve">Prior versions described the source as “published under open licence” without specifying which licence. Licence choice directly affects Proposition 3's irreversibility criterion: different licences create hostages of different strength. This case adopts differentiated licensing:</w:t>
      </w:r>
    </w:p>
    <w:p>
      <w:pPr>
        <w:pStyle w:val="ListParagraph"/>
        <w:numPr>
          <w:ilvl w:val="0"/>
          <w:numId w:val="1"/>
        </w:numPr>
        <w:spacing w:after="100" w:line="264"/>
      </w:pPr>
      <w:r>
        <w:rPr>
          <w:rFonts w:ascii="Calibri" w:cs="Calibri" w:eastAsia="Calibri" w:hAnsi="Calibri"/>
          <w:sz w:val="21"/>
          <w:szCs w:val="21"/>
        </w:rPr>
        <w:t xml:space="preserve">Protocol specification and client SDK: MIT License — permissive, maximizes admission openness, zero friction for a competing manufacturer to build compatible hardware/software. Weak hostage: the vendor could publish a future version under a proprietary licence, but the community retains perpetual rights to the existing MIT version and can fork.</w:t>
      </w:r>
    </w:p>
    <w:p>
      <w:pPr>
        <w:pStyle w:val="ListParagraph"/>
        <w:numPr>
          <w:ilvl w:val="0"/>
          <w:numId w:val="1"/>
        </w:numPr>
        <w:spacing w:after="100" w:line="264"/>
      </w:pPr>
      <w:r>
        <w:rPr>
          <w:rFonts w:ascii="Calibri" w:cs="Calibri" w:eastAsia="Calibri" w:hAnsi="Calibri"/>
          <w:sz w:val="21"/>
          <w:szCs w:val="21"/>
        </w:rPr>
        <w:t xml:space="preserve">Server, Bridge firmware, Mobile App: GPLv3 — strong copyleft hostage. GPLv3 requires any distributed modified binary to make corresponding source available, and its anti-tivoization clause (Section 6) prevents the vendor from shipping GPLv3 code that only runs if signed by a vendor-only key. This structurally prevents the exact closure scenario open-innovation literature warns about: a vendor establishing a base then converting an open platform to closed. If the vendor attempts closure, any customer or competitor can fork the last GPLv3 version and continue service — precisely the credible commitment Williamson describes.</w:t>
      </w:r>
    </w:p>
    <w:p>
      <w:pPr>
        <w:pStyle w:val="ListParagraph"/>
        <w:numPr>
          <w:ilvl w:val="0"/>
          <w:numId w:val="1"/>
        </w:numPr>
        <w:spacing w:after="100" w:line="264"/>
      </w:pPr>
      <w:r>
        <w:rPr>
          <w:rFonts w:ascii="Calibri" w:cs="Calibri" w:eastAsia="Calibri" w:hAnsi="Calibri"/>
          <w:sz w:val="21"/>
          <w:szCs w:val="21"/>
        </w:rPr>
        <w:t xml:space="preserve">Hardware: CERN Open Hardware Licence Version 2 — Strongly Reciprocal (CERN-OHL-S v2) — requires derivative hardware to share schematics under the same licence, preventing closed hardware clones that undermine supply-chain transparency.</w:t>
      </w:r>
    </w:p>
    <w:p>
      <w:pPr>
        <w:pStyle w:val="ListParagraph"/>
        <w:numPr>
          <w:ilvl w:val="0"/>
          <w:numId w:val="1"/>
        </w:numPr>
        <w:spacing w:after="100" w:line="264"/>
      </w:pPr>
      <w:r>
        <w:rPr>
          <w:rFonts w:ascii="Calibri" w:cs="Calibri" w:eastAsia="Calibri" w:hAnsi="Calibri"/>
          <w:sz w:val="21"/>
          <w:szCs w:val="21"/>
        </w:rPr>
        <w:t xml:space="preserve">Documentation and non-code artifacts: CC-BY-SA 4.0.</w:t>
      </w:r>
    </w:p>
    <w:p>
      <w:pPr>
        <w:spacing w:after="160" w:line="276"/>
        <w:jc w:val="both"/>
      </w:pPr>
      <w:r>
        <w:rPr>
          <w:rFonts w:ascii="Calibri" w:cs="Calibri" w:eastAsia="Calibri" w:hAnsi="Calibri"/>
          <w:b w:val="false"/>
          <w:bCs w:val="false"/>
          <w:i w:val="false"/>
          <w:iCs w:val="false"/>
          <w:sz w:val="21"/>
          <w:szCs w:val="21"/>
        </w:rPr>
        <w:t xml:space="preserve">The dual MIT/GPLv3 split is intentional: MIT lowers entry cost (admission sovereignty), GPLv3 raises exit cost for a vendor attempting reversal (runtime/admission hostage strength). A pure MIT stack would be cheaper to adopt but weaker as a hostage; a pure GPLv3 stack would be the strongest hostage but deter some commercial integrators. This trade-off is itself evidence for Proposition 2: openness level is a commercial decision with margin implications.</w:t>
      </w:r>
    </w:p>
    <w:p>
      <w:pPr>
        <w:pStyle w:val="Heading2"/>
        <w:spacing w:after="120" w:before="240"/>
      </w:pPr>
      <w:r>
        <w:rPr>
          <w:rFonts w:ascii="Calibri" w:cs="Calibri" w:eastAsia="Calibri" w:hAnsi="Calibri"/>
          <w:b/>
          <w:bCs/>
          <w:sz w:val="24"/>
          <w:szCs w:val="24"/>
        </w:rPr>
        <w:t xml:space="preserve">5.4 Business model</w:t>
      </w:r>
    </w:p>
    <w:p>
      <w:pPr>
        <w:spacing w:after="160" w:line="276"/>
        <w:jc w:val="both"/>
      </w:pPr>
      <w:r>
        <w:rPr>
          <w:rFonts w:ascii="Calibri" w:cs="Calibri" w:eastAsia="Calibri" w:hAnsi="Calibri"/>
          <w:b w:val="false"/>
          <w:bCs w:val="false"/>
          <w:i w:val="false"/>
          <w:iCs w:val="false"/>
          <w:sz w:val="21"/>
          <w:szCs w:val="21"/>
        </w:rPr>
        <w:t xml:space="preserve">Revenue is designed to come from tiered technical support rather than software or usage data, following West and Gallagher's (2006) selling complements strategy; because the software is openly licensed, a dissatisfied customer can self-host or engage a third party, which keeps the support relationship competitive rather than monopolistic (Section 6.3).</w:t>
      </w:r>
    </w:p>
    <w:p>
      <w:pPr>
        <w:pStyle w:val="Heading2"/>
        <w:spacing w:after="120" w:before="240"/>
      </w:pPr>
      <w:r>
        <w:rPr>
          <w:rFonts w:ascii="Calibri" w:cs="Calibri" w:eastAsia="Calibri" w:hAnsi="Calibri"/>
          <w:b/>
          <w:bCs/>
          <w:sz w:val="24"/>
          <w:szCs w:val="24"/>
        </w:rPr>
        <w:t xml:space="preserve">5.5 Status</w:t>
      </w:r>
    </w:p>
    <w:p>
      <w:pPr>
        <w:spacing w:after="160" w:line="276"/>
        <w:jc w:val="both"/>
      </w:pPr>
      <w:r>
        <w:rPr>
          <w:rFonts w:ascii="Calibri" w:cs="Calibri" w:eastAsia="Calibri" w:hAnsi="Calibri"/>
          <w:b w:val="false"/>
          <w:bCs w:val="false"/>
          <w:i w:val="false"/>
          <w:iCs w:val="false"/>
          <w:sz w:val="21"/>
          <w:szCs w:val="21"/>
        </w:rPr>
        <w:t xml:space="preserve">The cryptographic key-exchange ceremony establishing payload encryption, and the corresponding removal of the currently used plaintext credential fallback on the server, are specified but not yet implemented; local commissioning, mesh networking, and command relay are built and bench-verified. Key recovery for an owner who loses the device holding the root credential, and secondary-user key provisioning at scale, remain open design questions (Section 8). See Appendix A for the full register.</w:t>
      </w:r>
    </w:p>
    <w:p>
      <w:pPr>
        <w:spacing w:after="8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40" w:before="80"/>
        <w:jc w:val="left"/>
      </w:pPr>
      <w:r>
        <w:rPr>
          <w:rFonts w:ascii="Calibri" w:cs="Calibri" w:eastAsia="Calibri" w:hAnsi="Calibri"/>
          <w:i/>
          <w:iCs/>
          <w:sz w:val="19"/>
          <w:szCs w:val="19"/>
        </w:rPr>
        <w:t xml:space="preserve">Figure 2: Sovereign Edge Runtime Architecture — Data sovereignty by design. Root private key generated on owner device and never transmitted. Broker is untrusted, stores only pairing, structurally unable to read E2E payload (AES-256-GCM with ECDH-derived keys). Owner can point bridge to self-hosted broker, exit without vendor cooperation. Current state includes plaintext credential fallback to be removed; target state is zero-knowledge broker. Per-device identity prevents clone enrolment while preserving owner reflash right on consumer tier. Bottom bar shows security properties: what vendor CANNOT do.</w:t>
      </w:r>
    </w:p>
    <w:p>
      <w:pPr>
        <w:pStyle w:val="Heading1"/>
        <w:spacing w:after="160" w:before="320"/>
      </w:pPr>
      <w:r>
        <w:rPr>
          <w:rFonts w:ascii="Calibri" w:cs="Calibri" w:eastAsia="Calibri" w:hAnsi="Calibri"/>
          <w:b/>
          <w:bCs/>
          <w:sz w:val="28"/>
          <w:szCs w:val="28"/>
        </w:rPr>
        <w:t xml:space="preserve">6. Analysis: Business Model as Hold-Up Mitigation</w:t>
      </w:r>
    </w:p>
    <w:p>
      <w:pPr>
        <w:pStyle w:val="Heading2"/>
        <w:spacing w:after="120" w:before="240"/>
      </w:pPr>
      <w:r>
        <w:rPr>
          <w:rFonts w:ascii="Calibri" w:cs="Calibri" w:eastAsia="Calibri" w:hAnsi="Calibri"/>
          <w:b/>
          <w:bCs/>
          <w:sz w:val="24"/>
          <w:szCs w:val="24"/>
        </w:rPr>
        <w:t xml:space="preserve">6.1 Runtime sovereignty as ex-post hold-up mitigation</w:t>
      </w:r>
    </w:p>
    <w:p>
      <w:pPr>
        <w:spacing w:after="160" w:line="276"/>
        <w:jc w:val="both"/>
      </w:pPr>
      <w:r>
        <w:rPr>
          <w:rFonts w:ascii="Calibri" w:cs="Calibri" w:eastAsia="Calibri" w:hAnsi="Calibri"/>
          <w:b w:val="false"/>
          <w:bCs w:val="false"/>
          <w:i w:val="false"/>
          <w:iCs w:val="false"/>
          <w:sz w:val="21"/>
          <w:szCs w:val="21"/>
        </w:rPr>
        <w:t xml:space="preserve">The case's runtime mechanisms map directly onto ex-post hold-up risk. Conventional connected-lock architecture centralises two things a vendor could later use opportunistically: data describing when and how a device is used, and credentials determining who may operate it. The case's design removes both from exclusive vendor possession. The broker's designed inability to read command content, and its restriction to storing only pairing rather than a transaction log, mean even continued vendor operation does not grant the vendor a rich behavioural dataset that could later be monetised. More consequentially, the owner-generated root key means the vendor is structurally unable to perform the most direct opportunism: revoking or holding hostage the customer's own access to property. This is the local-first principle (Kleppmann et al., 2019) applied where absence is a security and safety failure. The self-hosting option extends this logic to address vendor continuity risk: the capability whose absence characterises the Nest/Revolv case (Section 6.4).</w:t>
      </w:r>
    </w:p>
    <w:p>
      <w:pPr>
        <w:pStyle w:val="Heading2"/>
        <w:spacing w:after="120" w:before="240"/>
      </w:pPr>
      <w:r>
        <w:rPr>
          <w:rFonts w:ascii="Calibri" w:cs="Calibri" w:eastAsia="Calibri" w:hAnsi="Calibri"/>
          <w:b/>
          <w:bCs/>
          <w:sz w:val="24"/>
          <w:szCs w:val="24"/>
        </w:rPr>
        <w:t xml:space="preserve">6.2 Admission sovereignty as ex-ante hold-up mitigation</w:t>
      </w:r>
    </w:p>
    <w:p>
      <w:pPr>
        <w:spacing w:after="160" w:line="276"/>
        <w:jc w:val="both"/>
      </w:pPr>
      <w:r>
        <w:rPr>
          <w:rFonts w:ascii="Calibri" w:cs="Calibri" w:eastAsia="Calibri" w:hAnsi="Calibri"/>
          <w:b w:val="false"/>
          <w:bCs w:val="false"/>
          <w:i w:val="false"/>
          <w:iCs w:val="false"/>
          <w:sz w:val="21"/>
          <w:szCs w:val="21"/>
        </w:rPr>
        <w:t xml:space="preserve">Absence of consortium gatekeeping addresses the ex-ante dimension in two ways. First, the customer is not locked into a proprietary standard whose only alternative suppliers are other consortium members subject to the same governance body — the situation Matter's certification produces, and one Boudreau (2010) predicts will systematically favour incumbent Promoter-tier members. Second, because the protocol and firmware are published (MIT/GPLv3 per 5.3), a competing manufacturer can build compatible replacement hardware without the original vendor's cooperation, which is the outside option determining whether the vendor's ex-post bargaining position is genuinely constrained.</w:t>
      </w:r>
    </w:p>
    <w:p>
      <w:pPr>
        <w:spacing w:after="160" w:line="276"/>
        <w:jc w:val="both"/>
      </w:pPr>
      <w:r>
        <w:rPr>
          <w:rFonts w:ascii="Calibri" w:cs="Calibri" w:eastAsia="Calibri" w:hAnsi="Calibri"/>
          <w:b w:val="false"/>
          <w:bCs w:val="false"/>
          <w:i w:val="false"/>
          <w:iCs w:val="false"/>
          <w:sz w:val="21"/>
          <w:szCs w:val="21"/>
        </w:rPr>
        <w:t xml:space="preserve">Declining consortium admission carries an obvious objection: consumers value ecosystem interoperability with Apple, Google, Amazon, and forgoing Matter could appear to isolate the device. In this case the objection is answered architecturally. Home Assistant's HomeKit Bridge integration exposes local entities to the Apple Home app over the HomeKit Accessory Protocol under the protocol's non-commercial track — the same mechanism Homebridge uses — which requires no manufacturer certification because the vendor never implements HAP directly; Home Assistant, a separate non-commercial project the owner chooses to run, is the party making the claim on the protocol's non-commercial terms. The dependency is additive rather than structural: if the integration changes or Apple narrows the non-commercial track, the lock continues to operate exactly as before, because no part of core function passes through that path, in contrast to the Matter architecture where the same change sits directly in the commissioning path. Equivalent routes exist to Google/Amazon with more configuration. This is not equivalent to out-of-box certified interoperability — it requires the customer to run their own hub, and the vendor cannot use certification branding — but it demonstrates that admission sovereignty and ecosystem reach are not the same trade-off Table 1 might suggest.</w:t>
      </w:r>
    </w:p>
    <w:p>
      <w:pPr>
        <w:spacing w:after="160" w:line="276"/>
        <w:jc w:val="both"/>
      </w:pPr>
      <w:r>
        <w:rPr>
          <w:rFonts w:ascii="Calibri" w:cs="Calibri" w:eastAsia="Calibri" w:hAnsi="Calibri"/>
          <w:b w:val="false"/>
          <w:bCs w:val="false"/>
          <w:i w:val="false"/>
          <w:iCs w:val="false"/>
          <w:sz w:val="21"/>
          <w:szCs w:val="21"/>
        </w:rPr>
        <w:t xml:space="preserve">The steelman case for admission gatekeeping deserves a direct response: device attestation exists to prevent counterfeit hardware silently joining a network. The case's response separates two problems. Supply-chain integrity — preventing unauthorised surplus production — is addressed through per-device identity provisioning, a mechanism aimed at the manufacturer relationship, not ecosystem-admission; a cloned board fails to enrol but is not prevented from booting or being reflashed. This echoes Klein, Crawford, and Alchian's (1978) observation that the appropriate response to opportunism risk should be matched to which specific relationship the risk arises in. Leaving secure boot unconfigured on the consumer tier is itself a security trade-off: an unlocked boot is open to a motivated adversary with physical access — firmware could be replaced with a compromised build persisting across reboots while appearing normal. The framework's response is the same as applied to the defence tier — a threat-model choice rather than a universal answer — but the choice has a real cost: a buyer for whom physical-tampering resistance matters more than rebuild rights is a buyer this configuration is not designed for, and the defence-tier hardware, with secure boot enabled, exists precisely for that buyer.</w:t>
      </w:r>
    </w:p>
    <w:p>
      <w:pPr>
        <w:spacing w:after="160" w:line="276"/>
        <w:jc w:val="both"/>
      </w:pPr>
      <w:r>
        <w:rPr>
          <w:rFonts w:ascii="Calibri" w:cs="Calibri" w:eastAsia="Calibri" w:hAnsi="Calibri"/>
          <w:b w:val="false"/>
          <w:bCs w:val="false"/>
          <w:i w:val="false"/>
          <w:iCs w:val="false"/>
          <w:sz w:val="21"/>
          <w:szCs w:val="21"/>
        </w:rPr>
        <w:t xml:space="preserve">Because the anti-clone mechanism operates through cryptographic identity rather than boot restriction, its security guarantee is independently verifiable by a third party inspecting the published protocol (MIT-licensed spec), whereas the boot-restriction claim consortium certification relies on is not verifiable without trusting the certifying body's testing. The admission-sovereignty mechanism is therefore not simply cheaper than consortium certification but differently verifiable, which is the property Section 3.3 identifies as the actual determinant of a credible commitment's strength. GPLv3's anti-tivoization clause further strengthens this: the vendor cannot legally ship GPLv3 bridge firmware locked to vendor-only signing keys while withholding the ability to run a modified version.</w:t>
      </w:r>
    </w:p>
    <w:p>
      <w:pPr>
        <w:pStyle w:val="Heading2"/>
        <w:spacing w:after="120" w:before="240"/>
      </w:pPr>
      <w:r>
        <w:rPr>
          <w:rFonts w:ascii="Calibri" w:cs="Calibri" w:eastAsia="Calibri" w:hAnsi="Calibri"/>
          <w:b/>
          <w:bCs/>
          <w:sz w:val="24"/>
          <w:szCs w:val="24"/>
        </w:rPr>
        <w:t xml:space="preserve">6.3 Open-source-as-service as credible commitment device</w:t>
      </w:r>
    </w:p>
    <w:p>
      <w:pPr>
        <w:spacing w:after="160" w:line="276"/>
        <w:jc w:val="both"/>
      </w:pPr>
      <w:r>
        <w:rPr>
          <w:rFonts w:ascii="Calibri" w:cs="Calibri" w:eastAsia="Calibri" w:hAnsi="Calibri"/>
          <w:b w:val="false"/>
          <w:bCs w:val="false"/>
          <w:i w:val="false"/>
          <w:iCs w:val="false"/>
          <w:sz w:val="21"/>
          <w:szCs w:val="21"/>
        </w:rPr>
        <w:t xml:space="preserve">West and Gallagher's (2006) selling complements strategy functions simultaneously as a Williamson-style (1983) hostage mechanism. Three design elements can be read this way. Publishing server and firmware source under GPLv3 is a hostage against admission-side reversal: a vendor quietly restricting compatibility would be doing so visibly against a public reference. The owner-generated root key is a hostage against runtime-side reversal. The absence of a secure-boot restriction on the consumer tier is a hostage against the vendor's own future temptation to convert an open platform into a closed one after establishing a customer base — a temptation the open-innovation literature identifies as a standing risk, and one this design forecloses structurally rather than through a policy promise not to do so.</w:t>
      </w:r>
    </w:p>
    <w:p>
      <w:pPr>
        <w:spacing w:after="160" w:line="276"/>
        <w:jc w:val="both"/>
      </w:pPr>
      <w:r>
        <w:rPr>
          <w:rFonts w:ascii="Calibri" w:cs="Calibri" w:eastAsia="Calibri" w:hAnsi="Calibri"/>
          <w:b w:val="false"/>
          <w:bCs w:val="false"/>
          <w:i w:val="false"/>
          <w:iCs w:val="false"/>
          <w:sz w:val="21"/>
          <w:szCs w:val="21"/>
        </w:rPr>
        <w:t xml:space="preserve">This reading clarifies the inversion flagged in Section 2.4. In Williamson's (1983) original formulation, hostages are typically posted by the party with less structural power to reassure the stronger counterparty. Here, the vendor — the party who designs the product, sets the price, and controls the initial terms — posts hostages to reassure the comparatively weaker party: an individual consumer who, in a conventional connected-hardware relationship, has little recourse once the purchase is complete. Section 7 returns to this inversion as part of the theoretical contribution.</w:t>
      </w:r>
    </w:p>
    <w:p>
      <w:pPr>
        <w:spacing w:after="160" w:line="276"/>
        <w:jc w:val="both"/>
      </w:pPr>
      <w:r>
        <w:rPr>
          <w:rFonts w:ascii="Calibri" w:cs="Calibri" w:eastAsia="Calibri" w:hAnsi="Calibri"/>
          <w:b w:val="false"/>
          <w:bCs w:val="false"/>
          <w:i w:val="false"/>
          <w:iCs w:val="false"/>
          <w:sz w:val="21"/>
          <w:szCs w:val="21"/>
        </w:rPr>
        <w:t xml:space="preserve">The revenue implication, consistent with Proposition 2, is that the design forfeits both admission-fee and runtime-data-lock-in revenue and relies instead on a competitive support market. This is a genuine commercial trade-off: a customer dissatisfied with support pricing can self-host or hire a third party, which caps achievable support margin at whatever the competitive market bears, rather than what a locked-in base would tolerate.</w:t>
      </w:r>
    </w:p>
    <w:p>
      <w:pPr>
        <w:pStyle w:val="Heading2"/>
        <w:spacing w:after="120" w:before="240"/>
      </w:pPr>
      <w:r>
        <w:rPr>
          <w:rFonts w:ascii="Calibri" w:cs="Calibri" w:eastAsia="Calibri" w:hAnsi="Calibri"/>
          <w:b/>
          <w:bCs/>
          <w:sz w:val="24"/>
          <w:szCs w:val="24"/>
        </w:rPr>
        <w:t xml:space="preserve">6.4 Comparative evidence: documented hold-up failures</w:t>
      </w:r>
    </w:p>
    <w:p>
      <w:pPr>
        <w:spacing w:after="160" w:line="276"/>
        <w:jc w:val="both"/>
      </w:pPr>
      <w:r>
        <w:rPr>
          <w:rFonts w:ascii="Calibri" w:cs="Calibri" w:eastAsia="Calibri" w:hAnsi="Calibri"/>
          <w:b w:val="false"/>
          <w:bCs w:val="false"/>
          <w:i w:val="false"/>
          <w:iCs w:val="false"/>
          <w:sz w:val="21"/>
          <w:szCs w:val="21"/>
        </w:rPr>
        <w:t xml:space="preserve">Three documented cases illustrate the mechanism the framework is designed to prevent.</w:t>
      </w:r>
    </w:p>
    <w:p>
      <w:pPr>
        <w:spacing w:after="160" w:line="276"/>
        <w:jc w:val="both"/>
      </w:pPr>
      <w:r>
        <w:rPr>
          <w:rFonts w:ascii="Calibri" w:cs="Calibri" w:eastAsia="Calibri" w:hAnsi="Calibri"/>
          <w:b w:val="false"/>
          <w:bCs w:val="false"/>
          <w:i w:val="false"/>
          <w:iCs w:val="false"/>
          <w:sz w:val="21"/>
          <w:szCs w:val="21"/>
        </w:rPr>
        <w:t xml:space="preserve">Nest/Revolv. Google's Nest acquired smart-home hub maker Revolv in 2014; in February 2016 it announced that as of 15 May 2016 previously sold Revolv hubs — marketed with a “free lifetime service subscription” — would cease to function (FTC, 2016). The FTC opened an investigation, concluding staff were concerned reasonable consumers would not have expected the hubs to become unusable, and that unilaterally rendering them inoperable risked causing substantial, unavoidable consumer injury; the matter was closed after Nest offered full refunds (FTC, 2016). In terms of Section 3.3, this is a clean instance of runtime sovereignty's complete absence: entire value contingent on a single vendor-controlled server whose continued operation was promised only as a policy commitment — “lifetime subscription” — with no architectural hostage backing the promise.</w:t>
      </w:r>
    </w:p>
    <w:p>
      <w:pPr>
        <w:spacing w:after="160" w:line="276"/>
        <w:jc w:val="both"/>
      </w:pPr>
      <w:r>
        <w:rPr>
          <w:rFonts w:ascii="Calibri" w:cs="Calibri" w:eastAsia="Calibri" w:hAnsi="Calibri"/>
          <w:b w:val="false"/>
          <w:bCs w:val="false"/>
          <w:i w:val="false"/>
          <w:iCs w:val="false"/>
          <w:sz w:val="21"/>
          <w:szCs w:val="21"/>
        </w:rPr>
        <w:t xml:space="preserve">LockState/RemoteLock. In August 2017, an over-the-air firmware update pushed by LockState to the RemoteLock 6i model — sold predominantly to Airbnb hosts — contained a defect permanently disabling the smart-code access function on at least 500 units, with roughly 200 host businesses directly affected; recovery required units to be physically returned for reflashing, taking 5–7 days, because the defect could not be corrected remotely once the affected units lost server connectivity (Cimpanu, 2017). Physical keys continued to work throughout. This is a more nuanced instance: a runtime fallback existed at the mechanical layer while the smart functionality that constituted the actual value proposition remained entirely hostage to the vendor's server infrastructure and firmware-push pipeline, with no local alternative to restore functionality independently.</w:t>
      </w:r>
    </w:p>
    <w:p>
      <w:pPr>
        <w:spacing w:after="160" w:line="276"/>
        <w:jc w:val="both"/>
      </w:pPr>
      <w:r>
        <w:rPr>
          <w:rFonts w:ascii="Calibri" w:cs="Calibri" w:eastAsia="Calibri" w:hAnsi="Calibri"/>
          <w:b w:val="false"/>
          <w:bCs w:val="false"/>
          <w:i w:val="false"/>
          <w:iCs w:val="false"/>
          <w:sz w:val="21"/>
          <w:szCs w:val="21"/>
        </w:rPr>
        <w:t xml:space="preserve">Ring/Amazon. In May 2023, the FTC announced a settlement following findings that Ring employees and third-party contractors had, for a period, unrestricted technical ability to access and download customer video — including footage from cameras installed in bedrooms and bathrooms — and that video was additionally used to train algorithms without consent; the settlement required Ring to pay USD 5.8M in refunds (FTC, 2023). This illustrates the distinction between policy-level and architecture-level runtime commitment sharply: the failure was not the absence of a stated privacy commitment, but the presence of a technical capability — employee access to unencrypted video — that made the outcome possible regardless of policy. “We do not view your footage” is not a hostage if the vendor retains the technical capacity to view it; only an architecture where the vendor never holds the decryption key functions as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Case</w:t>
            </w:r>
          </w:p>
        </w:tc>
        <w:tc>
          <w:tcPr>
            <w:tcW w:type="dxa" w:w="18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Axis</w:t>
            </w:r>
          </w:p>
        </w:tc>
        <w:tc>
          <w:tcPr>
            <w:tcW w:type="dxa" w:w="495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8"/>
                <w:szCs w:val="18"/>
              </w:rPr>
              <w:t xml:space="preserve">Mechanism Absent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Nest / Revolv</w:t>
            </w:r>
          </w:p>
        </w:tc>
        <w:tc>
          <w:tcPr>
            <w:tcW w:type="dxa" w:w="18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Runtime</w:t>
            </w:r>
          </w:p>
        </w:tc>
        <w:tc>
          <w:tcPr>
            <w:tcW w:type="dxa" w:w="49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Policy-level lifetime promise; no architectural hostage or self-hosting fallback</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LockState / RemoteLock</w:t>
            </w:r>
          </w:p>
        </w:tc>
        <w:tc>
          <w:tcPr>
            <w:tcW w:type="dxa" w:w="18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Runtime (partial)</w:t>
            </w:r>
          </w:p>
        </w:tc>
        <w:tc>
          <w:tcPr>
            <w:tcW w:type="dxa" w:w="49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Mechanical fallback existed; smart functionality remained server-dependent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Ring / Amazon</w:t>
            </w:r>
          </w:p>
        </w:tc>
        <w:tc>
          <w:tcPr>
            <w:tcW w:type="dxa" w:w="180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Runtime</w:t>
            </w:r>
          </w:p>
        </w:tc>
        <w:tc>
          <w:tcPr>
            <w:tcW w:type="dxa" w:w="4950"/>
            <w:tcMar>
              <w:top w:type="dxa" w:w="80"/>
              <w:left w:type="dxa" w:w="100"/>
              <w:bottom w:type="dxa" w:w="80"/>
              <w:right w:type="dxa" w:w="100"/>
            </w:tcMar>
            <w:vAlign w:val="center"/>
          </w:tcPr>
          <w:p>
            <w:r>
              <w:rPr>
                <w:rFonts w:ascii="Calibri" w:cs="Calibri" w:eastAsia="Calibri" w:hAnsi="Calibri"/>
                <w:b w:val="false"/>
                <w:bCs w:val="false"/>
                <w:i w:val="false"/>
                <w:iCs w:val="false"/>
                <w:sz w:val="18"/>
                <w:szCs w:val="18"/>
              </w:rPr>
              <w:t xml:space="preserve">Policy-level privacy commitment undermined by retained technical access capability</w:t>
            </w:r>
          </w:p>
        </w:tc>
      </w:tr>
    </w:tbl>
    <w:p>
      <w:pPr>
        <w:spacing w:after="240" w:before="80"/>
        <w:jc w:val="left"/>
      </w:pPr>
      <w:r>
        <w:rPr>
          <w:rFonts w:ascii="Calibri" w:cs="Calibri" w:eastAsia="Calibri" w:hAnsi="Calibri"/>
          <w:i/>
          <w:iCs/>
          <w:sz w:val="19"/>
          <w:szCs w:val="19"/>
        </w:rPr>
        <w:t xml:space="preserve">Table 2. Documented hold-up failures mapped to the framework.</w:t>
      </w:r>
    </w:p>
    <w:p>
      <w:pPr>
        <w:spacing w:after="160" w:line="276"/>
        <w:jc w:val="both"/>
      </w:pPr>
      <w:r>
        <w:rPr>
          <w:rFonts w:ascii="Calibri" w:cs="Calibri" w:eastAsia="Calibri" w:hAnsi="Calibri"/>
          <w:b w:val="false"/>
          <w:bCs w:val="false"/>
          <w:i w:val="false"/>
          <w:iCs w:val="false"/>
          <w:sz w:val="21"/>
          <w:szCs w:val="21"/>
        </w:rPr>
        <w:t xml:space="preserve">Read together, the three cases share a structure the framework predicts: in each, the vendor's stated intentions at the time of sale were not obviously dishonest, and harm materialised later, once the customer's investment was sunk and the vendor's retained technical capability made a different course available, or made an unintended failure unrecoverable without vendor cooperation. None involved the runtime-sovereignty mechanism described in 6.1 that would have given affected customers an independent path back to functionality.</w:t>
      </w:r>
    </w:p>
    <w:p>
      <w:pPr>
        <w:spacing w:after="160" w:line="276"/>
        <w:jc w:val="both"/>
      </w:pPr>
      <w:r>
        <w:rPr>
          <w:rFonts w:ascii="Calibri" w:cs="Calibri" w:eastAsia="Calibri" w:hAnsi="Calibri"/>
          <w:b w:val="false"/>
          <w:bCs w:val="false"/>
          <w:i w:val="false"/>
          <w:iCs w:val="false"/>
          <w:sz w:val="21"/>
          <w:szCs w:val="21"/>
        </w:rPr>
        <w:t xml:space="preserve">Two scope limits are worth naming. First, all three cases are runtime-sovereignty failures; none illustrates an admission-sovereignty failure where consortium gatekeeping itself produced harm. The paper is not aware of a comparably documented case fitting that description, which may reflect that admission-side harms are less visible to press and regulators than an abrupt loss of function, rather than that they do not occur; the comparative evidence should be read as evidence for the runtime axis specifically, not for admission-side claims, which rest on the cost and governance structure described in Section 2.3 rather than a documented failure case. Second, Ring's violation is a privacy and access-control breach rather than hold-up in the stricter sense — no price was renegotiated and no functionality was withdrawn — and is included specifically for what it demonstrates about the gap between policy-level and architecture-level commitment, not as a third instance of the same opportunism pattern.</w:t>
      </w:r>
    </w:p>
    <w:p>
      <w:pPr>
        <w:pStyle w:val="Heading1"/>
        <w:spacing w:after="160" w:before="320"/>
      </w:pPr>
      <w:r>
        <w:rPr>
          <w:rFonts w:ascii="Calibri" w:cs="Calibri" w:eastAsia="Calibri" w:hAnsi="Calibri"/>
          <w:b/>
          <w:bCs/>
          <w:sz w:val="28"/>
          <w:szCs w:val="28"/>
        </w:rPr>
        <w:t xml:space="preserve">7. Discussion</w:t>
      </w:r>
    </w:p>
    <w:p>
      <w:pPr>
        <w:spacing w:after="160" w:line="276"/>
        <w:jc w:val="both"/>
      </w:pPr>
      <w:r>
        <w:rPr>
          <w:rFonts w:ascii="Calibri" w:cs="Calibri" w:eastAsia="Calibri" w:hAnsi="Calibri"/>
          <w:b w:val="false"/>
          <w:bCs w:val="false"/>
          <w:i w:val="false"/>
          <w:iCs w:val="false"/>
          <w:sz w:val="21"/>
          <w:szCs w:val="21"/>
        </w:rPr>
        <w:t xml:space="preserve">Theoretical contribution. Extending hold-up theory from interfirm to firm-consumer relationships requires precision. Classical theory's bar for asset specificity is strict, and a homeowner's smart-lock skills transfer reasonably well to a different vendor's product — a more general asset than Klein, Crawford, and Alchian's stamping die. What is genuinely transaction-specific is narrower: installed hardware and credentials and automations built around one device, which together constitute an appropriable quasi-rent operationalisable as physical replacement cost plus reconfiguration cost. Broader behavioural investment is better read as a switching cost compounding that narrower quasi-rent than as strict asset specificity, and the paper keeps the distinction explicit. The more consequential departure is the direction of hostage-posting (Section 6.3): here the structurally stronger party posts the hostage, because the ordinary consumer has none of the contracting or litigation options available to the hold-up-exposed firm in the original account, which makes architectural hostages — mechanisms removing capability rather than merely constraining use — comparatively more important in this setting than in the interfirm settings the theory was built to explain. Whether the direction generalises to other consumer markets with severe post-purchase dependency — connected medical devices, financial-account software — is a question for future comparative work.</w:t>
      </w:r>
    </w:p>
    <w:p>
      <w:pPr>
        <w:spacing w:after="160" w:line="276"/>
        <w:jc w:val="both"/>
      </w:pPr>
      <w:r>
        <w:rPr>
          <w:rFonts w:ascii="Calibri" w:cs="Calibri" w:eastAsia="Calibri" w:hAnsi="Calibri"/>
          <w:b w:val="false"/>
          <w:bCs w:val="false"/>
          <w:i w:val="false"/>
          <w:iCs w:val="false"/>
          <w:sz w:val="21"/>
          <w:szCs w:val="21"/>
        </w:rPr>
        <w:t xml:space="preserve">Managerial and boundary implications. Proposition 2's revenue relocation is a real margin constraint, not a costless stance: a dissatisfied customer's ability to self-host caps achievable support pricing at whatever the competitive market bears. The trade-off is more likely commercially defensible where three conditions hold together: vendor failure has severe consequences, buyers are sophisticated enough to evaluate architectural rather than marketing claims, and the support relationship is ongoing enough to sustain a service business rather than a single transaction. Access-control hardware, sold in part to institutional and professional buyers, plausibly satisfies all three; commodity, low-consequence IoT categories — decorative lighting, simple sensors — plausibly satisfy none, which bounds the framework's commercial, though not descriptive, applicability. The license choice in 5.3 is part of this commercial calculus: GPLv3 strengthens credibility (a strong hostage) but may deter integrators who fear copyleft obligations; MIT maximizes adoption but weakens the hostage. The differentiated MIT-for-spec/SDK plus GPLv3-for-server/bridge split is an explicit attempt to balance P3's credibility requirement against P2's margin constraint.</w:t>
      </w:r>
    </w:p>
    <w:p>
      <w:pPr>
        <w:spacing w:after="160" w:line="276"/>
        <w:jc w:val="both"/>
      </w:pPr>
      <w:r>
        <w:rPr>
          <w:rFonts w:ascii="Calibri" w:cs="Calibri" w:eastAsia="Calibri" w:hAnsi="Calibri"/>
          <w:b w:val="false"/>
          <w:bCs w:val="false"/>
          <w:i w:val="false"/>
          <w:iCs w:val="false"/>
          <w:sz w:val="21"/>
          <w:szCs w:val="21"/>
        </w:rPr>
        <w:t xml:space="preserve">Broader significance. The governance question is not confined to smart locks, and its resolution matters beyond a single firm's commercial prospects. The introduction posed a specific claim to be earned: a device can operate locally, encrypted, and always available, the way a governed platform standard's architecture provides, while additionally keeping the owner's data in the owner's own hands — never transmitted to, or held by, a party the owner did not choose and cannot verify — without requiring trust in a vendor's cloud or payment to a consortium gatekeeper. The analysis in Section 6 supports that claim at the level of design: the case's runtime mechanisms reproduce the local-first functional guarantees Matter offers, while going further on the data-sovereignty dimension, since the Matter architecture does not itself require that a device's data never pass through a vendor-controlled service; the case's admission mechanisms separately remove the certification economics converting market entry into a five-figure annual cost governed by incumbent competitors. If this position is commercially sustainable — an open empirical question Section 8 identifies — it represents a genuine alternative trend in connected-hardware governance: data sovereignty and owner control delivered as an architectural property rather than a policy promise, at a cost structure not dependent on consortium permission.</w:t>
      </w:r>
    </w:p>
    <w:p>
      <w:pPr>
        <w:pStyle w:val="Heading2"/>
        <w:spacing w:after="120" w:before="240"/>
      </w:pPr>
      <w:r>
        <w:rPr>
          <w:rFonts w:ascii="Calibri" w:cs="Calibri" w:eastAsia="Calibri" w:hAnsi="Calibri"/>
          <w:b/>
          <w:bCs/>
          <w:sz w:val="24"/>
          <w:szCs w:val="24"/>
        </w:rPr>
        <w:t xml:space="preserve">7.1 Policy implications — EU Cyber Resilience Act Alignment (introduced in v4.2; refined in v4.3)</w:t>
      </w:r>
    </w:p>
    <w:p>
      <w:pPr>
        <w:spacing w:after="160" w:line="276"/>
        <w:jc w:val="both"/>
      </w:pPr>
      <w:r>
        <w:rPr>
          <w:rFonts w:ascii="Calibri" w:cs="Calibri" w:eastAsia="Calibri" w:hAnsi="Calibri"/>
          <w:b w:val="false"/>
          <w:bCs w:val="false"/>
          <w:i w:val="false"/>
          <w:iCs w:val="false"/>
          <w:sz w:val="21"/>
          <w:szCs w:val="21"/>
        </w:rPr>
        <w:t xml:space="preserve">Right-to-repair regulation (Svensson-Höglund et al., 2021) addresses hold-up's physical-repairability dimension but says little about whether a functioning device's software-mediated capability can be withdrawn by a vendor with exclusive control of the service it depends on. The EU Cyber Resilience Act (CRA) directly addresses this gap and strengthens this paper's policy contribution.</w:t>
      </w:r>
    </w:p>
    <w:p>
      <w:pPr>
        <w:spacing w:after="160" w:line="276"/>
        <w:jc w:val="both"/>
      </w:pPr>
      <w:r>
        <w:rPr>
          <w:rFonts w:ascii="Calibri" w:cs="Calibri" w:eastAsia="Calibri" w:hAnsi="Calibri"/>
          <w:b w:val="false"/>
          <w:bCs w:val="false"/>
          <w:i w:val="false"/>
          <w:iCs w:val="false"/>
          <w:sz w:val="21"/>
          <w:szCs w:val="21"/>
        </w:rPr>
        <w:t xml:space="preserve">The CRA came into force on 10 December 2024 as Regulation (EU) 2024/2847, with main obligations applying from 11 December 2027 after a transition period. It is a horizontal regulation requiring manufacturers to incorporate cybersecurity measures into product design and maintenance, to document what is inside their products, to manage vulnerabilities throughout the product lifecycle, and to provide security updates. For this framework, three CRA provisions are directly relevant, and each is stated below with the correction or sharpening this revision makes explicit.</w:t>
      </w:r>
    </w:p>
    <w:p>
      <w:pPr>
        <w:spacing w:after="160" w:line="276"/>
        <w:jc w:val="both"/>
      </w:pPr>
      <w:r>
        <w:rPr>
          <w:rFonts w:ascii="Calibri" w:cs="Calibri" w:eastAsia="Calibri" w:hAnsi="Calibri"/>
          <w:b w:val="false"/>
          <w:bCs w:val="false"/>
          <w:i w:val="false"/>
          <w:iCs w:val="false"/>
          <w:sz w:val="21"/>
          <w:szCs w:val="21"/>
        </w:rPr>
        <w:t xml:space="preserve">(1) Data minimisation, transparency, and attack-surface reduction. The Regulation's essential requirements direct manufacturers to design products that expose no more attack surface than necessary and to limit data collection — including usage and diagnostic data — to what is adequate, relevant, and necessary for the product's intended purpose. This paper's runtime architecture speaks to both halves of that requirement, not only the transparency half emphasised in v4.2. The broker's designed inability to decrypt command content, and its restriction to storing only the pairing relationship rather than a transaction log, mean the aggregation point a compromised or subpoenaed server would otherwise represent simply does not exist: there is no accumulated behavioural dataset to expose, because none is collected. This is the data-minimisation requirement satisfied at the architecture layer rather than the policy layer — the same distinction Section 6.4's Ring case turns on. Where Ring's “we do not view your footage” was a policy commitment sitting on top of retained technical access, the zero-knowledge broker removes the access capability itself, which is what a data-minimisation requirement grounded in attack-surface reduction, rather than in stated intent, actually asks for. Zero-knowledge broker design with an owner-held root key is evidence of this kind of compliance.</w:t>
      </w:r>
    </w:p>
    <w:p>
      <w:pPr>
        <w:spacing w:after="160" w:line="276"/>
        <w:jc w:val="both"/>
      </w:pPr>
      <w:r>
        <w:rPr>
          <w:rFonts w:ascii="Calibri" w:cs="Calibri" w:eastAsia="Calibri" w:hAnsi="Calibri"/>
          <w:b w:val="false"/>
          <w:bCs w:val="false"/>
          <w:i w:val="false"/>
          <w:iCs w:val="false"/>
          <w:sz w:val="21"/>
          <w:szCs w:val="21"/>
        </w:rPr>
        <w:t xml:space="preserve">(2) Continuity and local-control requirement. CRA recitals emphasise that products with digital elements must remain operable and securely maintainable even if manufacturer support changes; current industry guidance interpreting these recitals treats “remains operable” as a design standard the product must satisfy, not a promise that vendor infrastructure will remain available indefinitely — a product need not survive vendor withdrawal by luck; it must be designed to. This paper states explicitly, rather than leaving implicit, which mechanisms are doing this work: the self-host option is the direct route through which the case satisfies this requirement, because the bridge can be repointed at any compatible broker — including a self-hosted one — via a configuration value, which means an owner is not dependent on the original vendor's continued solvency, and neither is a hobbyist or integrator maintaining the device after the vendor exits the market. Local offline verification, where the lock checks signed tokens against a stored public key without reaching any server, supplies the same guarantee for the core unlock function specifically. Read together, these two mechanisms convert “the product should not become unusable if the manufacturer stops providing updates or support” from a recital-level aspiration into a testable design property: does the device continue to perform its core function, verifiably, when the vendor's servers are switched off entirely? For this case the answer is yes for local unlock and self-hosted broker use; the current gap, noted throughout this paper, is the plaintext credential fallback still present on the server pending the E2E implementation recorded in Appendix A. A product that bricks outright when the vendor's server disappears, as in Nest/Revolv, would fail this continuity standard as currently interpreted.</w:t>
      </w:r>
    </w:p>
    <w:p>
      <w:pPr>
        <w:spacing w:after="160" w:line="276"/>
        <w:jc w:val="both"/>
      </w:pPr>
      <w:r>
        <w:rPr>
          <w:rFonts w:ascii="Calibri" w:cs="Calibri" w:eastAsia="Calibri" w:hAnsi="Calibri"/>
          <w:b w:val="false"/>
          <w:bCs w:val="false"/>
          <w:i w:val="false"/>
          <w:iCs w:val="false"/>
          <w:sz w:val="21"/>
          <w:szCs w:val="21"/>
        </w:rPr>
        <w:t xml:space="preserve">(3) Admission barrier and SME competitiveness — corrected in v4.3. Annex III of the Regulation lists smart home products with security functionalities — explicitly including smart door locks — as “important products with digital elements.” Verification against the Annex III text and current legal commentary (European Commission, n.d.; Pillsbury Winthrop Shaw Pittman LLP, 2025) places this product category in Class I of that tier rather than the higher-risk Class II tier, which covers products such as firewalls, intrusion-detection systems, hypervisors, and tamper-resistant microprocessors. This distinction matters for the strength of the claim v4.2 made: Class II products face a mandatory third-party conformity assessment route regardless of the manufacturer's licensing choices, whereas Class I products may in principle use a self-assessment route — CE-marking without a notified body — provided the manufacturer fully applies the relevant harmonised standards, common specifications, or an EU cybersecurity certification scheme covering the applicable essential requirements. Where such standards are not yet finalised or not fully applied — a live risk during the Regulation's transition period — a notified body's involvement can still be required even for a Class I product. The earlier framing in this section overstated what open licensing achieves: publishing the protocol and reference implementation under MIT/GPLv3 does not exempt this product from the CRA's conformity-assessment gate, and does not by itself convert a self-assessment obligation into a certainty. What it does do is lower the cost of the underlying compliance work — a public, auditable reference implementation and a software bill of materials reduce the documentation and audit-preparation burden that any conformity route, self-assessed or third-party, requires; a small manufacturer building against a published, already-scrutinised protocol starts from a materially smaller gap than one building a proprietary stack from scratch. The revised claim is narrower than the original: the open license architecture reduces the cost of reaching whichever conformity route applies to this product category; it does not eliminate the gate itself, and the two should not be conflated.</w:t>
      </w:r>
    </w:p>
    <w:p>
      <w:pPr>
        <w:spacing w:after="160" w:line="276"/>
        <w:jc w:val="both"/>
      </w:pPr>
      <w:r>
        <w:rPr>
          <w:rFonts w:ascii="Calibri" w:cs="Calibri" w:eastAsia="Calibri" w:hAnsi="Calibri"/>
          <w:b w:val="false"/>
          <w:bCs w:val="false"/>
          <w:i w:val="false"/>
          <w:iCs w:val="false"/>
          <w:sz w:val="21"/>
          <w:szCs w:val="21"/>
        </w:rPr>
        <w:t xml:space="preserve">In short, the CRA converts what this paper frames as competitive differentiation (data sovereignty as monetisable value) into an emerging regulatory requirement, subject to the correction above about which conformity route actually applies. The framework's two axes give policymakers vocabulary: right-to-repair covers the physical dimension, the CRA covers runtime security, transparency, and (for this product class) a Class I conformity route, but neither explicitly addresses the admission dimension — who decides which manufacturers may compete. Pairing repairability mandates with data-portability/local-control requirements (runtime) and recognition of open, verifiable implementations as compliance-preparation evidence, rather than as a substitute for conformity assessment itself (admission), would extend the existing logic to both axes this paper makes explicit. Funding and procurement environments that treat consortium-gated interoperability as the only credible path to platform-grade security overlook the architectural alternative described here, even where — as the correction above shows — that alternative still has to clear the same regulatory gate as everyone else.</w:t>
      </w:r>
    </w:p>
    <w:p>
      <w:pPr>
        <w:spacing w:after="160" w:line="276"/>
        <w:jc w:val="both"/>
      </w:pPr>
      <w:r>
        <w:rPr>
          <w:rFonts w:ascii="Calibri" w:cs="Calibri" w:eastAsia="Calibri" w:hAnsi="Calibri"/>
          <w:b w:val="false"/>
          <w:bCs w:val="false"/>
          <w:i w:val="false"/>
          <w:iCs w:val="false"/>
          <w:sz w:val="21"/>
          <w:szCs w:val="21"/>
        </w:rPr>
        <w:t xml:space="preserve">Generalisability. The framework's commercial boundary conditions are sharper once two distinct failure modes are named, rather than treated as a single undifferentiated caveat. The first, present in earlier versions of this paper, is that stakes can simply be too low: commodity, low-consequence IoT categories — decorative lighting, simple sensors — plausibly lack buyers sophisticated enough to price an architectural trust commitment into a purchase decision, which removes the commercial basis for Proposition 2's revenue relocation even where the governance logic still describes the market accurately. The second, made explicit in this revision, is that a market can be too thoroughly captured on the admission axis for the open-open quadrant to be commercially reachable at all, independent of stakes.</w:t>
      </w:r>
    </w:p>
    <w:p>
      <w:pPr>
        <w:spacing w:after="160" w:line="276"/>
        <w:jc w:val="both"/>
      </w:pPr>
      <w:r>
        <w:rPr>
          <w:rFonts w:ascii="Calibri" w:cs="Calibri" w:eastAsia="Calibri" w:hAnsi="Calibri"/>
          <w:b w:val="false"/>
          <w:bCs w:val="false"/>
          <w:i w:val="false"/>
          <w:iCs w:val="false"/>
          <w:sz w:val="21"/>
          <w:szCs w:val="21"/>
        </w:rPr>
        <w:t xml:space="preserve">Mining and medical devices are instructive here precisely because they show what full closed-admission capture looks like, and why the open-open quadrant is not merely unattractive in such markets but functionally foreclosed. In both sectors, incumbent suppliers occupy a position functionally equivalent to the consortium gatekeeper described in Section 3, but without a consortium's formal, at-least-nominally-contestable governance structure: qualification as an approved or preferred supplier is itself the market-entry gate, and that gate is guarded through closed-loop sourcing — hospital group-purchasing arrangements and long-standing OEM relationships in medical devices, and safety-case accreditation tied to a specific incumbent's equipment history in mining — that a new entrant cannot satisfy merely by publishing a better protocol. Conservative safety regulation, which exists for good reason in both sectors, is simultaneously the mechanism incumbents rely on to hold that gate: approval pathways calibrated to an incumbent's existing track record function as an artificial barrier to entry that a technically superior but unproven open architecture cannot cross on technical merit alone, however strong its Williamson-hostage properties are on paper. This is regulatory capture in the classical sense, and it means admission sovereignty in these sectors is not primarily a licensing or protocol-openness problem the way it is for smart locks — it is a procurement-and-accreditation-politics problem this paper's framework does not, by itself, solve.</w:t>
      </w:r>
    </w:p>
    <w:p>
      <w:pPr>
        <w:spacing w:after="160" w:line="276"/>
        <w:jc w:val="both"/>
      </w:pPr>
      <w:r>
        <w:rPr>
          <w:rFonts w:ascii="Calibri" w:cs="Calibri" w:eastAsia="Calibri" w:hAnsi="Calibri"/>
          <w:b w:val="false"/>
          <w:bCs w:val="false"/>
          <w:i w:val="false"/>
          <w:iCs w:val="false"/>
          <w:sz w:val="21"/>
          <w:szCs w:val="21"/>
        </w:rPr>
        <w:t xml:space="preserve">The smart-lock market occupies a materially different position, which is what makes it a useful test case for the framework rather than an idiosyncratic one. It shares the high-stakes property that makes governance failures costly — Section 1's observation that a lock, unlike a smart speaker, mediates physical access and safety rather than mere convenience — but it has not hardened into a closed-loop procurement ecosystem the way mining and medical equipment have. There is no dominant group-purchasing structure, no small set of accredited-only suppliers, and no safety-case regime that ties certification to a specific incumbent's history rather than to a product's demonstrated properties. In the vocabulary developed here, smart locks are high-consequence but not closed-admission-captured, which is precisely the combination the open-open quadrant needs in order to be commercially testable: severe enough consequences that a credible, structural commitment device has monetisable value (this section's managerial discussion), but not so thoroughly captured that admission sovereignty is foreclosed by procurement politics before the architecture argument can be evaluated on its own merits. This is the paper's Goldilocks framing: the category is a deliberate middle case, chosen because it is where the open-open proposition is genuinely testable rather than trivially true (low stakes, any governance model will do) or trivially foreclosed (high stakes captured by an accreditation moat no architecture can cross).</w:t>
      </w:r>
    </w:p>
    <w:p>
      <w:pPr>
        <w:spacing w:after="160" w:line="276"/>
        <w:jc w:val="both"/>
      </w:pPr>
      <w:r>
        <w:rPr>
          <w:rFonts w:ascii="Calibri" w:cs="Calibri" w:eastAsia="Calibri" w:hAnsi="Calibri"/>
          <w:b w:val="false"/>
          <w:bCs w:val="false"/>
          <w:i w:val="false"/>
          <w:iCs w:val="false"/>
          <w:sz w:val="21"/>
          <w:szCs w:val="21"/>
        </w:rPr>
        <w:t xml:space="preserve">This sharpens, rather than narrows, the earlier generalisability claim. Categories that resemble smart locks in this specific respect — real safety or access consequences, but a market structure not yet locked behind incumbent-calibrated accreditation — are the ones to which the framework should be expected to travel with least modification: connected consumer medical devices sold direct-to-consumer rather than through hospital procurement, and industrial or agricultural equipment sold in structurally competitive rather than safety-case-gated segments, are more plausible near-term candidates than mining plant or hospital-procured medical devices as those categories are currently governed. Extending the framework into fully captured categories is a different and harder project: it would need to explain not just how a firm posts credible admission- and runtime-sovereignty hostages, but how it does so in a market where the accreditation gate itself, rather than the vendor's own architecture, stands between the firm and the customer — a question this paper's single-case, pre-market design is not positioned to answer, and one this paper treats as an explicit scope limit rather than an oversight. This is a boundary condition on commercial viability, not on descriptive power: the two-axis distinction characterises any connected-hardware governance structure regardless of whether occupying the doubly open quadrant happens to be reachable within it, which keeps the framework useful as an evaluative tool for policy and procurement audiences even in categories — mining and medical devices included — where the specific business-model argument developed here would not, on its own, apply.</w:t>
      </w:r>
    </w:p>
    <w:p>
      <w:pPr>
        <w:pStyle w:val="Heading1"/>
        <w:spacing w:after="160" w:before="320"/>
      </w:pPr>
      <w:r>
        <w:rPr>
          <w:rFonts w:ascii="Calibri" w:cs="Calibri" w:eastAsia="Calibri" w:hAnsi="Calibri"/>
          <w:b/>
          <w:bCs/>
          <w:sz w:val="28"/>
          <w:szCs w:val="28"/>
        </w:rPr>
        <w:t xml:space="preserve">8. Limitations and Future Research</w:t>
      </w:r>
    </w:p>
    <w:p>
      <w:pPr>
        <w:spacing w:after="160" w:line="276"/>
        <w:jc w:val="both"/>
      </w:pPr>
      <w:r>
        <w:rPr>
          <w:rFonts w:ascii="Calibri" w:cs="Calibri" w:eastAsia="Calibri" w:hAnsi="Calibri"/>
          <w:b w:val="false"/>
          <w:bCs w:val="false"/>
          <w:i w:val="false"/>
          <w:iCs w:val="false"/>
          <w:sz w:val="21"/>
          <w:szCs w:val="21"/>
        </w:rPr>
        <w:t xml:space="preserve">The analysis rests on a single, pre-revenue, pre-launch case, and this is worth engaging on its own methodological terms rather than only noted and set aside as a weakness. Two readings of pre-market status are available. The first treats it as a straightforward evidentiary gap: claims about a product not yet sold cannot be checked against market outcomes, full stop. The second, adopted explicitly from this revision onward, reads the case through a Design Science research paradigm (Hevner et al., 2004), building on the revelatory-case framing already invoked in Section 4: the venture is not an unfinished example of an existing category but an artefact constructed specifically to instantiate and test the two-axis framework's propositions, and the paper's proper object of study is the design reasoning captured in that construction, not — yet — its market reception. Read this way, the burden the venture has taken on — building hardware, firmware, server, mobile application, and the beginnings of a self-hosting and integrator community as a single small team, rather than licensing an existing stack and modifying it — is not incidental difficulty to be apologised for; it is the condition under which the case can exist as a revelatory instance of the open-open quadrant at all, since no full-stack open implementation of this kind was available to study by observing an established incumbent instead.</w:t>
      </w:r>
    </w:p>
    <w:p>
      <w:pPr>
        <w:spacing w:after="160" w:line="276"/>
        <w:jc w:val="both"/>
      </w:pPr>
      <w:r>
        <w:rPr>
          <w:rFonts w:ascii="Calibri" w:cs="Calibri" w:eastAsia="Calibri" w:hAnsi="Calibri"/>
          <w:b w:val="false"/>
          <w:bCs w:val="false"/>
          <w:i w:val="false"/>
          <w:iCs w:val="false"/>
          <w:sz w:val="21"/>
          <w:szCs w:val="21"/>
        </w:rPr>
        <w:t xml:space="preserve">This reframing carries a specific methodological payoff rather than being merely rhetorical. Most academic studies of platform governance necessarily observe companies that have already survived market entry, which introduces a survival bias this paper's design avoids: an established platform's publicly observable architecture reflects a history of adjustments, some of which may have quietly reintroduced closed-admission or closed-runtime mechanisms an early design explicitly rejected, without that reversal being visible to a researcher working only from the outside. Studying the venture pre-launch, with design reasoning and implementation status dated and disclosed contemporaneously (Section 4; Appendix A), captures original intent before any such drift could occur and before commercial pressure has had the opportunity to test it — a vantage point largely closed to research conducted on already-established platforms. The trade-off, acknowledged squarely rather than absorbed into the reframing, is that this vantage point cannot yet speak to whether the design survives contact with the market; that limitation is separate from the pre-market-status question and is addressed directly below.</w:t>
      </w:r>
    </w:p>
    <w:p>
      <w:pPr>
        <w:spacing w:after="160" w:line="276"/>
        <w:jc w:val="both"/>
      </w:pPr>
      <w:r>
        <w:rPr>
          <w:rFonts w:ascii="Calibri" w:cs="Calibri" w:eastAsia="Calibri" w:hAnsi="Calibri"/>
          <w:b w:val="false"/>
          <w:bCs w:val="false"/>
          <w:i w:val="false"/>
          <w:iCs w:val="false"/>
          <w:sz w:val="21"/>
          <w:szCs w:val="21"/>
        </w:rPr>
        <w:t xml:space="preserve">Most mechanisms in Section 5 are specified rather than field-validated, and the paper's claims are scoped to design intent and consistency with the framework, not to realised outcomes. The author's positionality as the case firm's principal (Section 4) means findings about mechanism design should be weighted more heavily than any claim about eventual market success would be, precisely because the former can be checked against artifacts — published protocol, a dated implementation-status table (Appendix A), independently reported comparative cases — while the latter cannot yet be checked against anything for a product not on the market. Two specific design questions remain genuinely open rather than merely undocumented: key recovery for an owner who loses the root-credential device (current sketch: Shamir Secret Sharing 2-of-3 backup to trusted contacts or an offline QR, plus a destructive re-pairing ceremony that invalidates the old root public key on the lock via a physical button press — to be specified), and the comparative evidence base for admission sovereignty specifically, which rests on the cost and governance structure (Section 2.3) rather than a documented admission-side failure case of the kind available for the runtime axis (Section 6.4).</w:t>
      </w:r>
    </w:p>
    <w:p>
      <w:pPr>
        <w:spacing w:after="160" w:line="276"/>
        <w:jc w:val="both"/>
      </w:pPr>
      <w:r>
        <w:rPr>
          <w:rFonts w:ascii="Calibri" w:cs="Calibri" w:eastAsia="Calibri" w:hAnsi="Calibri"/>
          <w:b w:val="false"/>
          <w:bCs w:val="false"/>
          <w:i w:val="false"/>
          <w:iCs w:val="false"/>
          <w:sz w:val="21"/>
          <w:szCs w:val="21"/>
        </w:rPr>
        <w:t xml:space="preserve">Single-case designs limit generalisability beyond the boundary conditions discussed qualitatively in Section 7. Future work should pursue comparative multi-case analysis as open-admission/open-runtime ventures emerge in other categories, which would allow those boundary conditions to be tested rather than asserted from one instance; longitudinal follow-up once this case's credential layer ships and the product reaches market, to test whether the framework's mechanisms survive the transition from specification to field deployment; and direct empirical testing — survey or experimental — of whether consumers and institutional buyers actually price architectural trust commitments into purchase decisions at a level sufficient to sustain Proposition 2's predicted revenue model, and whether GPLv3 versus MIT license framing affects perceived credibility (Proposition 3), assumptions this paper's business-model argument relies on but does not test.</w:t>
      </w:r>
    </w:p>
    <w:p>
      <w:pPr>
        <w:pStyle w:val="Heading1"/>
        <w:spacing w:after="160" w:before="320"/>
      </w:pPr>
      <w:r>
        <w:rPr>
          <w:rFonts w:ascii="Calibri" w:cs="Calibri" w:eastAsia="Calibri" w:hAnsi="Calibri"/>
          <w:b/>
          <w:bCs/>
          <w:sz w:val="28"/>
          <w:szCs w:val="28"/>
        </w:rPr>
        <w:t xml:space="preserve">9. Conclusion</w:t>
      </w:r>
    </w:p>
    <w:p>
      <w:pPr>
        <w:spacing w:after="160" w:line="276"/>
        <w:jc w:val="both"/>
      </w:pPr>
      <w:r>
        <w:rPr>
          <w:rFonts w:ascii="Calibri" w:cs="Calibri" w:eastAsia="Calibri" w:hAnsi="Calibri"/>
          <w:b w:val="false"/>
          <w:bCs w:val="false"/>
          <w:i w:val="false"/>
          <w:iCs w:val="false"/>
          <w:sz w:val="21"/>
          <w:szCs w:val="21"/>
        </w:rPr>
        <w:t xml:space="preserve">Hold-up in connected hardware is usually treated as a policy problem or an engineering problem. This paper has argued it is also a business-model design problem, addressable through the joint choice of admission and runtime openness, made credible by which mechanisms are structurally irreversible rather than by what the vendor promises. The case examined here shows occupying the open-open quadrant is a genuine commercial trade-off — forfeiting two conventional monetisation levers for a relocated, margin-constrained revenue stream — not a costless virtue, and the paper has tried to state the trade-off honestly rather than minimise it.</w:t>
      </w:r>
    </w:p>
    <w:p>
      <w:pPr>
        <w:spacing w:after="160" w:line="276"/>
        <w:jc w:val="both"/>
      </w:pPr>
      <w:r>
        <w:rPr>
          <w:rFonts w:ascii="Calibri" w:cs="Calibri" w:eastAsia="Calibri" w:hAnsi="Calibri"/>
          <w:b w:val="false"/>
          <w:bCs w:val="false"/>
          <w:i w:val="false"/>
          <w:iCs w:val="false"/>
          <w:sz w:val="21"/>
          <w:szCs w:val="21"/>
        </w:rPr>
        <w:t xml:space="preserve">What the case also demonstrates, at the level of design, is that the trade-off buys something specific: local, encrypted, always-available device control, matching what a governed platform standard's architecture offers, plus a further data-sovereignty guarantee that architecture alone does not provide — the owner's data remaining in the owner's own hands, at their own disposal, never held by a party the owner cannot verify or exit. That is achieved without asking the owner to trust the vendor's cloud or the manufacturer to pay a consortium for permission to compete. Whether the combination proves commercially sustainable at scale is a question a single, pre-launch case cannot yet answer. But the mechanisms through which it is designed to work, and the grounding in hold-up theory, are coherent, and worth making legible — for other firms evaluating similar terrain, and for policy and research-funding audiences deciding which architectures merit support as the smart-home industry's governance choices continue to take shape.</w:t>
      </w:r>
    </w:p>
    <w:p>
      <w:pPr>
        <w:spacing w:after="160" w:line="276"/>
        <w:jc w:val="both"/>
      </w:pPr>
      <w:r>
        <w:rPr>
          <w:rFonts w:ascii="Calibri" w:cs="Calibri" w:eastAsia="Calibri" w:hAnsi="Calibri"/>
          <w:b w:val="false"/>
          <w:bCs w:val="false"/>
          <w:i w:val="false"/>
          <w:iCs w:val="false"/>
          <w:sz w:val="21"/>
          <w:szCs w:val="21"/>
        </w:rPr>
        <w:t xml:space="preserve">Version 4.2 added verifiable artifacts — Figures 1–2, the Appendix A status register, an explicit license architecture as a varying-strength hostage, and a first-pass CRA alignment analysis — to move the argument from conceptual to checkable. Version 4.3 carries that same discipline into the CRA analysis itself: the product-classification claim in Section 7.1(3) is corrected against the Regulation's actual Annex III text rather than left as an assertion, and the mapping between specific architectural mechanisms and specific CRA requirements in 7.1(1)–7.1(2) is made explicit rather than implied. Credible-commitment devices examined — a root key the vendor never holds (GPLv3 hostage), a protocol published under MIT where evolution can be checked, a support relationship the customer can leave without losing the product — are not incidental features layered onto an otherwise conventional business. They are, on the argument developed here, the business model's actual substitute for the two monetisation levers it deliberately forgoes.</w:t>
      </w:r>
    </w:p>
    <w:p>
      <w:pPr>
        <w:sectPr>
          <w:pgSz w:w="11906" w:h="16838" w:orient="portrait"/>
          <w:pgMar w:top="1134" w:right="1134" w:bottom="1134" w:left="1134" w:header="708" w:footer="708" w:gutter="0"/>
          <w:pgNumType/>
          <w:docGrid w:linePitch="360"/>
        </w:sectPr>
      </w:pPr>
    </w:p>
    <w:p>
      <w:pPr>
        <w:pStyle w:val="Heading1"/>
        <w:spacing w:after="160" w:before="320"/>
      </w:pPr>
      <w:r>
        <w:rPr>
          <w:rFonts w:ascii="Calibri" w:cs="Calibri" w:eastAsia="Calibri" w:hAnsi="Calibri"/>
          <w:b/>
          <w:bCs/>
          <w:sz w:val="28"/>
          <w:szCs w:val="28"/>
        </w:rPr>
        <w:t xml:space="preserve">Appendix A: Implementation-Status Register — Component-Level Verifiability</w:t>
      </w:r>
    </w:p>
    <w:p>
      <w:pPr>
        <w:spacing w:after="200" w:line="264"/>
      </w:pPr>
      <w:r>
        <w:rPr>
          <w:rFonts w:ascii="Calibri" w:cs="Calibri" w:eastAsia="Calibri" w:hAnsi="Calibri"/>
          <w:sz w:val="20"/>
          <w:szCs w:val="20"/>
        </w:rPr>
        <w:t xml:space="preserve">This register distinguishes specified, built-but-bench-verified, and field-verified elements. It is dated and intended as a checkable artifact, not a marketing claim. Status as of July 2026. This is what converts Figure 2's target-vs-current distinction from conceptual to auditable.</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400"/>
        <w:gridCol w:w="1300"/>
        <w:gridCol w:w="3600"/>
        <w:gridCol w:w="22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Component</w:t>
            </w:r>
          </w:p>
        </w:tc>
        <w:tc>
          <w:tcPr>
            <w:tcW w:type="dxa" w:w="34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Description</w:t>
            </w:r>
          </w:p>
        </w:tc>
        <w:tc>
          <w:tcPr>
            <w:tcW w:type="dxa" w:w="24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Status</w:t>
            </w:r>
          </w:p>
        </w:tc>
        <w:tc>
          <w:tcPr>
            <w:tcW w:type="dxa" w:w="13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Date</w:t>
            </w:r>
          </w:p>
        </w:tc>
        <w:tc>
          <w:tcPr>
            <w:tcW w:type="dxa" w:w="36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Evidence / Artifact</w:t>
            </w:r>
          </w:p>
        </w:tc>
        <w:tc>
          <w:tcPr>
            <w:tcW w:type="dxa" w:w="2200"/>
            <w:shd w:fill="1F3864" w:val="clear"/>
            <w:tcMar>
              <w:top w:type="dxa" w:w="80"/>
              <w:left w:type="dxa" w:w="100"/>
              <w:bottom w:type="dxa" w:w="80"/>
              <w:right w:type="dxa" w:w="100"/>
            </w:tcMar>
            <w:vAlign w:val="center"/>
          </w:tcPr>
          <w:p>
            <w:r>
              <w:rPr>
                <w:rFonts w:ascii="Calibri" w:cs="Calibri" w:eastAsia="Calibri" w:hAnsi="Calibri"/>
                <w:b/>
                <w:bCs/>
                <w:i w:val="false"/>
                <w:iCs w:val="false"/>
                <w:color w:val="FFFFFF"/>
                <w:sz w:val="15"/>
                <w:szCs w:val="15"/>
              </w:rPr>
              <w:t xml:space="preserve">Hostage Axis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Bridge command relay</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Bridge relays encrypted command + signed token, lock ↔ broker</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2025-11</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Bench logs, MQTT capture, source in repo /bridge</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Local commissioning</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BLE / local mesh unlock without internet</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2025-10</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Test rig video, mobile app logs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Mesh networking</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Bridge to lock mesh, offline token verification</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2026-01</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Lock verifies token offline against stored pubkey</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Broker pairing storage</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Broker stores ONLY pairing relation, no log</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 (plaintext fallback still present)</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2026-03</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DB schema review, broker code /broker</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E2E payload encryption</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ECDH key exchange + AES-256-GCM, broker zero-knowledge</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Specified, NOT implemented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2026-02 (spec)</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 doc v0.8, target arch Fig 2, plaintext fallback still in prod</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 — STRONG hostage when shipped</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Plaintext credential fallback removal</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Remove current plaintext credential cache on server</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Specified, NOT implemented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2026-03</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Issue #142, scheduled pre-launch</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Owner root key generation</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Root private key generated on owner phone secure enclave, never transmitted</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2026-04</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App code /mobile/keygen, Android Keystore / iOS Secure Enclave</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 — CORE hostage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Secondary token signing + offline verify</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Owner signs secondary tokens, lock verifies offline</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2026-04</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Token format spec, lock firmware verify() function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Key recovery / backup</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Loss of root device -&gt; recovery</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Open design question</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2026-07</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Candidate: Shamir 2-of-3 + destructive re-pairing via physical button</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Per-device crypto identity</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Identity provisioned at production, clone fails enrolment</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Specified, partial build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2026-02</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Provisioning CA sketch, factory flow doc</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 + Runtime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Secure boot</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Consumer/hospitality tier deliberately unconfigured; defence tier enabled vendor-signed</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Implemented as designed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2026-05</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eFuse config logs, defence tier build flags SECURE_BOOT=1</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 — hostage against closure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Server + Bridge + App source publication</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Publish under GPLv3</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Partial — internal repo, not yet public</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2026-06</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Repo private, licence headers added, public release blocked pending E2E impl</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 — STRONG hostage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Protocol spec + SDK publication</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Publish under MIT</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Draft published internal</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2026-06</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 v0.7 in /docs/protocol, MIT header</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 — WEAK hostage, max adoption</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Hardware design</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Schematics, CERN-OHL-S v2</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Specified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2026-01</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KiCad files, not yet fabricated</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Self-host option</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Owner can point bridge to own broker</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2026-03</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Config file BRIDGE_BROKER_URL env var, tested with Mosquitto</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Runtime + Admission — exit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HomeKit Bridge integration</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Expose via Home Assistant HAP non-commercial track</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Built, bench-verified</w:t>
            </w:r>
          </w:p>
        </w:tc>
        <w:tc>
          <w:tcPr>
            <w:tcW w:type="dxa" w:w="13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2026-05</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Home Assistant config, Home app screenshot</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Admission — additive, not structural</w:t>
            </w:r>
          </w:p>
        </w:tc>
      </w:tr>
      <w:tr>
        <w:tc>
          <w:tcPr>
            <w:tcW w:type="dxa" w:w="2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Support tier business model</w:t>
            </w:r>
          </w:p>
        </w:tc>
        <w:tc>
          <w:tcPr>
            <w:tcW w:type="dxa" w:w="3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Tiered technical support as revenue</w:t>
            </w:r>
          </w:p>
        </w:tc>
        <w:tc>
          <w:tcPr>
            <w:tcW w:type="dxa" w:w="24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Specified</w:t>
            </w:r>
          </w:p>
        </w:tc>
        <w:tc>
          <w:tcPr>
            <w:tcW w:type="dxa" w:w="13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2026-06</w:t>
            </w:r>
          </w:p>
        </w:tc>
        <w:tc>
          <w:tcPr>
            <w:tcW w:type="dxa" w:w="36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Business model doc v3, pricing draft</w:t>
            </w:r>
          </w:p>
        </w:tc>
        <w:tc>
          <w:tcPr>
            <w:tcW w:type="dxa" w:w="2200"/>
            <w:tcMar>
              <w:top w:type="dxa" w:w="80"/>
              <w:left w:type="dxa" w:w="100"/>
              <w:bottom w:type="dxa" w:w="80"/>
              <w:right w:type="dxa" w:w="100"/>
            </w:tcMar>
            <w:vAlign w:val="center"/>
          </w:tcPr>
          <w:p>
            <w:r>
              <w:rPr>
                <w:rFonts w:ascii="Calibri" w:cs="Calibri" w:eastAsia="Calibri" w:hAnsi="Calibri"/>
                <w:b w:val="false"/>
                <w:bCs w:val="false"/>
                <w:i w:val="false"/>
                <w:iCs w:val="false"/>
                <w:sz w:val="15"/>
                <w:szCs w:val="15"/>
              </w:rPr>
              <w:t xml:space="preserve">P2 viability</w:t>
            </w:r>
          </w:p>
        </w:tc>
      </w:tr>
    </w:tbl>
    <w:p>
      <w:pPr>
        <w:spacing w:before="200" w:line="250"/>
      </w:pPr>
      <w:r>
        <w:rPr>
          <w:rFonts w:ascii="Calibri" w:cs="Calibri" w:eastAsia="Calibri" w:hAnsi="Calibri"/>
          <w:i/>
          <w:iCs/>
          <w:sz w:val="18"/>
          <w:szCs w:val="18"/>
        </w:rPr>
        <w:t xml:space="preserve">Notes: “Built, bench-verified” = works on the bench rig, not yet field-verified at scale. “Specified” = a design document exists but no working code. The plaintext fallback is the critical path to the target zero-knowledge broker in Figure 2. Key recovery remains open per Section 8. This table itself is intended as a Williamson hostage: publishing dated status makes reversal (e.g., quietly re-enabling secure boot on the consumer tier) independently verifiable.</w:t>
      </w:r>
    </w:p>
    <w:p>
      <w:pPr>
        <w:sectPr>
          <w:pgSz w:w="16838" w:h="11906" w:orient="portrait"/>
          <w:pgMar w:top="900" w:right="900" w:bottom="900" w:left="900" w:header="708" w:footer="708" w:gutter="0"/>
          <w:pgNumType/>
          <w:docGrid w:linePitch="360"/>
        </w:sectPr>
      </w:pPr>
    </w:p>
    <w:p>
      <w:pPr>
        <w:pStyle w:val="Heading1"/>
        <w:spacing w:after="160" w:before="320"/>
      </w:pPr>
      <w:r>
        <w:rPr>
          <w:rFonts w:ascii="Calibri" w:cs="Calibri" w:eastAsia="Calibri" w:hAnsi="Calibri"/>
          <w:b/>
          <w:bCs/>
          <w:sz w:val="28"/>
          <w:szCs w:val="28"/>
        </w:rPr>
        <w:t xml:space="preserve">References</w:t>
      </w:r>
    </w:p>
    <w:p>
      <w:pPr>
        <w:spacing w:after="140"/>
        <w:ind w:left="360" w:hanging="360"/>
      </w:pPr>
      <w:r>
        <w:rPr>
          <w:rFonts w:ascii="Calibri" w:cs="Calibri" w:eastAsia="Calibri" w:hAnsi="Calibri"/>
          <w:sz w:val="20"/>
          <w:szCs w:val="20"/>
        </w:rPr>
        <w:t xml:space="preserve">Boudreau, K. J. (2010). Open platform strategies and innovation: Granting access vs. devolving control. Management Science, 56(10), 1849–1872. https://doi.org/10.1287/mnsc.1100.1215</w:t>
      </w:r>
    </w:p>
    <w:p>
      <w:pPr>
        <w:spacing w:after="140"/>
        <w:ind w:left="360" w:hanging="360"/>
      </w:pPr>
      <w:r>
        <w:rPr>
          <w:rFonts w:ascii="Calibri" w:cs="Calibri" w:eastAsia="Calibri" w:hAnsi="Calibri"/>
          <w:sz w:val="20"/>
          <w:szCs w:val="20"/>
        </w:rPr>
        <w:t xml:space="preserve">Cimpanu, C. (2017, August 12). Botched firmware update bricks hundreds of smart door locks. BleepingComputer. https://www.bleepingcomputer.com/news/hardware/botched-firmware-update-bricks-hundreds-of-smart-door-locks/</w:t>
      </w:r>
    </w:p>
    <w:p>
      <w:pPr>
        <w:spacing w:after="140"/>
        <w:ind w:left="360" w:hanging="360"/>
      </w:pPr>
      <w:r>
        <w:rPr>
          <w:rFonts w:ascii="Calibri" w:cs="Calibri" w:eastAsia="Calibri" w:hAnsi="Calibri"/>
          <w:sz w:val="20"/>
          <w:szCs w:val="20"/>
        </w:rPr>
        <w:t xml:space="preserve">Connectivity Standards Alliance. (n.d.). Become a member. Retrieved July 2026, from https://csa-iot.org/become-member/</w:t>
      </w:r>
    </w:p>
    <w:p>
      <w:pPr>
        <w:spacing w:after="140"/>
        <w:ind w:left="360" w:hanging="360"/>
      </w:pPr>
      <w:r>
        <w:rPr>
          <w:rFonts w:ascii="Calibri" w:cs="Calibri" w:eastAsia="Calibri" w:hAnsi="Calibri"/>
          <w:sz w:val="20"/>
          <w:szCs w:val="20"/>
        </w:rPr>
        <w:t xml:space="preserve">European Commission. (n.d.). Cyber Resilience Act — Summary of the legislative text. Shaping Europe's Digital Future. Retrieved July 2026, from https://digital-strategy.ec.europa.eu/en/policies/cra-summary</w:t>
      </w:r>
    </w:p>
    <w:p>
      <w:pPr>
        <w:spacing w:after="140"/>
        <w:ind w:left="360" w:hanging="360"/>
      </w:pPr>
      <w:r>
        <w:rPr>
          <w:rFonts w:ascii="Calibri" w:cs="Calibri" w:eastAsia="Calibri" w:hAnsi="Calibri"/>
          <w:sz w:val="20"/>
          <w:szCs w:val="20"/>
        </w:rPr>
        <w:t xml:space="preserve">European Union. (2024). Regulation (EU) 2024/2847 of the European Parliament and of the Council of 23 October 2024 on horizontal cybersecurity requirements for products with digital elements (Cyber Resilience Act). Official Journal of the European Union. Came into force 10 December 2024, main obligations apply from 11 December 2027. Annex III lists “important products with digital elements” in Class I and Class II tiers; smart home products with security functionalities, including smart door locks, are enumerated in that Annex.</w:t>
      </w:r>
    </w:p>
    <w:p>
      <w:pPr>
        <w:spacing w:after="140"/>
        <w:ind w:left="360" w:hanging="360"/>
      </w:pPr>
      <w:r>
        <w:rPr>
          <w:rFonts w:ascii="Calibri" w:cs="Calibri" w:eastAsia="Calibri" w:hAnsi="Calibri"/>
          <w:sz w:val="20"/>
          <w:szCs w:val="20"/>
        </w:rPr>
        <w:t xml:space="preserve">Federal Trade Commission. (2016, July 7). Letter from Mary K. Engle to Richard J. Lutton, Jr. re: Nest Labs, Inc., FTC File No. 162-3119 [Closing letter]. https://www.ftc.gov/system/files/documents/closing_letters/nid/160707nestrevolvletter.pdf</w:t>
      </w:r>
    </w:p>
    <w:p>
      <w:pPr>
        <w:spacing w:after="140"/>
        <w:ind w:left="360" w:hanging="360"/>
      </w:pPr>
      <w:r>
        <w:rPr>
          <w:rFonts w:ascii="Calibri" w:cs="Calibri" w:eastAsia="Calibri" w:hAnsi="Calibri"/>
          <w:sz w:val="20"/>
          <w:szCs w:val="20"/>
        </w:rPr>
        <w:t xml:space="preserve">Federal Trade Commission. (2023, May 31). FTC says Ring employees illegally surveilled customers, failed to stop hackers from taking control of users' cameras [Press release]. https://www.ftc.gov/news-events/news/press-releases/2023/05/ftc-says-ring-employees-illegally-surveilled-customers-failed-stop-hackers-taking-control-users</w:t>
      </w:r>
    </w:p>
    <w:p>
      <w:pPr>
        <w:spacing w:after="140"/>
        <w:ind w:left="360" w:hanging="360"/>
      </w:pPr>
      <w:r>
        <w:rPr>
          <w:rFonts w:ascii="Calibri" w:cs="Calibri" w:eastAsia="Calibri" w:hAnsi="Calibri"/>
          <w:sz w:val="20"/>
          <w:szCs w:val="20"/>
        </w:rPr>
        <w:t xml:space="preserve">Hevner, A. R., March, S. T., Park, J., &amp; Ram, S. (2004). Design science in information systems research. MIS Quarterly, 28(1), 75–105. https://doi.org/10.2307/25148625</w:t>
      </w:r>
    </w:p>
    <w:p>
      <w:pPr>
        <w:spacing w:after="140"/>
        <w:ind w:left="360" w:hanging="360"/>
      </w:pPr>
      <w:r>
        <w:rPr>
          <w:rFonts w:ascii="Calibri" w:cs="Calibri" w:eastAsia="Calibri" w:hAnsi="Calibri"/>
          <w:sz w:val="20"/>
          <w:szCs w:val="20"/>
        </w:rPr>
        <w:t xml:space="preserve">Klein, B., Crawford, R. G., &amp; Alchian, A. A. (1978). Vertical integration, appropriable rents, and the competitive contracting process. Journal of Law and Economics, 21(2), 297–326. https://doi.org/10.1086/466922</w:t>
      </w:r>
    </w:p>
    <w:p>
      <w:pPr>
        <w:spacing w:after="140"/>
        <w:ind w:left="360" w:hanging="360"/>
      </w:pPr>
      <w:r>
        <w:rPr>
          <w:rFonts w:ascii="Calibri" w:cs="Calibri" w:eastAsia="Calibri" w:hAnsi="Calibri"/>
          <w:sz w:val="20"/>
          <w:szCs w:val="20"/>
        </w:rPr>
        <w:t xml:space="preserve">Kleppmann, M., Wiggins, A., van Hardenberg, P., &amp; McGranaghan, M. (2019). Local-first software: You own your data, in spite of the cloud. In Proceedings of the 2019 ACM SIGPLAN International Symposium on New Ideas, New Paradigms, and Reflections on Programming and Software (Onward! '19) (pp. 154–178). ACM. https://doi.org/10.1145/3359591.3359737</w:t>
      </w:r>
    </w:p>
    <w:p>
      <w:pPr>
        <w:spacing w:after="140"/>
        <w:ind w:left="360" w:hanging="360"/>
      </w:pPr>
      <w:r>
        <w:rPr>
          <w:rFonts w:ascii="Calibri" w:cs="Calibri" w:eastAsia="Calibri" w:hAnsi="Calibri"/>
          <w:sz w:val="20"/>
          <w:szCs w:val="20"/>
        </w:rPr>
        <w:t xml:space="preserve">Pillsbury Winthrop Shaw Pittman LLP. (2025, April 15). The EU's Cyber Resilience Act: New cybersecurity requirements for connected products and software. https://www.pillsburylaw.com/en/news-and-insights/eu-cyber-resilience-act-requirements-products-software.html</w:t>
      </w:r>
    </w:p>
    <w:p>
      <w:pPr>
        <w:spacing w:after="140"/>
        <w:ind w:left="360" w:hanging="360"/>
      </w:pPr>
      <w:r>
        <w:rPr>
          <w:rFonts w:ascii="Calibri" w:cs="Calibri" w:eastAsia="Calibri" w:hAnsi="Calibri"/>
          <w:sz w:val="20"/>
          <w:szCs w:val="20"/>
        </w:rPr>
        <w:t xml:space="preserve">Svensson-Höglund, S., et al. (2021). Barriers, enablers and market governance: A review of the policy landscape for repair of consumer electronics in the EU and the U.S. Journal of Cleaner Production, 288, 125488.</w:t>
      </w:r>
    </w:p>
    <w:p>
      <w:pPr>
        <w:spacing w:after="140"/>
        <w:ind w:left="360" w:hanging="360"/>
      </w:pPr>
      <w:r>
        <w:rPr>
          <w:rFonts w:ascii="Calibri" w:cs="Calibri" w:eastAsia="Calibri" w:hAnsi="Calibri"/>
          <w:sz w:val="20"/>
          <w:szCs w:val="20"/>
        </w:rPr>
        <w:t xml:space="preserve">West, J., &amp; Gallagher, S. (2006). Challenges of open innovation: The paradox of firm investment in open-source software. R&amp;D Management, 36(3), 319–331.</w:t>
      </w:r>
    </w:p>
    <w:p>
      <w:pPr>
        <w:spacing w:after="140"/>
        <w:ind w:left="360" w:hanging="360"/>
      </w:pPr>
      <w:r>
        <w:rPr>
          <w:rFonts w:ascii="Calibri" w:cs="Calibri" w:eastAsia="Calibri" w:hAnsi="Calibri"/>
          <w:sz w:val="20"/>
          <w:szCs w:val="20"/>
        </w:rPr>
        <w:t xml:space="preserve">Williamson, O. E. (1979). Transaction-cost economics: The governance of contractual relations. Journal of Law and Economics, 22(2), 233–261.</w:t>
      </w:r>
    </w:p>
    <w:p>
      <w:pPr>
        <w:spacing w:after="140"/>
        <w:ind w:left="360" w:hanging="360"/>
      </w:pPr>
      <w:r>
        <w:rPr>
          <w:rFonts w:ascii="Calibri" w:cs="Calibri" w:eastAsia="Calibri" w:hAnsi="Calibri"/>
          <w:sz w:val="20"/>
          <w:szCs w:val="20"/>
        </w:rPr>
        <w:t xml:space="preserve">Williamson, O. E. (1983). Credible commitments: Using hostages to support exchange. American Economic Review, 73(4), 519–540.</w:t>
      </w:r>
    </w:p>
    <w:p>
      <w:pPr>
        <w:spacing w:after="140"/>
        <w:ind w:left="360" w:hanging="360"/>
      </w:pPr>
      <w:r>
        <w:rPr>
          <w:rFonts w:ascii="Calibri" w:cs="Calibri" w:eastAsia="Calibri" w:hAnsi="Calibri"/>
          <w:sz w:val="20"/>
          <w:szCs w:val="20"/>
        </w:rPr>
        <w:t xml:space="preserve">Yin, R. K. (2018). Case study research and applications: Design and methods (6th ed.). SAGE.</w:t>
      </w:r>
    </w:p>
    <w:p>
      <w:pPr>
        <w:spacing w:after="100" w:before="200"/>
      </w:pPr>
      <w:r>
        <w:rPr>
          <w:rFonts w:ascii="Calibri" w:cs="Calibri" w:eastAsia="Calibri" w:hAnsi="Calibri"/>
          <w:b/>
          <w:bCs/>
          <w:sz w:val="21"/>
          <w:szCs w:val="21"/>
        </w:rPr>
        <w:t xml:space="preserve">Licenses Referenced</w:t>
      </w:r>
    </w:p>
    <w:p>
      <w:pPr>
        <w:spacing w:after="140"/>
        <w:ind w:left="360" w:hanging="360"/>
      </w:pPr>
      <w:r>
        <w:rPr>
          <w:rFonts w:ascii="Calibri" w:cs="Calibri" w:eastAsia="Calibri" w:hAnsi="Calibri"/>
          <w:sz w:val="20"/>
          <w:szCs w:val="20"/>
        </w:rPr>
        <w:t xml:space="preserve">Free Software Foundation. (2007). GNU General Public License v3.0 — Strong copyleft hostage, anti-tivoization clause relevant to secure-boot closure prevention.</w:t>
      </w:r>
    </w:p>
    <w:p>
      <w:pPr>
        <w:spacing w:after="140"/>
        <w:ind w:left="360" w:hanging="360"/>
      </w:pPr>
      <w:r>
        <w:rPr>
          <w:rFonts w:ascii="Calibri" w:cs="Calibri" w:eastAsia="Calibri" w:hAnsi="Calibri"/>
          <w:sz w:val="20"/>
          <w:szCs w:val="20"/>
        </w:rPr>
        <w:t xml:space="preserve">Open Source Initiative. (n.d.). MIT License — Permissive, weak hostage but maximizes admission openness.</w:t>
      </w:r>
    </w:p>
    <w:p>
      <w:pPr>
        <w:spacing w:after="140"/>
        <w:ind w:left="360" w:hanging="360"/>
      </w:pPr>
      <w:r>
        <w:rPr>
          <w:rFonts w:ascii="Calibri" w:cs="Calibri" w:eastAsia="Calibri" w:hAnsi="Calibri"/>
          <w:sz w:val="20"/>
          <w:szCs w:val="20"/>
        </w:rPr>
        <w:t xml:space="preserve">CERN. (2020). CERN Open Hardware Licence Version 2 — Strongly Reciprocal (CERN-OHL-S v2).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f24197ecf0231368dd61493498d7e566eb4b6d.png"/><Relationship Id="rId8" Type="http://schemas.openxmlformats.org/officeDocument/2006/relationships/image" Target="media/a92360987621599e715c955844bfa4078e8fd0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Against Hold-Up: A Two-Axis Sovereignty Framework (v4.4)</dc:title>
  <dc:creator>Truong Viet Phan (Vince Phan)</dc:creator>
  <cp:lastModifiedBy>Un-named</cp:lastModifiedBy>
  <cp:revision>1</cp:revision>
  <dcterms:created xsi:type="dcterms:W3CDTF">2026-08-02T03:35:13.571Z</dcterms:created>
  <dcterms:modified xsi:type="dcterms:W3CDTF">2026-08-02T03:35:13.587Z</dcterms:modified>
</cp:coreProperties>
</file>

<file path=docProps/custom.xml><?xml version="1.0" encoding="utf-8"?>
<Properties xmlns="http://schemas.openxmlformats.org/officeDocument/2006/custom-properties" xmlns:vt="http://schemas.openxmlformats.org/officeDocument/2006/docPropsVTypes"/>
</file>