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726" w:rsidRDefault="000E11B4">
      <w:pPr>
        <w:rPr>
          <w:lang w:val="en-CA"/>
        </w:rPr>
      </w:pPr>
      <w:r>
        <w:rPr>
          <w:lang w:val="en-CA"/>
        </w:rPr>
        <w:t xml:space="preserve"> </w:t>
      </w:r>
      <w:r w:rsidR="00A141F3">
        <w:rPr>
          <w:lang w:val="en-CA"/>
        </w:rPr>
        <w:t>Getting your Research Project Started</w:t>
      </w:r>
    </w:p>
    <w:p w:rsidR="00A141F3" w:rsidRDefault="00A57980" w:rsidP="00A141F3">
      <w:pPr>
        <w:rPr>
          <w:lang w:val="en-CA"/>
        </w:rPr>
      </w:pPr>
      <w:r>
        <w:rPr>
          <w:lang w:val="en-CA"/>
        </w:rPr>
        <w:t xml:space="preserve">1. </w:t>
      </w:r>
      <w:r w:rsidR="00A141F3">
        <w:rPr>
          <w:lang w:val="en-CA"/>
        </w:rPr>
        <w:t>Dataset:  gapminder.csv</w:t>
      </w:r>
    </w:p>
    <w:p w:rsidR="00A141F3" w:rsidRDefault="00E71CE8" w:rsidP="00A141F3">
      <w:pPr>
        <w:rPr>
          <w:lang w:val="en-CA"/>
        </w:rPr>
      </w:pPr>
      <w:r>
        <w:rPr>
          <w:lang w:val="en-CA"/>
        </w:rPr>
        <w:t>2 + 4. Topic of Interest and secondary topic</w:t>
      </w:r>
    </w:p>
    <w:p w:rsidR="00A141F3" w:rsidRDefault="00A141F3" w:rsidP="00A141F3">
      <w:pPr>
        <w:rPr>
          <w:lang w:val="en-CA"/>
        </w:rPr>
      </w:pPr>
      <w:r>
        <w:rPr>
          <w:lang w:val="en-CA"/>
        </w:rPr>
        <w:t>I</w:t>
      </w:r>
      <w:r w:rsidR="00B1107D">
        <w:rPr>
          <w:lang w:val="en-CA"/>
        </w:rPr>
        <w:t xml:space="preserve"> am interested to find out </w:t>
      </w:r>
      <w:r>
        <w:rPr>
          <w:lang w:val="en-CA"/>
        </w:rPr>
        <w:t>if there a</w:t>
      </w:r>
      <w:r w:rsidR="000E11B4">
        <w:rPr>
          <w:lang w:val="en-CA"/>
        </w:rPr>
        <w:t>re correlation between political system and alcohol consumption: namely is the consumption in democrat states higher or lower than in non-democratic countries or not. At the same time, I will also look at the income per person and alcohol consumption.</w:t>
      </w:r>
      <w:r w:rsidR="008C692C">
        <w:rPr>
          <w:lang w:val="en-CA"/>
        </w:rPr>
        <w:t xml:space="preserve"> If the income in democratic countries is higher tha</w:t>
      </w:r>
      <w:r w:rsidR="00470B37">
        <w:rPr>
          <w:lang w:val="en-CA"/>
        </w:rPr>
        <w:t xml:space="preserve">n in non-democratic countries, </w:t>
      </w:r>
      <w:r w:rsidR="008C692C">
        <w:rPr>
          <w:lang w:val="en-CA"/>
        </w:rPr>
        <w:t>and alcohol consumption is also higher, then it is entirely possible that democracy is not related</w:t>
      </w:r>
      <w:r w:rsidR="004D3DFC">
        <w:rPr>
          <w:lang w:val="en-CA"/>
        </w:rPr>
        <w:t xml:space="preserve"> to alcohol consumption</w:t>
      </w:r>
      <w:r w:rsidR="008C692C">
        <w:rPr>
          <w:lang w:val="en-CA"/>
        </w:rPr>
        <w:t>, but the higher income.</w:t>
      </w:r>
      <w:r w:rsidR="004D3DFC">
        <w:rPr>
          <w:lang w:val="en-CA"/>
        </w:rPr>
        <w:t xml:space="preserve"> </w:t>
      </w:r>
    </w:p>
    <w:p w:rsidR="00233F65" w:rsidRDefault="00B1107D" w:rsidP="00233F65">
      <w:pPr>
        <w:rPr>
          <w:lang w:val="en-CA"/>
        </w:rPr>
      </w:pPr>
      <w:r>
        <w:rPr>
          <w:lang w:val="en-CA"/>
        </w:rPr>
        <w:t>3</w:t>
      </w:r>
      <w:r w:rsidR="00202124">
        <w:rPr>
          <w:lang w:val="en-CA"/>
        </w:rPr>
        <w:t xml:space="preserve"> + 5</w:t>
      </w:r>
      <w:r>
        <w:rPr>
          <w:lang w:val="en-CA"/>
        </w:rPr>
        <w:t xml:space="preserve">. </w:t>
      </w:r>
      <w:r w:rsidR="00233F65">
        <w:rPr>
          <w:lang w:val="en-CA"/>
        </w:rPr>
        <w:t>Code Book</w:t>
      </w:r>
    </w:p>
    <w:p w:rsidR="00B1107D" w:rsidRDefault="00B1107D" w:rsidP="00233F65">
      <w:pPr>
        <w:rPr>
          <w:lang w:val="en-CA"/>
        </w:rPr>
      </w:pPr>
      <w:r>
        <w:rPr>
          <w:lang w:val="en-CA"/>
        </w:rPr>
        <w:t xml:space="preserve">Here are the variables from the GapMinder </w:t>
      </w:r>
    </w:p>
    <w:p w:rsidR="00233F65" w:rsidRPr="00233F65" w:rsidRDefault="00233F65" w:rsidP="00233F65">
      <w:pPr>
        <w:rPr>
          <w:lang w:val="en-CA"/>
        </w:rPr>
      </w:pPr>
    </w:p>
    <w:tbl>
      <w:tblPr>
        <w:tblStyle w:val="TableGrid"/>
        <w:tblW w:w="0" w:type="auto"/>
        <w:tblLook w:val="04A0" w:firstRow="1" w:lastRow="0" w:firstColumn="1" w:lastColumn="0" w:noHBand="0" w:noVBand="1"/>
      </w:tblPr>
      <w:tblGrid>
        <w:gridCol w:w="3086"/>
        <w:gridCol w:w="3087"/>
        <w:gridCol w:w="3087"/>
      </w:tblGrid>
      <w:tr w:rsidR="00B1107D" w:rsidTr="000E11B4">
        <w:trPr>
          <w:trHeight w:val="267"/>
        </w:trPr>
        <w:tc>
          <w:tcPr>
            <w:tcW w:w="3086" w:type="dxa"/>
          </w:tcPr>
          <w:p w:rsidR="00B1107D" w:rsidRDefault="00B1107D" w:rsidP="00A141F3">
            <w:pPr>
              <w:rPr>
                <w:lang w:val="en-CA"/>
              </w:rPr>
            </w:pPr>
            <w:r>
              <w:rPr>
                <w:lang w:val="en-CA"/>
              </w:rPr>
              <w:t>Variable Name</w:t>
            </w:r>
          </w:p>
        </w:tc>
        <w:tc>
          <w:tcPr>
            <w:tcW w:w="3087" w:type="dxa"/>
          </w:tcPr>
          <w:p w:rsidR="00B1107D" w:rsidRDefault="00B1107D" w:rsidP="00A141F3">
            <w:pPr>
              <w:rPr>
                <w:lang w:val="en-CA"/>
              </w:rPr>
            </w:pPr>
            <w:r>
              <w:rPr>
                <w:lang w:val="en-CA"/>
              </w:rPr>
              <w:t>Description</w:t>
            </w:r>
          </w:p>
        </w:tc>
        <w:tc>
          <w:tcPr>
            <w:tcW w:w="3087" w:type="dxa"/>
          </w:tcPr>
          <w:p w:rsidR="00B1107D" w:rsidRDefault="00B1107D" w:rsidP="00A141F3">
            <w:pPr>
              <w:rPr>
                <w:lang w:val="en-CA"/>
              </w:rPr>
            </w:pPr>
            <w:r>
              <w:rPr>
                <w:lang w:val="en-CA"/>
              </w:rPr>
              <w:t>Main Source</w:t>
            </w:r>
          </w:p>
        </w:tc>
      </w:tr>
      <w:tr w:rsidR="00B1107D" w:rsidTr="000E11B4">
        <w:trPr>
          <w:trHeight w:val="2880"/>
        </w:trPr>
        <w:tc>
          <w:tcPr>
            <w:tcW w:w="3086" w:type="dxa"/>
          </w:tcPr>
          <w:p w:rsidR="00B1107D" w:rsidRDefault="000563A9" w:rsidP="00A141F3">
            <w:pPr>
              <w:rPr>
                <w:lang w:val="en-CA"/>
              </w:rPr>
            </w:pPr>
            <w:r w:rsidRPr="00B1107D">
              <w:rPr>
                <w:lang w:val="en-CA"/>
              </w:rPr>
              <w:t>I</w:t>
            </w:r>
            <w:r w:rsidR="00B1107D" w:rsidRPr="00B1107D">
              <w:rPr>
                <w:lang w:val="en-CA"/>
              </w:rPr>
              <w:t>ncomeperperson</w:t>
            </w:r>
          </w:p>
        </w:tc>
        <w:tc>
          <w:tcPr>
            <w:tcW w:w="3087" w:type="dxa"/>
          </w:tcPr>
          <w:p w:rsidR="00B1107D" w:rsidRDefault="00B1107D" w:rsidP="00B1107D">
            <w:pPr>
              <w:autoSpaceDE w:val="0"/>
              <w:autoSpaceDN w:val="0"/>
              <w:adjustRightInd w:val="0"/>
              <w:rPr>
                <w:rFonts w:ascii="Verdana" w:hAnsi="Verdana" w:cs="Verdana"/>
                <w:sz w:val="20"/>
                <w:szCs w:val="20"/>
                <w:lang w:val="en-CA"/>
              </w:rPr>
            </w:pPr>
            <w:r>
              <w:rPr>
                <w:rFonts w:ascii="Verdana" w:hAnsi="Verdana" w:cs="Verdana"/>
                <w:sz w:val="20"/>
                <w:szCs w:val="20"/>
                <w:lang w:val="en-CA"/>
              </w:rPr>
              <w:t>2009 Democracy score (Polity)</w:t>
            </w:r>
          </w:p>
          <w:p w:rsidR="00B1107D" w:rsidRDefault="00B1107D" w:rsidP="00B1107D">
            <w:pPr>
              <w:autoSpaceDE w:val="0"/>
              <w:autoSpaceDN w:val="0"/>
              <w:adjustRightInd w:val="0"/>
              <w:rPr>
                <w:rFonts w:ascii="Verdana" w:hAnsi="Verdana" w:cs="Verdana"/>
                <w:sz w:val="20"/>
                <w:szCs w:val="20"/>
                <w:lang w:val="en-CA"/>
              </w:rPr>
            </w:pPr>
            <w:r>
              <w:rPr>
                <w:rFonts w:ascii="Verdana" w:hAnsi="Verdana" w:cs="Verdana"/>
                <w:sz w:val="20"/>
                <w:szCs w:val="20"/>
                <w:lang w:val="en-CA"/>
              </w:rPr>
              <w:t>Overall polity score from the Polity IV dataset, calculated by</w:t>
            </w:r>
          </w:p>
          <w:p w:rsidR="00B1107D" w:rsidRDefault="00B1107D" w:rsidP="00B1107D">
            <w:pPr>
              <w:autoSpaceDE w:val="0"/>
              <w:autoSpaceDN w:val="0"/>
              <w:adjustRightInd w:val="0"/>
              <w:rPr>
                <w:rFonts w:ascii="Verdana" w:hAnsi="Verdana" w:cs="Verdana"/>
                <w:sz w:val="20"/>
                <w:szCs w:val="20"/>
                <w:lang w:val="en-CA"/>
              </w:rPr>
            </w:pPr>
            <w:r>
              <w:rPr>
                <w:rFonts w:ascii="Verdana" w:hAnsi="Verdana" w:cs="Verdana"/>
                <w:sz w:val="20"/>
                <w:szCs w:val="20"/>
                <w:lang w:val="en-CA"/>
              </w:rPr>
              <w:t>subtracting an autocracy score from a democracy score. The summary</w:t>
            </w:r>
          </w:p>
          <w:p w:rsidR="00B1107D" w:rsidRDefault="00B1107D" w:rsidP="00B1107D">
            <w:pPr>
              <w:autoSpaceDE w:val="0"/>
              <w:autoSpaceDN w:val="0"/>
              <w:adjustRightInd w:val="0"/>
              <w:rPr>
                <w:rFonts w:ascii="Verdana" w:hAnsi="Verdana" w:cs="Verdana"/>
                <w:sz w:val="20"/>
                <w:szCs w:val="20"/>
                <w:lang w:val="en-CA"/>
              </w:rPr>
            </w:pPr>
            <w:r>
              <w:rPr>
                <w:rFonts w:ascii="Verdana" w:hAnsi="Verdana" w:cs="Verdana"/>
                <w:sz w:val="20"/>
                <w:szCs w:val="20"/>
                <w:lang w:val="en-CA"/>
              </w:rPr>
              <w:t>measure of a country's democratic and free nature. -10 is the lowest</w:t>
            </w:r>
          </w:p>
          <w:p w:rsidR="00B1107D" w:rsidRDefault="00B1107D" w:rsidP="00B1107D">
            <w:pPr>
              <w:rPr>
                <w:lang w:val="en-CA"/>
              </w:rPr>
            </w:pPr>
            <w:r>
              <w:rPr>
                <w:rFonts w:ascii="Verdana" w:hAnsi="Verdana" w:cs="Verdana"/>
                <w:sz w:val="20"/>
                <w:szCs w:val="20"/>
                <w:lang w:val="en-CA"/>
              </w:rPr>
              <w:t>value, 10 the highest</w:t>
            </w:r>
          </w:p>
        </w:tc>
        <w:tc>
          <w:tcPr>
            <w:tcW w:w="3087" w:type="dxa"/>
          </w:tcPr>
          <w:p w:rsidR="00B1107D" w:rsidRDefault="00B1107D" w:rsidP="00B1107D">
            <w:pPr>
              <w:autoSpaceDE w:val="0"/>
              <w:autoSpaceDN w:val="0"/>
              <w:adjustRightInd w:val="0"/>
              <w:rPr>
                <w:rFonts w:ascii="Verdana" w:hAnsi="Verdana" w:cs="Verdana"/>
                <w:sz w:val="20"/>
                <w:szCs w:val="20"/>
                <w:lang w:val="en-CA"/>
              </w:rPr>
            </w:pPr>
            <w:r>
              <w:rPr>
                <w:rFonts w:ascii="Verdana" w:hAnsi="Verdana" w:cs="Verdana"/>
                <w:sz w:val="20"/>
                <w:szCs w:val="20"/>
                <w:lang w:val="en-CA"/>
              </w:rPr>
              <w:t>World Bank Work Development</w:t>
            </w:r>
          </w:p>
          <w:p w:rsidR="00B1107D" w:rsidRDefault="00B1107D" w:rsidP="00B1107D">
            <w:pPr>
              <w:rPr>
                <w:lang w:val="en-CA"/>
              </w:rPr>
            </w:pPr>
            <w:r>
              <w:rPr>
                <w:rFonts w:ascii="Verdana" w:hAnsi="Verdana" w:cs="Verdana"/>
                <w:sz w:val="20"/>
                <w:szCs w:val="20"/>
                <w:lang w:val="en-CA"/>
              </w:rPr>
              <w:t>Indicators</w:t>
            </w:r>
          </w:p>
        </w:tc>
      </w:tr>
      <w:tr w:rsidR="00B1107D" w:rsidTr="000E11B4">
        <w:trPr>
          <w:trHeight w:val="1677"/>
        </w:trPr>
        <w:tc>
          <w:tcPr>
            <w:tcW w:w="3086" w:type="dxa"/>
          </w:tcPr>
          <w:p w:rsidR="00B1107D" w:rsidRDefault="000E11B4" w:rsidP="00A141F3">
            <w:pPr>
              <w:rPr>
                <w:lang w:val="en-CA"/>
              </w:rPr>
            </w:pPr>
            <w:r>
              <w:rPr>
                <w:lang w:val="en-CA"/>
              </w:rPr>
              <w:t>Alcconsumption</w:t>
            </w:r>
          </w:p>
        </w:tc>
        <w:tc>
          <w:tcPr>
            <w:tcW w:w="3087" w:type="dxa"/>
          </w:tcPr>
          <w:p w:rsidR="00B1107D" w:rsidRDefault="000E11B4" w:rsidP="00861972">
            <w:pPr>
              <w:rPr>
                <w:lang w:val="en-CA"/>
              </w:rPr>
            </w:pPr>
            <w:r>
              <w:rPr>
                <w:rFonts w:ascii="Verdana" w:hAnsi="Verdana" w:cs="Verdana"/>
                <w:sz w:val="20"/>
                <w:szCs w:val="20"/>
                <w:lang w:val="en-CA"/>
              </w:rPr>
              <w:t>2008 alcohol consumption per adult (age 15+), litres Recorded and estimated average alcohol consumption, adult (15+) per capita consumption in litres pure alcohol</w:t>
            </w:r>
          </w:p>
        </w:tc>
        <w:tc>
          <w:tcPr>
            <w:tcW w:w="3087" w:type="dxa"/>
          </w:tcPr>
          <w:p w:rsidR="00B1107D" w:rsidRPr="000E11B4" w:rsidRDefault="000E11B4" w:rsidP="000E11B4">
            <w:pPr>
              <w:autoSpaceDE w:val="0"/>
              <w:autoSpaceDN w:val="0"/>
              <w:adjustRightInd w:val="0"/>
              <w:rPr>
                <w:rFonts w:ascii="Verdana" w:hAnsi="Verdana" w:cs="Verdana"/>
                <w:sz w:val="20"/>
                <w:szCs w:val="20"/>
                <w:lang w:val="en-CA"/>
              </w:rPr>
            </w:pPr>
            <w:r>
              <w:rPr>
                <w:rFonts w:ascii="Verdana" w:hAnsi="Verdana" w:cs="Verdana"/>
                <w:sz w:val="20"/>
                <w:szCs w:val="20"/>
                <w:lang w:val="en-CA"/>
              </w:rPr>
              <w:t>WHO</w:t>
            </w:r>
          </w:p>
        </w:tc>
      </w:tr>
      <w:tr w:rsidR="000563A9" w:rsidTr="000E11B4">
        <w:trPr>
          <w:trHeight w:val="2880"/>
        </w:trPr>
        <w:tc>
          <w:tcPr>
            <w:tcW w:w="3086" w:type="dxa"/>
          </w:tcPr>
          <w:p w:rsidR="000563A9" w:rsidRDefault="000563A9" w:rsidP="00A141F3">
            <w:pPr>
              <w:rPr>
                <w:lang w:val="en-CA"/>
              </w:rPr>
            </w:pPr>
            <w:r>
              <w:rPr>
                <w:lang w:val="en-CA"/>
              </w:rPr>
              <w:t>polityscore</w:t>
            </w:r>
          </w:p>
        </w:tc>
        <w:tc>
          <w:tcPr>
            <w:tcW w:w="3087" w:type="dxa"/>
          </w:tcPr>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2009 Democracy score (Polity)</w:t>
            </w:r>
          </w:p>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Overall polity score from the Polity IV dataset, calculated by</w:t>
            </w:r>
          </w:p>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subtracting an autocracy score from a democracy score. The summary</w:t>
            </w:r>
          </w:p>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measure of a country's democratic and free nature. -10 is the lowest</w:t>
            </w:r>
          </w:p>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value, 10 the highest.</w:t>
            </w:r>
          </w:p>
        </w:tc>
        <w:tc>
          <w:tcPr>
            <w:tcW w:w="3087" w:type="dxa"/>
          </w:tcPr>
          <w:p w:rsidR="000563A9" w:rsidRDefault="000563A9" w:rsidP="000563A9">
            <w:pPr>
              <w:autoSpaceDE w:val="0"/>
              <w:autoSpaceDN w:val="0"/>
              <w:adjustRightInd w:val="0"/>
              <w:rPr>
                <w:rFonts w:ascii="Verdana" w:hAnsi="Verdana" w:cs="Verdana"/>
                <w:sz w:val="20"/>
                <w:szCs w:val="20"/>
                <w:lang w:val="en-CA"/>
              </w:rPr>
            </w:pPr>
            <w:r>
              <w:rPr>
                <w:rFonts w:ascii="Verdana" w:hAnsi="Verdana" w:cs="Verdana"/>
                <w:sz w:val="20"/>
                <w:szCs w:val="20"/>
                <w:lang w:val="en-CA"/>
              </w:rPr>
              <w:t>Polity IV Project</w:t>
            </w:r>
          </w:p>
        </w:tc>
      </w:tr>
    </w:tbl>
    <w:p w:rsidR="00A141F3" w:rsidRDefault="00A141F3" w:rsidP="00A141F3">
      <w:pPr>
        <w:rPr>
          <w:lang w:val="en-CA"/>
        </w:rPr>
      </w:pPr>
    </w:p>
    <w:p w:rsidR="00FE3BD9" w:rsidRDefault="00FE3BD9" w:rsidP="00A141F3">
      <w:pPr>
        <w:rPr>
          <w:lang w:val="en-CA"/>
        </w:rPr>
      </w:pPr>
      <w:r>
        <w:rPr>
          <w:lang w:val="en-CA"/>
        </w:rPr>
        <w:lastRenderedPageBreak/>
        <w:t>6. Literature review</w:t>
      </w:r>
    </w:p>
    <w:p w:rsidR="00770448" w:rsidRDefault="00770448" w:rsidP="00770448">
      <w:pPr>
        <w:pStyle w:val="Heading1"/>
        <w:shd w:val="clear" w:color="auto" w:fill="FFFFFF"/>
        <w:spacing w:before="240" w:beforeAutospacing="0" w:after="120" w:afterAutospacing="0" w:line="324" w:lineRule="atLeast"/>
        <w:rPr>
          <w:rFonts w:asciiTheme="minorHAnsi" w:hAnsiTheme="minorHAnsi" w:cs="Arial"/>
          <w:color w:val="000000"/>
          <w:sz w:val="22"/>
          <w:szCs w:val="22"/>
        </w:rPr>
      </w:pPr>
      <w:r w:rsidRPr="00770448">
        <w:rPr>
          <w:rFonts w:asciiTheme="minorHAnsi" w:hAnsiTheme="minorHAnsi" w:cs="Arial"/>
          <w:color w:val="000000"/>
          <w:sz w:val="22"/>
          <w:szCs w:val="22"/>
        </w:rPr>
        <w:t>Lifetime income patterns and alcohol consumption: Investigating the association between long- and short-term income trajectories and drinking</w:t>
      </w:r>
      <w:r>
        <w:rPr>
          <w:rFonts w:asciiTheme="minorHAnsi" w:hAnsiTheme="minorHAnsi" w:cs="Arial"/>
          <w:color w:val="000000"/>
          <w:sz w:val="22"/>
          <w:szCs w:val="22"/>
        </w:rPr>
        <w:t xml:space="preserve">   </w:t>
      </w:r>
      <w:hyperlink r:id="rId5" w:history="1">
        <w:r w:rsidRPr="00755331">
          <w:rPr>
            <w:rStyle w:val="Hyperlink"/>
            <w:rFonts w:asciiTheme="minorHAnsi" w:hAnsiTheme="minorHAnsi" w:cs="Arial"/>
            <w:sz w:val="22"/>
            <w:szCs w:val="22"/>
          </w:rPr>
          <w:t>http://www.ncbi.nlm.nih.gov/pmc/artic</w:t>
        </w:r>
        <w:r w:rsidRPr="00755331">
          <w:rPr>
            <w:rStyle w:val="Hyperlink"/>
            <w:rFonts w:asciiTheme="minorHAnsi" w:hAnsiTheme="minorHAnsi" w:cs="Arial"/>
            <w:sz w:val="22"/>
            <w:szCs w:val="22"/>
          </w:rPr>
          <w:t>les/PMC3185179/</w:t>
        </w:r>
      </w:hyperlink>
      <w:r>
        <w:rPr>
          <w:rFonts w:asciiTheme="minorHAnsi" w:hAnsiTheme="minorHAnsi" w:cs="Arial"/>
          <w:color w:val="000000"/>
          <w:sz w:val="22"/>
          <w:szCs w:val="22"/>
        </w:rPr>
        <w:t xml:space="preserve"> </w:t>
      </w:r>
    </w:p>
    <w:p w:rsidR="008E03F8" w:rsidRDefault="008E03F8" w:rsidP="008E03F8">
      <w:pPr>
        <w:pStyle w:val="Heading1"/>
        <w:shd w:val="clear" w:color="auto" w:fill="FFFFFF"/>
        <w:spacing w:before="240" w:beforeAutospacing="0" w:after="0" w:afterAutospacing="0" w:line="324" w:lineRule="atLeast"/>
        <w:rPr>
          <w:rFonts w:asciiTheme="minorHAnsi" w:hAnsiTheme="minorHAnsi" w:cs="Arial"/>
          <w:color w:val="000000"/>
          <w:sz w:val="22"/>
          <w:szCs w:val="22"/>
        </w:rPr>
      </w:pPr>
      <w:r>
        <w:rPr>
          <w:rFonts w:asciiTheme="minorHAnsi" w:hAnsiTheme="minorHAnsi" w:cs="Arial"/>
          <w:color w:val="000000"/>
          <w:sz w:val="22"/>
          <w:szCs w:val="22"/>
        </w:rPr>
        <w:t xml:space="preserve">Communism’s Alcohol Problem </w:t>
      </w:r>
    </w:p>
    <w:p w:rsidR="008E03F8" w:rsidRDefault="008E03F8"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hyperlink r:id="rId6" w:history="1">
        <w:r w:rsidRPr="00755331">
          <w:rPr>
            <w:rStyle w:val="Hyperlink"/>
            <w:rFonts w:asciiTheme="minorHAnsi" w:hAnsiTheme="minorHAnsi" w:cs="Arial"/>
            <w:sz w:val="22"/>
            <w:szCs w:val="22"/>
          </w:rPr>
          <w:t>http://www.csmonitor.com/1981/0303/030313.html</w:t>
        </w:r>
      </w:hyperlink>
    </w:p>
    <w:p w:rsidR="007B059C" w:rsidRDefault="007B059C"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7B059C" w:rsidRDefault="007B059C"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r>
        <w:rPr>
          <w:rFonts w:asciiTheme="minorHAnsi" w:hAnsiTheme="minorHAnsi" w:cs="Arial"/>
          <w:color w:val="000000"/>
          <w:sz w:val="22"/>
          <w:szCs w:val="22"/>
        </w:rPr>
        <w:t>Research Reveals widespread alcoholism in Communist East Germany</w:t>
      </w:r>
    </w:p>
    <w:p w:rsidR="007B059C" w:rsidRDefault="007B059C"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hyperlink r:id="rId7" w:history="1">
        <w:r w:rsidRPr="00755331">
          <w:rPr>
            <w:rStyle w:val="Hyperlink"/>
            <w:rFonts w:asciiTheme="minorHAnsi" w:hAnsiTheme="minorHAnsi" w:cs="Arial"/>
            <w:sz w:val="22"/>
            <w:szCs w:val="22"/>
          </w:rPr>
          <w:t>http://www.dw.com/en/research-reveals-widespread-alcoholism-in-communist-east-germany/a-15033014</w:t>
        </w:r>
      </w:hyperlink>
    </w:p>
    <w:p w:rsidR="007B059C" w:rsidRDefault="007B059C"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E66542" w:rsidRDefault="00E017B1"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r>
        <w:rPr>
          <w:rFonts w:asciiTheme="minorHAnsi" w:hAnsiTheme="minorHAnsi" w:cs="Arial"/>
          <w:color w:val="000000"/>
          <w:sz w:val="22"/>
          <w:szCs w:val="22"/>
        </w:rPr>
        <w:t xml:space="preserve">Substance use </w:t>
      </w:r>
      <w:r w:rsidR="00FD4BDC">
        <w:rPr>
          <w:rFonts w:asciiTheme="minorHAnsi" w:hAnsiTheme="minorHAnsi" w:cs="Arial"/>
          <w:color w:val="000000"/>
          <w:sz w:val="22"/>
          <w:szCs w:val="22"/>
        </w:rPr>
        <w:t>problems in</w:t>
      </w:r>
      <w:r w:rsidR="00E66542">
        <w:rPr>
          <w:rFonts w:asciiTheme="minorHAnsi" w:hAnsiTheme="minorHAnsi" w:cs="Arial"/>
          <w:color w:val="000000"/>
          <w:sz w:val="22"/>
          <w:szCs w:val="22"/>
        </w:rPr>
        <w:t xml:space="preserve"> Developing Countries</w:t>
      </w:r>
    </w:p>
    <w:p w:rsidR="00E66542" w:rsidRDefault="00E66542"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hyperlink r:id="rId8" w:history="1">
        <w:r w:rsidRPr="00755331">
          <w:rPr>
            <w:rStyle w:val="Hyperlink"/>
            <w:rFonts w:asciiTheme="minorHAnsi" w:hAnsiTheme="minorHAnsi" w:cs="Arial"/>
            <w:sz w:val="22"/>
            <w:szCs w:val="22"/>
          </w:rPr>
          <w:t>http://www.who.int/bulletin/volumes/82/9/editorial20904html/en/</w:t>
        </w:r>
      </w:hyperlink>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r>
        <w:rPr>
          <w:rFonts w:asciiTheme="minorHAnsi" w:hAnsiTheme="minorHAnsi" w:cs="Arial"/>
          <w:color w:val="000000"/>
          <w:sz w:val="22"/>
          <w:szCs w:val="22"/>
        </w:rPr>
        <w:t>Drinking highest among Educated, upper income Americans</w:t>
      </w:r>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hyperlink r:id="rId9" w:history="1">
        <w:r w:rsidRPr="00755331">
          <w:rPr>
            <w:rStyle w:val="Hyperlink"/>
            <w:rFonts w:asciiTheme="minorHAnsi" w:hAnsiTheme="minorHAnsi" w:cs="Arial"/>
            <w:sz w:val="22"/>
            <w:szCs w:val="22"/>
          </w:rPr>
          <w:t>http://www.gallup.com/poll/184358/drinking-highest-among-educated-upper-income-americans.aspx</w:t>
        </w:r>
      </w:hyperlink>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7C3C74" w:rsidRPr="007C3C74" w:rsidRDefault="007C3C74" w:rsidP="008E03F8">
      <w:pPr>
        <w:pStyle w:val="Heading1"/>
        <w:shd w:val="clear" w:color="auto" w:fill="FFFFFF"/>
        <w:spacing w:before="0" w:beforeAutospacing="0" w:after="0" w:afterAutospacing="0" w:line="324" w:lineRule="atLeast"/>
        <w:rPr>
          <w:rFonts w:asciiTheme="minorHAnsi" w:hAnsiTheme="minorHAnsi" w:cs="Arial"/>
          <w:b w:val="0"/>
          <w:color w:val="000000"/>
          <w:sz w:val="22"/>
          <w:szCs w:val="22"/>
        </w:rPr>
      </w:pPr>
      <w:r>
        <w:rPr>
          <w:rFonts w:asciiTheme="minorHAnsi" w:hAnsiTheme="minorHAnsi" w:cs="Arial"/>
          <w:b w:val="0"/>
          <w:color w:val="000000"/>
          <w:sz w:val="22"/>
          <w:szCs w:val="22"/>
        </w:rPr>
        <w:t>7. My initial research seems to indicate that there is a relationship between communist countries and alcohol consumption and income and alcohol consumption. However, the alcohol consumption in non-democracies was more pronounced in East European communist countries and there are many countries that are not democracies, but they are not communist states either. More of the alcohol consumption and income is readily available for Western democratic countries, and there appears to be a relationship between higher incomes and frequent alcohol consumption and low incomes and alcohol consumption.</w:t>
      </w:r>
      <w:bookmarkStart w:id="0" w:name="_GoBack"/>
      <w:bookmarkEnd w:id="0"/>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7C3C74" w:rsidRDefault="007C3C74"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E66542" w:rsidRDefault="00E66542" w:rsidP="008E03F8">
      <w:pPr>
        <w:pStyle w:val="Heading1"/>
        <w:shd w:val="clear" w:color="auto" w:fill="FFFFFF"/>
        <w:spacing w:before="0" w:beforeAutospacing="0" w:after="0" w:afterAutospacing="0" w:line="324" w:lineRule="atLeast"/>
        <w:rPr>
          <w:rFonts w:asciiTheme="minorHAnsi" w:hAnsiTheme="minorHAnsi" w:cs="Arial"/>
          <w:color w:val="000000"/>
          <w:sz w:val="22"/>
          <w:szCs w:val="22"/>
        </w:rPr>
      </w:pPr>
    </w:p>
    <w:p w:rsidR="008E03F8" w:rsidRDefault="008E03F8" w:rsidP="00770448">
      <w:pPr>
        <w:pStyle w:val="Heading1"/>
        <w:shd w:val="clear" w:color="auto" w:fill="FFFFFF"/>
        <w:spacing w:before="240" w:beforeAutospacing="0" w:after="120" w:afterAutospacing="0" w:line="324" w:lineRule="atLeast"/>
        <w:rPr>
          <w:rFonts w:asciiTheme="minorHAnsi" w:hAnsiTheme="minorHAnsi" w:cs="Arial"/>
          <w:color w:val="000000"/>
          <w:sz w:val="22"/>
          <w:szCs w:val="22"/>
        </w:rPr>
      </w:pPr>
    </w:p>
    <w:p w:rsidR="008E03F8" w:rsidRPr="00770448" w:rsidRDefault="008E03F8" w:rsidP="00770448">
      <w:pPr>
        <w:pStyle w:val="Heading1"/>
        <w:shd w:val="clear" w:color="auto" w:fill="FFFFFF"/>
        <w:spacing w:before="240" w:beforeAutospacing="0" w:after="120" w:afterAutospacing="0" w:line="324" w:lineRule="atLeast"/>
      </w:pPr>
    </w:p>
    <w:sectPr w:rsidR="008E03F8" w:rsidRPr="00770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1573D"/>
    <w:multiLevelType w:val="hybridMultilevel"/>
    <w:tmpl w:val="31A4BC58"/>
    <w:lvl w:ilvl="0" w:tplc="611E3406">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E9675D"/>
    <w:multiLevelType w:val="hybridMultilevel"/>
    <w:tmpl w:val="5B3CA7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1A3F4C"/>
    <w:multiLevelType w:val="hybridMultilevel"/>
    <w:tmpl w:val="20781E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A2EE8"/>
    <w:multiLevelType w:val="hybridMultilevel"/>
    <w:tmpl w:val="55E0EB56"/>
    <w:lvl w:ilvl="0" w:tplc="B2F634A6">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F3"/>
    <w:rsid w:val="000563A9"/>
    <w:rsid w:val="000E11B4"/>
    <w:rsid w:val="00202124"/>
    <w:rsid w:val="00233F65"/>
    <w:rsid w:val="00470B37"/>
    <w:rsid w:val="004D3DFC"/>
    <w:rsid w:val="00575636"/>
    <w:rsid w:val="00707726"/>
    <w:rsid w:val="00770448"/>
    <w:rsid w:val="007B059C"/>
    <w:rsid w:val="007C3C74"/>
    <w:rsid w:val="00861972"/>
    <w:rsid w:val="008C692C"/>
    <w:rsid w:val="008E03F8"/>
    <w:rsid w:val="00A141F3"/>
    <w:rsid w:val="00A57980"/>
    <w:rsid w:val="00AE42CE"/>
    <w:rsid w:val="00B1107D"/>
    <w:rsid w:val="00E017B1"/>
    <w:rsid w:val="00E66542"/>
    <w:rsid w:val="00E71CE8"/>
    <w:rsid w:val="00FD4BDC"/>
    <w:rsid w:val="00FE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CF6E"/>
  <w15:chartTrackingRefBased/>
  <w15:docId w15:val="{FC730D71-C5D6-493E-9AA4-ACAA2A9A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044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F3"/>
    <w:pPr>
      <w:ind w:left="720"/>
      <w:contextualSpacing/>
    </w:pPr>
  </w:style>
  <w:style w:type="table" w:styleId="TableGrid">
    <w:name w:val="Table Grid"/>
    <w:basedOn w:val="TableNormal"/>
    <w:uiPriority w:val="39"/>
    <w:rsid w:val="00B1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448"/>
    <w:rPr>
      <w:rFonts w:ascii="Times New Roman" w:eastAsia="Times New Roman" w:hAnsi="Times New Roman" w:cs="Times New Roman"/>
      <w:b/>
      <w:bCs/>
      <w:kern w:val="36"/>
      <w:sz w:val="48"/>
      <w:szCs w:val="48"/>
      <w:lang w:val="en-CA" w:eastAsia="en-CA"/>
    </w:rPr>
  </w:style>
  <w:style w:type="character" w:styleId="Hyperlink">
    <w:name w:val="Hyperlink"/>
    <w:basedOn w:val="DefaultParagraphFont"/>
    <w:uiPriority w:val="99"/>
    <w:unhideWhenUsed/>
    <w:rsid w:val="00770448"/>
    <w:rPr>
      <w:color w:val="0563C1" w:themeColor="hyperlink"/>
      <w:u w:val="single"/>
    </w:rPr>
  </w:style>
  <w:style w:type="character" w:styleId="FollowedHyperlink">
    <w:name w:val="FollowedHyperlink"/>
    <w:basedOn w:val="DefaultParagraphFont"/>
    <w:uiPriority w:val="99"/>
    <w:semiHidden/>
    <w:unhideWhenUsed/>
    <w:rsid w:val="008E0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bulletin/volumes/82/9/editorial20904html/en/" TargetMode="External"/><Relationship Id="rId3" Type="http://schemas.openxmlformats.org/officeDocument/2006/relationships/settings" Target="settings.xml"/><Relationship Id="rId7" Type="http://schemas.openxmlformats.org/officeDocument/2006/relationships/hyperlink" Target="http://www.dw.com/en/research-reveals-widespread-alcoholism-in-communist-east-germany/a-1503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monitor.com/1981/0303/030313.html" TargetMode="External"/><Relationship Id="rId11" Type="http://schemas.openxmlformats.org/officeDocument/2006/relationships/theme" Target="theme/theme1.xml"/><Relationship Id="rId5" Type="http://schemas.openxmlformats.org/officeDocument/2006/relationships/hyperlink" Target="http://www.ncbi.nlm.nih.gov/pmc/articles/PMC31851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llup.com/poll/184358/drinking-highest-among-educated-upper-income-america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Blinick</dc:creator>
  <cp:keywords/>
  <dc:description/>
  <cp:lastModifiedBy>Elke Blinick</cp:lastModifiedBy>
  <cp:revision>22</cp:revision>
  <dcterms:created xsi:type="dcterms:W3CDTF">2016-08-08T14:35:00Z</dcterms:created>
  <dcterms:modified xsi:type="dcterms:W3CDTF">2016-08-19T11:03:00Z</dcterms:modified>
</cp:coreProperties>
</file>